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9"/>
            <wp:cNvGraphicFramePr/>
            <a:graphic>
              <a:graphicData uri="http://schemas.openxmlformats.org/drawingml/2006/picture">
                <pic:pic>
                  <pic:nvPicPr>
                    <pic:cNvPr id="9039" name="banner9039.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4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Manager focuses on investing in a diversified portfolio of global equities. The Fund's investments include investing in shares of companies in all sectors, traded on global exchanges in countries such as Saudi Arabia, USA, China, Japan, Switzerland, UK, France, Germany and Canada. Investing on these exchanges will be in the currency of each country. In addition, the Fund Manager will invest in public and private equity funds managed by fund managers licensed by the Capital Market Authority (CMA) or a similar authority when investing abroad. These funds will include corporate shares of different market values in diverse geographies and sectors. The Fund Manager also intends to invest in intial public offerings (IPOs) listed on different stock exchanges, in addition to subscribing for capital increases of listed companies, as well as unlisted companies planning IPOs, by subscribing for planned IPOs, and investing in cash and cash equivalents in compliance with Shari'ah principles, to achieve long term growth and generate periodic income from the returns on equity shares and capital gain.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11.7366</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w:t>
            </w:r>
          </w:p>
        </w:tc>
        <w:tc>
          <w:tcPr>
            <w:tcW w:type="dxa" w:w="6860"/>
          </w:tcPr>
          <w:p>
            <w:pPr>
              <w:spacing w:before="0" w:after="0" w:line="276" w:lineRule="auto"/>
            </w:pPr>
            <w:r>
              <w:rPr>
                <w:rFonts w:ascii="Arial" w:hAnsi="Arial" w:cs="Arial" w:eastAsia="Arial"/>
                <w:b/>
                <w:bCs/>
                <w:color w:val="0E1E3A"/>
                <w:sz w:val="18"/>
                <w:szCs w:val="18"/>
              </w:rPr>
              <w:t>SAR 753,788,228</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Open-Ended Public Equity Investment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Fund Total Assets as at 29 June 2026 (Unaudited).</w:t>
      </w:r>
      <w:r>
        <w:br/>
      </w:r>
      <w:r>
        <w:rPr>
          <w:rFonts w:ascii="Arial" w:hAnsi="Arial" w:cs="Arial" w:eastAsia="Arial"/>
          <w:color w:val="5A6478"/>
          <w:sz w:val="17"/>
          <w:szCs w:val="17"/>
        </w:rPr>
        <w:t>June 29, 2026 is used as the cut-off date, being the last NAV date after the Fund's conversion into an open-ended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less the fund's performance deviates from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Fund’s unit price and the market index by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pStyle w:val="Heading3"/>
        <w:keepNext/>
        <w:spacing w:before="160" w:after="100" w:line="300" w:lineRule="auto"/>
      </w:pPr>
      <w:r>
        <w:rPr>
          <w:rFonts w:ascii="Arial" w:hAnsi="Arial" w:cs="Arial" w:eastAsia="Arial"/>
          <w:b/>
          <w:bCs/>
          <w:color w:val="12284B"/>
          <w:sz w:val="22"/>
          <w:szCs w:val="22"/>
        </w:rPr>
        <w:t>Overview of Global Markets</w:t>
      </w:r>
    </w:p>
    <w:p>
      <w:pPr>
        <w:spacing w:before="0" w:after="80" w:line="312" w:lineRule="auto"/>
      </w:pPr>
      <w:r>
        <w:rPr>
          <w:rFonts w:ascii="Arial" w:hAnsi="Arial" w:cs="Arial" w:eastAsia="Arial"/>
          <w:color w:val="0E1E3A"/>
          <w:sz w:val="20"/>
          <w:szCs w:val="20"/>
        </w:rPr>
        <w:t>Global equity markets delivered a strong recovery during the second quarter of 2026, supported by improved investor sentiment, resilient corporate earnings, and more measured central bank policy guidance. The Alkhabeer Global Equities Index (AGEI) was up 12.22% during the second quarter. Despite the positive market performance, volatility remained elevated due to geopolitical developments and uncertainty around energy prices.</w:t>
      </w:r>
    </w:p>
    <w:p>
      <w:pPr>
        <w:spacing w:before="0" w:after="80" w:line="312" w:lineRule="auto"/>
      </w:pPr>
      <w:r>
        <w:rPr>
          <w:rFonts w:ascii="Arial" w:hAnsi="Arial" w:cs="Arial" w:eastAsia="Arial"/>
          <w:color w:val="0E1E3A"/>
          <w:sz w:val="20"/>
          <w:szCs w:val="20"/>
        </w:rPr>
        <w:t>The U.S. economy continued to expand at a solid pace, with unemployment little changed at around 4.3% and headline inflation rising to 4.2% year-on-year in May, driven largely by higher energy prices. The U.S. Federal Reserve maintained interest rates at 3.50% to 3.75%, signaling a cautious stance in response to elevated inflation. European equity markets advanced as energy prices stabilized, although the region’s growth outlook remained subdued. Emerging markets benefited from attractive valuations and robust earnings growth, despite lingering geopolitical uncertainty.</w:t>
      </w:r>
    </w:p>
    <w:p>
      <w:pPr>
        <w:spacing w:before="0" w:after="80" w:line="312" w:lineRule="auto"/>
      </w:pPr>
      <w:r>
        <w:rPr>
          <w:rFonts w:ascii="Arial" w:hAnsi="Arial" w:cs="Arial" w:eastAsia="Arial"/>
          <w:color w:val="0E1E3A"/>
          <w:sz w:val="20"/>
          <w:szCs w:val="20"/>
        </w:rPr>
        <w:t>According to the IMF April 2026 World Economic Outlook, global GDP growth is projected at 3.1% in 2026, revised lower amid the geopolitical conflict, while advanced economies are projected to grow at 1.8% and emerging markets at 3.9%. Saudi Arabia is projected to grow by 3.1%, China by 4.4%, and India by 6.5% in 2026.</w:t>
      </w:r>
    </w:p>
    <w:p>
      <w:pPr>
        <w:spacing w:before="0" w:after="80" w:line="312" w:lineRule="auto"/>
      </w:pPr>
      <w:r>
        <w:rPr>
          <w:rFonts w:ascii="Arial" w:hAnsi="Arial" w:cs="Arial" w:eastAsia="Arial"/>
          <w:color w:val="0E1E3A"/>
          <w:sz w:val="20"/>
          <w:szCs w:val="20"/>
        </w:rPr>
        <w:t>Looking ahead, geopolitical developments, commodity price movements, and central bank policy decisions may continue to influence equity market volatility. Nevertheless, should inflationary pressures gradually ease, energy prices stabilize, and corporate earnings sustain their current resilience, global equity markets could find meaningful support over the coming periods.</w:t>
      </w:r>
    </w:p>
    <w:p>
      <w:pPr>
        <w:pStyle w:val="Heading3"/>
        <w:keepNext/>
        <w:spacing w:before="160" w:after="100" w:line="300" w:lineRule="auto"/>
      </w:pPr>
      <w:r>
        <w:rPr>
          <w:rFonts w:ascii="Arial" w:hAnsi="Arial" w:cs="Arial" w:eastAsia="Arial"/>
          <w:b/>
          <w:bCs/>
          <w:color w:val="12284B"/>
          <w:sz w:val="22"/>
          <w:szCs w:val="22"/>
        </w:rPr>
        <w:t>Fund Performance</w:t>
      </w:r>
    </w:p>
    <w:p>
      <w:pPr>
        <w:spacing w:before="0" w:after="80" w:line="312" w:lineRule="auto"/>
      </w:pPr>
      <w:r>
        <w:rPr>
          <w:rFonts w:ascii="Arial" w:hAnsi="Arial" w:cs="Arial" w:eastAsia="Arial"/>
          <w:color w:val="0E1E3A"/>
          <w:sz w:val="20"/>
          <w:szCs w:val="20"/>
        </w:rPr>
        <w:t>Alkhabeer Growth &amp; Income Fund follows a core-satellite investing approach, where at least 75% of assets are benchmark-aligned core allocation and the remaining allocation is actively managed through funds, IPOs, pre-IPOs, and money market instruments.</w:t>
      </w:r>
    </w:p>
    <w:p>
      <w:pPr>
        <w:spacing w:before="0" w:after="80" w:line="312" w:lineRule="auto"/>
      </w:pPr>
      <w:r>
        <w:rPr>
          <w:rFonts w:ascii="Arial" w:hAnsi="Arial" w:cs="Arial" w:eastAsia="Arial"/>
          <w:color w:val="0E1E3A"/>
          <w:sz w:val="20"/>
          <w:szCs w:val="20"/>
        </w:rPr>
        <w:t>During the second quarter of 2026, the Fund achieved a total net return of 12.72%, outperforming the benchmark index (AGEI), which recorded 12.22%. Based on Fund performance attribution, the main sources of outperformance were the Fund’s active allocation to funds and supportive positioning in the Energy, Consumer Staples, and Healthcare sectors. These positive effects were partly offset by underperformance in the Information Technology sector.</w:t>
      </w:r>
    </w:p>
    <w:p>
      <w:pPr>
        <w:spacing w:before="0" w:after="80" w:line="312" w:lineRule="auto"/>
      </w:pPr>
      <w:r>
        <w:rPr>
          <w:rFonts w:ascii="Arial" w:hAnsi="Arial" w:cs="Arial" w:eastAsia="Arial"/>
          <w:color w:val="0E1E3A"/>
          <w:sz w:val="20"/>
          <w:szCs w:val="20"/>
        </w:rPr>
        <w:t>The Fund’s positive alpha during the second quarter reflects the impact of these factors and confirms that performance was supported by effective investment allocation decisions and active portfolio management.</w:t>
      </w:r>
    </w:p>
    <w:p>
      <w:pPr>
        <w:pStyle w:val="Heading3"/>
        <w:keepNext/>
        <w:spacing w:before="160" w:after="100" w:line="300" w:lineRule="auto"/>
      </w:pPr>
      <w:r>
        <w:rPr>
          <w:rFonts w:ascii="Arial" w:hAnsi="Arial" w:cs="Arial" w:eastAsia="Arial"/>
          <w:b/>
          <w:bCs/>
          <w:color w:val="12284B"/>
          <w:sz w:val="22"/>
          <w:szCs w:val="22"/>
        </w:rPr>
        <w:t>Key Fund Events and Any Fundamental or Non-Fundamental Changes Affecting Performance</w:t>
      </w:r>
    </w:p>
    <w:p>
      <w:pPr>
        <w:pStyle w:val="Heading3"/>
        <w:keepNext/>
        <w:spacing w:before="160" w:after="100" w:line="300" w:lineRule="auto"/>
      </w:pPr>
      <w:r>
        <w:rPr>
          <w:rFonts w:ascii="Arial" w:hAnsi="Arial" w:cs="Arial" w:eastAsia="Arial"/>
          <w:b/>
          <w:bCs/>
          <w:color w:val="12284B"/>
          <w:sz w:val="22"/>
          <w:szCs w:val="22"/>
        </w:rPr>
        <w:t>Material Fund Developments</w:t>
      </w:r>
    </w:p>
    <w:p>
      <w:pPr>
        <w:spacing w:before="0" w:after="80" w:line="312" w:lineRule="auto"/>
      </w:pPr>
      <w:r>
        <w:rPr>
          <w:rFonts w:ascii="Arial" w:hAnsi="Arial" w:cs="Arial" w:eastAsia="Arial"/>
          <w:color w:val="0E1E3A"/>
          <w:sz w:val="20"/>
          <w:szCs w:val="20"/>
        </w:rPr>
        <w:t>After reviewing the Fund Manager's recommendations, and taking into account the interests of all unitholders and the preservation of their rights, including compliance with the relevant statutory timelines, the Fund Board approved, on 18 December 2025, the Fund Manager’s recommendation to delist the Fund as a closed-ended traded fund and convert it into an open-ended public fund.</w:t>
      </w:r>
    </w:p>
    <w:p>
      <w:pPr>
        <w:spacing w:before="0" w:after="80" w:line="312" w:lineRule="auto"/>
      </w:pPr>
      <w:r>
        <w:rPr>
          <w:rFonts w:ascii="Arial" w:hAnsi="Arial" w:cs="Arial" w:eastAsia="Arial"/>
          <w:color w:val="0E1E3A"/>
          <w:sz w:val="20"/>
          <w:szCs w:val="20"/>
        </w:rPr>
        <w:t>Following the approval of the Capital Market Authority on 20 May 2026, unitholders approved the delisting of the Fund and its conversion into an open-ended public fund on 14 June 2026.</w:t>
      </w:r>
    </w:p>
    <w:p>
      <w:pPr>
        <w:spacing w:before="0" w:after="80" w:line="312" w:lineRule="auto"/>
      </w:pPr>
      <w:r>
        <w:rPr>
          <w:rFonts w:ascii="Arial" w:hAnsi="Arial" w:cs="Arial" w:eastAsia="Arial"/>
          <w:color w:val="0E1E3A"/>
          <w:sz w:val="20"/>
          <w:szCs w:val="20"/>
        </w:rPr>
        <w:t>Upon completion of all statutory procedures, trading of the Fund’s units on the Saudi Exchange (Tadawul) was suspended on 18 June 2026, and the Fund began operating as an open-ended public investment fund effective 29 June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4"/>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(June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(29 June 2026)</w:t>
            </w:r>
          </w:p>
        </w:tc>
        <w:tc>
          <w:tcPr>
            <w:tcW w:type="dxa" w:w="6860"/>
          </w:tcPr>
          <w:p>
            <w:pPr>
              <w:spacing w:before="0" w:after="0" w:line="276" w:lineRule="auto"/>
            </w:pPr>
            <w:r>
              <w:rPr>
                <w:rFonts w:ascii="Arial" w:hAnsi="Arial" w:cs="Arial" w:eastAsia="Arial"/>
                <w:b/>
                <w:bCs/>
                <w:color w:val="0E1E3A"/>
                <w:sz w:val="18"/>
                <w:szCs w:val="18"/>
              </w:rPr>
              <w:t>SAR 11.7366</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12.72%</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63,876,285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749,688,586</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21.1x</w:t>
            </w:r>
          </w:p>
        </w:tc>
      </w:tr>
    </w:tbl>
    <w:p>
      <w:pPr>
        <w:spacing w:before="0" w:after="40" w:line="300" w:lineRule="auto"/>
      </w:pPr>
    </w:p>
    <w:p>
      <w:pPr>
        <w:spacing w:before="0" w:after="80" w:line="312" w:lineRule="auto"/>
      </w:pPr>
      <w:r>
        <w:rPr>
          <w:rFonts w:ascii="Arial" w:hAnsi="Arial" w:cs="Arial" w:eastAsia="Arial"/>
          <w:color w:val="5A6478"/>
          <w:sz w:val="17"/>
          <w:szCs w:val="17"/>
        </w:rPr>
        <w:t>* Net asset value per unit in the previous quarter = 10.4120 SAR / unit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Q2 (June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 for the quarter</w:t>
            </w:r>
          </w:p>
        </w:tc>
        <w:tc>
          <w:tcPr>
            <w:tcW w:type="dxa" w:w="3326"/>
          </w:tcPr>
          <w:p>
            <w:pPr>
              <w:spacing w:before="0" w:after="0" w:line="264" w:lineRule="auto"/>
            </w:pPr>
            <w:r>
              <w:rPr>
                <w:rFonts w:ascii="Arial" w:hAnsi="Arial" w:cs="Arial" w:eastAsia="Arial"/>
                <w:color w:val="0E1E3A"/>
                <w:sz w:val="17"/>
                <w:szCs w:val="17"/>
              </w:rPr>
              <w:t>SAR 2,501,336</w:t>
            </w:r>
          </w:p>
        </w:tc>
        <w:tc>
          <w:tcPr>
            <w:tcW w:type="dxa" w:w="3326"/>
          </w:tcPr>
          <w:p>
            <w:pPr>
              <w:spacing w:before="0" w:after="0" w:line="264" w:lineRule="auto"/>
            </w:pPr>
            <w:r>
              <w:rPr>
                <w:rFonts w:ascii="Arial" w:hAnsi="Arial" w:cs="Arial" w:eastAsia="Arial"/>
                <w:color w:val="0E1E3A"/>
                <w:sz w:val="17"/>
                <w:szCs w:val="17"/>
              </w:rPr>
              <w:t>0.34%</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SAR 30,695</w:t>
            </w:r>
          </w:p>
        </w:tc>
        <w:tc>
          <w:tcPr>
            <w:tcW w:type="dxa" w:w="3326"/>
          </w:tcPr>
          <w:p>
            <w:pPr>
              <w:spacing w:before="0" w:after="0" w:line="264" w:lineRule="auto"/>
            </w:pPr>
            <w:r>
              <w:rPr>
                <w:rFonts w:ascii="Arial" w:hAnsi="Arial" w:cs="Arial" w:eastAsia="Arial"/>
                <w:color w:val="0E1E3A"/>
                <w:sz w:val="17"/>
                <w:szCs w:val="17"/>
              </w:rPr>
              <w:t>0.004%</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w:t>
            </w:r>
          </w:p>
        </w:tc>
        <w:tc>
          <w:tcPr>
            <w:tcW w:type="dxa" w:w="3326"/>
          </w:tcPr>
          <w:p>
            <w:pPr>
              <w:spacing w:before="0" w:after="0" w:line="264" w:lineRule="auto"/>
            </w:pPr>
            <w:r>
              <w:rPr>
                <w:rFonts w:ascii="Arial" w:hAnsi="Arial" w:cs="Arial" w:eastAsia="Arial"/>
                <w:color w:val="0E1E3A"/>
                <w:sz w:val="17"/>
                <w:szCs w:val="17"/>
              </w:rPr>
              <w:t>SAR 0</w:t>
            </w:r>
          </w:p>
        </w:tc>
        <w:tc>
          <w:tcPr>
            <w:tcW w:type="dxa" w:w="3326"/>
          </w:tcPr>
          <w:p>
            <w:pPr>
              <w:spacing w:before="0" w:after="0" w:line="264" w:lineRule="auto"/>
            </w:pPr>
            <w:r>
              <w:rPr>
                <w:rFonts w:ascii="Arial" w:hAnsi="Arial" w:cs="Arial" w:eastAsia="Arial"/>
                <w:color w:val="0E1E3A"/>
                <w:sz w:val="17"/>
                <w:szCs w:val="17"/>
              </w:rPr>
              <w:t>0.00%</w:t>
            </w:r>
          </w:p>
        </w:tc>
      </w:tr>
    </w:tbl>
    <w:p>
      <w:pPr>
        <w:spacing w:before="0" w:after="40" w:line="300" w:lineRule="auto"/>
      </w:pPr>
    </w:p>
    <w:p>
      <w:pPr>
        <w:spacing w:before="0" w:after="80" w:line="312" w:lineRule="auto"/>
      </w:pPr>
      <w:r>
        <w:rPr>
          <w:rFonts w:ascii="Arial" w:hAnsi="Arial" w:cs="Arial" w:eastAsia="Arial"/>
          <w:color w:val="5A6478"/>
          <w:sz w:val="17"/>
          <w:szCs w:val="17"/>
        </w:rPr>
        <w:t>* Fund's Average Net Asset Value for Q2 = SAR 729,039,528.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48"/>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purchase, subscribe, or participate in any way in Alkhabeer Growth and Income Fund, nor does this document, or any part thereof, constitute a basis for, nor should it be relied upon for undertaking any of the foregoing, or an inducement to enter into any contract of whatever nature. Potential investors must read the Terms and Conditions of Alkhabeer Growth and Income Fund, including the investment risks stated therein, and its other documents carefully and accurately before making a decision, through the website of Alkhabeer Capital: www.alkhabeer.com This investment is not a cash deposit with a local bank. The value of the investment and any other income derived from it may rise or fall. All investors wishing to invest must also reach their decision in consultation with their financial and legal advisors and evaluate all the risks involved in the investment. No assurance can be given that the targeted and expected results will be achieved; moreover, past performance does not guarantee the fund’s future results. An investor's investment in the fund constitutes an acknowledgment that they have reviewed and accepted the fund’s Terms and Conditions. Neither the Fund Manager nor any of its affiliates shall be liable in the event of any financial loss to the fund, unless this results from deliberate acts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654270"/>
            <wp:docPr id="12" name="Picture 9050"/>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during Q2</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eligible for Dividends distribution during Q2</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during Q2</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53"/>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2654270"/>
            <wp:docPr id="16" name="Picture 9054"/>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2654270"/>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55"/>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shd w:val="clear" w:color="auto" w:fill="12284B"/>
          </w:tcPr>
          <w:p>
            <w:pPr>
              <w:spacing w:before="0" w:after="0" w:line="264" w:lineRule="auto"/>
            </w:pPr>
            <w:r>
              <w:rPr>
                <w:rFonts w:ascii="Arial" w:hAnsi="Arial" w:cs="Arial" w:eastAsia="Arial"/>
                <w:b/>
                <w:bCs/>
                <w:color w:val="FFFFFF"/>
                <w:sz w:val="15"/>
                <w:szCs w:val="15"/>
              </w:rPr>
              <w:t>Item</w:t>
            </w:r>
          </w:p>
        </w:tc>
        <w:tc>
          <w:tcPr>
            <w:tcW w:type="dxa" w:w="1425"/>
            <w:shd w:val="clear" w:color="auto" w:fill="12284B"/>
          </w:tcPr>
          <w:p>
            <w:pPr>
              <w:spacing w:before="0" w:after="0" w:line="264" w:lineRule="auto"/>
            </w:pPr>
            <w:r>
              <w:rPr>
                <w:rFonts w:ascii="Arial" w:hAnsi="Arial" w:cs="Arial" w:eastAsia="Arial"/>
                <w:b/>
                <w:bCs/>
                <w:color w:val="FFFFFF"/>
                <w:sz w:val="15"/>
                <w:szCs w:val="15"/>
              </w:rPr>
              <w:t>3 Months (End of Q2)</w:t>
            </w:r>
          </w:p>
        </w:tc>
        <w:tc>
          <w:tcPr>
            <w:tcW w:type="dxa" w:w="1425"/>
            <w:shd w:val="clear" w:color="auto" w:fill="12284B"/>
          </w:tcPr>
          <w:p>
            <w:pPr>
              <w:spacing w:before="0" w:after="0" w:line="264" w:lineRule="auto"/>
            </w:pPr>
            <w:r>
              <w:rPr>
                <w:rFonts w:ascii="Arial" w:hAnsi="Arial" w:cs="Arial" w:eastAsia="Arial"/>
                <w:b/>
                <w:bCs/>
                <w:color w:val="FFFFFF"/>
                <w:sz w:val="15"/>
                <w:szCs w:val="15"/>
              </w:rPr>
              <w:t>Year to Date (YTD)</w:t>
            </w:r>
          </w:p>
        </w:tc>
        <w:tc>
          <w:tcPr>
            <w:tcW w:type="dxa" w:w="1425"/>
            <w:shd w:val="clear" w:color="auto" w:fill="12284B"/>
          </w:tcPr>
          <w:p>
            <w:pPr>
              <w:spacing w:before="0" w:after="0" w:line="264" w:lineRule="auto"/>
            </w:pPr>
            <w:r>
              <w:rPr>
                <w:rFonts w:ascii="Arial" w:hAnsi="Arial" w:cs="Arial" w:eastAsia="Arial"/>
                <w:b/>
                <w:bCs/>
                <w:color w:val="FFFFFF"/>
                <w:sz w:val="15"/>
                <w:szCs w:val="15"/>
              </w:rPr>
              <w:t>One Year</w:t>
            </w:r>
          </w:p>
        </w:tc>
        <w:tc>
          <w:tcPr>
            <w:tcW w:type="dxa" w:w="1425"/>
            <w:shd w:val="clear" w:color="auto" w:fill="12284B"/>
          </w:tcPr>
          <w:p>
            <w:pPr>
              <w:spacing w:before="0" w:after="0" w:line="264" w:lineRule="auto"/>
            </w:pPr>
            <w:r>
              <w:rPr>
                <w:rFonts w:ascii="Arial" w:hAnsi="Arial" w:cs="Arial" w:eastAsia="Arial"/>
                <w:b/>
                <w:bCs/>
                <w:color w:val="FFFFFF"/>
                <w:sz w:val="15"/>
                <w:szCs w:val="15"/>
              </w:rPr>
              <w:t>3 Years</w:t>
            </w:r>
          </w:p>
        </w:tc>
        <w:tc>
          <w:tcPr>
            <w:tcW w:type="dxa" w:w="1425"/>
            <w:shd w:val="clear" w:color="auto" w:fill="12284B"/>
          </w:tcPr>
          <w:p>
            <w:pPr>
              <w:spacing w:before="0" w:after="0" w:line="264" w:lineRule="auto"/>
            </w:pPr>
            <w:r>
              <w:rPr>
                <w:rFonts w:ascii="Arial" w:hAnsi="Arial" w:cs="Arial" w:eastAsia="Arial"/>
                <w:b/>
                <w:bCs/>
                <w:color w:val="FFFFFF"/>
                <w:sz w:val="15"/>
                <w:szCs w:val="15"/>
              </w:rPr>
              <w:t>5 Years</w:t>
            </w:r>
          </w:p>
        </w:tc>
        <w:tc>
          <w:tcPr>
            <w:tcW w:type="dxa" w:w="1425"/>
            <w:shd w:val="clear" w:color="auto" w:fill="12284B"/>
          </w:tcPr>
          <w:p>
            <w:pPr>
              <w:spacing w:before="0" w:after="0" w:line="264" w:lineRule="auto"/>
            </w:pPr>
            <w:r>
              <w:rPr>
                <w:rFonts w:ascii="Arial" w:hAnsi="Arial" w:cs="Arial" w:eastAsia="Arial"/>
                <w:b/>
                <w:bCs/>
                <w:color w:val="FFFFFF"/>
                <w:sz w:val="15"/>
                <w:szCs w:val="15"/>
              </w:rPr>
              <w:t>Since Inception</w:t>
            </w:r>
          </w:p>
        </w:tc>
      </w:tr>
      <w:tr>
        <w:tc>
          <w:tcPr>
            <w:tcW w:type="dxa" w:w="1425"/>
          </w:tcPr>
          <w:p>
            <w:pPr>
              <w:spacing w:before="0" w:after="0" w:line="264" w:lineRule="auto"/>
            </w:pPr>
            <w:r>
              <w:rPr>
                <w:rFonts w:ascii="Arial" w:hAnsi="Arial" w:cs="Arial" w:eastAsia="Arial"/>
                <w:color w:val="0E1E3A"/>
                <w:sz w:val="15"/>
                <w:szCs w:val="15"/>
              </w:rPr>
              <w:t>Total Return to Net Asset Value per Unit (Fund Performance) *</w:t>
            </w:r>
          </w:p>
        </w:tc>
        <w:tc>
          <w:tcPr>
            <w:tcW w:type="dxa" w:w="1425"/>
            <w:noWrap/>
          </w:tcPr>
          <w:p>
            <w:pPr>
              <w:spacing w:before="0" w:after="0" w:line="264" w:lineRule="auto"/>
            </w:pPr>
            <w:r>
              <w:rPr>
                <w:rFonts w:ascii="Arial" w:hAnsi="Arial" w:cs="Arial" w:eastAsia="Arial"/>
                <w:color w:val="0E1E3A"/>
                <w:sz w:val="15"/>
                <w:szCs w:val="15"/>
              </w:rPr>
              <w:t>12.72%</w:t>
            </w:r>
          </w:p>
        </w:tc>
        <w:tc>
          <w:tcPr>
            <w:tcW w:type="dxa" w:w="1425"/>
            <w:noWrap/>
          </w:tcPr>
          <w:p>
            <w:pPr>
              <w:spacing w:before="0" w:after="0" w:line="264" w:lineRule="auto"/>
            </w:pPr>
            <w:r>
              <w:rPr>
                <w:rFonts w:ascii="Arial" w:hAnsi="Arial" w:cs="Arial" w:eastAsia="Arial"/>
                <w:color w:val="0E1E3A"/>
                <w:sz w:val="15"/>
                <w:szCs w:val="15"/>
              </w:rPr>
              <w:t>9.88%</w:t>
            </w:r>
          </w:p>
        </w:tc>
        <w:tc>
          <w:tcPr>
            <w:tcW w:type="dxa" w:w="1425"/>
            <w:noWrap/>
          </w:tcPr>
          <w:p>
            <w:pPr>
              <w:spacing w:before="0" w:after="0" w:line="264" w:lineRule="auto"/>
            </w:pPr>
            <w:r>
              <w:rPr>
                <w:rFonts w:ascii="Arial" w:hAnsi="Arial" w:cs="Arial" w:eastAsia="Arial"/>
                <w:color w:val="0E1E3A"/>
                <w:sz w:val="15"/>
                <w:szCs w:val="15"/>
              </w:rPr>
              <w:t>24.75%</w:t>
            </w:r>
          </w:p>
        </w:tc>
        <w:tc>
          <w:tcPr>
            <w:tcW w:type="dxa" w:w="1425"/>
            <w:noWrap/>
          </w:tcPr>
          <w:p>
            <w:pPr>
              <w:spacing w:before="0" w:after="0" w:line="264" w:lineRule="auto"/>
            </w:pPr>
            <w:r>
              <w:rPr>
                <w:rFonts w:ascii="Arial" w:hAnsi="Arial" w:cs="Arial" w:eastAsia="Arial"/>
                <w:color w:val="0E1E3A"/>
                <w:sz w:val="15"/>
                <w:szCs w:val="15"/>
              </w:rPr>
              <w:t>63.29%</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81.03%</w:t>
            </w:r>
          </w:p>
        </w:tc>
      </w:tr>
      <w:tr>
        <w:tc>
          <w:tcPr>
            <w:tcW w:type="dxa" w:w="1425"/>
          </w:tcPr>
          <w:p>
            <w:pPr>
              <w:spacing w:before="0" w:after="0" w:line="264" w:lineRule="auto"/>
            </w:pPr>
            <w:r>
              <w:rPr>
                <w:rFonts w:ascii="Arial" w:hAnsi="Arial" w:cs="Arial" w:eastAsia="Arial"/>
                <w:color w:val="0E1E3A"/>
                <w:sz w:val="15"/>
                <w:szCs w:val="15"/>
              </w:rPr>
              <w:t>Benchmark Performance</w:t>
            </w:r>
          </w:p>
        </w:tc>
        <w:tc>
          <w:tcPr>
            <w:tcW w:type="dxa" w:w="1425"/>
            <w:noWrap/>
          </w:tcPr>
          <w:p>
            <w:pPr>
              <w:spacing w:before="0" w:after="0" w:line="264" w:lineRule="auto"/>
            </w:pPr>
            <w:r>
              <w:rPr>
                <w:rFonts w:ascii="Arial" w:hAnsi="Arial" w:cs="Arial" w:eastAsia="Arial"/>
                <w:color w:val="0E1E3A"/>
                <w:sz w:val="15"/>
                <w:szCs w:val="15"/>
              </w:rPr>
              <w:t>12.22%</w:t>
            </w:r>
          </w:p>
        </w:tc>
        <w:tc>
          <w:tcPr>
            <w:tcW w:type="dxa" w:w="1425"/>
            <w:noWrap/>
          </w:tcPr>
          <w:p>
            <w:pPr>
              <w:spacing w:before="0" w:after="0" w:line="264" w:lineRule="auto"/>
            </w:pPr>
            <w:r>
              <w:rPr>
                <w:rFonts w:ascii="Arial" w:hAnsi="Arial" w:cs="Arial" w:eastAsia="Arial"/>
                <w:color w:val="0E1E3A"/>
                <w:sz w:val="15"/>
                <w:szCs w:val="15"/>
              </w:rPr>
              <w:t>10.83%</w:t>
            </w:r>
          </w:p>
        </w:tc>
        <w:tc>
          <w:tcPr>
            <w:tcW w:type="dxa" w:w="1425"/>
            <w:noWrap/>
          </w:tcPr>
          <w:p>
            <w:pPr>
              <w:spacing w:before="0" w:after="0" w:line="264" w:lineRule="auto"/>
            </w:pPr>
            <w:r>
              <w:rPr>
                <w:rFonts w:ascii="Arial" w:hAnsi="Arial" w:cs="Arial" w:eastAsia="Arial"/>
                <w:color w:val="0E1E3A"/>
                <w:sz w:val="15"/>
                <w:szCs w:val="15"/>
              </w:rPr>
              <w:t>26.12%</w:t>
            </w:r>
          </w:p>
        </w:tc>
        <w:tc>
          <w:tcPr>
            <w:tcW w:type="dxa" w:w="1425"/>
            <w:noWrap/>
          </w:tcPr>
          <w:p>
            <w:pPr>
              <w:spacing w:before="0" w:after="0" w:line="264" w:lineRule="auto"/>
            </w:pPr>
            <w:r>
              <w:rPr>
                <w:rFonts w:ascii="Arial" w:hAnsi="Arial" w:cs="Arial" w:eastAsia="Arial"/>
                <w:color w:val="0E1E3A"/>
                <w:sz w:val="15"/>
                <w:szCs w:val="15"/>
              </w:rPr>
              <w:t>53.66%</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66.91%</w:t>
            </w:r>
          </w:p>
        </w:tc>
      </w:tr>
      <w:tr>
        <w:tc>
          <w:tcPr>
            <w:tcW w:type="dxa" w:w="1425"/>
          </w:tcPr>
          <w:p>
            <w:pPr>
              <w:spacing w:before="0" w:after="0" w:line="264" w:lineRule="auto"/>
            </w:pPr>
            <w:r>
              <w:rPr>
                <w:rFonts w:ascii="Arial" w:hAnsi="Arial" w:cs="Arial" w:eastAsia="Arial"/>
                <w:color w:val="0E1E3A"/>
                <w:sz w:val="15"/>
                <w:szCs w:val="15"/>
              </w:rPr>
              <w:t>Performance Spread</w:t>
            </w:r>
          </w:p>
        </w:tc>
        <w:tc>
          <w:tcPr>
            <w:tcW w:type="dxa" w:w="1425"/>
            <w:noWrap/>
          </w:tcPr>
          <w:p>
            <w:pPr>
              <w:spacing w:before="0" w:after="0" w:line="264" w:lineRule="auto"/>
            </w:pPr>
            <w:r>
              <w:rPr>
                <w:rFonts w:ascii="Arial" w:hAnsi="Arial" w:cs="Arial" w:eastAsia="Arial"/>
                <w:color w:val="0E1E3A"/>
                <w:sz w:val="15"/>
                <w:szCs w:val="15"/>
              </w:rPr>
              <w:t>0.50%</w:t>
            </w:r>
          </w:p>
        </w:tc>
        <w:tc>
          <w:tcPr>
            <w:tcW w:type="dxa" w:w="1425"/>
            <w:noWrap/>
          </w:tcPr>
          <w:p>
            <w:pPr>
              <w:spacing w:before="0" w:after="0" w:line="264" w:lineRule="auto"/>
            </w:pPr>
            <w:r>
              <w:rPr>
                <w:rFonts w:ascii="Arial" w:hAnsi="Arial" w:cs="Arial" w:eastAsia="Arial"/>
                <w:color w:val="0E1E3A"/>
                <w:sz w:val="15"/>
                <w:szCs w:val="15"/>
              </w:rPr>
              <w:t>-0.95%</w:t>
            </w:r>
          </w:p>
        </w:tc>
        <w:tc>
          <w:tcPr>
            <w:tcW w:type="dxa" w:w="1425"/>
            <w:noWrap/>
          </w:tcPr>
          <w:p>
            <w:pPr>
              <w:spacing w:before="0" w:after="0" w:line="264" w:lineRule="auto"/>
            </w:pPr>
            <w:r>
              <w:rPr>
                <w:rFonts w:ascii="Arial" w:hAnsi="Arial" w:cs="Arial" w:eastAsia="Arial"/>
                <w:color w:val="0E1E3A"/>
                <w:sz w:val="15"/>
                <w:szCs w:val="15"/>
              </w:rPr>
              <w:t>-1.37%</w:t>
            </w:r>
          </w:p>
        </w:tc>
        <w:tc>
          <w:tcPr>
            <w:tcW w:type="dxa" w:w="1425"/>
            <w:noWrap/>
          </w:tcPr>
          <w:p>
            <w:pPr>
              <w:spacing w:before="0" w:after="0" w:line="264" w:lineRule="auto"/>
            </w:pPr>
            <w:r>
              <w:rPr>
                <w:rFonts w:ascii="Arial" w:hAnsi="Arial" w:cs="Arial" w:eastAsia="Arial"/>
                <w:color w:val="0E1E3A"/>
                <w:sz w:val="15"/>
                <w:szCs w:val="15"/>
              </w:rPr>
              <w:t>9.63%</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14.12%</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shd w:val="clear" w:color="auto" w:fill="12284B"/>
          </w:tcPr>
          <w:p>
            <w:pPr>
              <w:spacing w:before="0" w:after="0" w:line="264" w:lineRule="auto"/>
            </w:pPr>
            <w:r>
              <w:rPr>
                <w:rFonts w:ascii="Arial" w:hAnsi="Arial" w:cs="Arial" w:eastAsia="Arial"/>
                <w:b/>
                <w:bCs/>
                <w:color w:val="FFFFFF"/>
                <w:sz w:val="15"/>
                <w:szCs w:val="15"/>
              </w:rPr>
              <w:t>Performance and Risk Criteria</w:t>
            </w:r>
          </w:p>
        </w:tc>
        <w:tc>
          <w:tcPr>
            <w:tcW w:type="dxa" w:w="1425"/>
            <w:shd w:val="clear" w:color="auto" w:fill="12284B"/>
          </w:tcPr>
          <w:p>
            <w:pPr>
              <w:spacing w:before="0" w:after="0" w:line="264" w:lineRule="auto"/>
            </w:pPr>
            <w:r>
              <w:rPr>
                <w:rFonts w:ascii="Arial" w:hAnsi="Arial" w:cs="Arial" w:eastAsia="Arial"/>
                <w:b/>
                <w:bCs/>
                <w:color w:val="FFFFFF"/>
                <w:sz w:val="15"/>
                <w:szCs w:val="15"/>
              </w:rPr>
              <w:t>3 Months (End of Q2)</w:t>
            </w:r>
          </w:p>
        </w:tc>
        <w:tc>
          <w:tcPr>
            <w:tcW w:type="dxa" w:w="1425"/>
            <w:shd w:val="clear" w:color="auto" w:fill="12284B"/>
          </w:tcPr>
          <w:p>
            <w:pPr>
              <w:spacing w:before="0" w:after="0" w:line="264" w:lineRule="auto"/>
            </w:pPr>
            <w:r>
              <w:rPr>
                <w:rFonts w:ascii="Arial" w:hAnsi="Arial" w:cs="Arial" w:eastAsia="Arial"/>
                <w:b/>
                <w:bCs/>
                <w:color w:val="FFFFFF"/>
                <w:sz w:val="15"/>
                <w:szCs w:val="15"/>
              </w:rPr>
              <w:t>Year to Date (YTD)</w:t>
            </w:r>
          </w:p>
        </w:tc>
        <w:tc>
          <w:tcPr>
            <w:tcW w:type="dxa" w:w="1425"/>
            <w:shd w:val="clear" w:color="auto" w:fill="12284B"/>
          </w:tcPr>
          <w:p>
            <w:pPr>
              <w:spacing w:before="0" w:after="0" w:line="264" w:lineRule="auto"/>
            </w:pPr>
            <w:r>
              <w:rPr>
                <w:rFonts w:ascii="Arial" w:hAnsi="Arial" w:cs="Arial" w:eastAsia="Arial"/>
                <w:b/>
                <w:bCs/>
                <w:color w:val="FFFFFF"/>
                <w:sz w:val="15"/>
                <w:szCs w:val="15"/>
              </w:rPr>
              <w:t>One Year</w:t>
            </w:r>
          </w:p>
        </w:tc>
        <w:tc>
          <w:tcPr>
            <w:tcW w:type="dxa" w:w="1425"/>
            <w:shd w:val="clear" w:color="auto" w:fill="12284B"/>
          </w:tcPr>
          <w:p>
            <w:pPr>
              <w:spacing w:before="0" w:after="0" w:line="264" w:lineRule="auto"/>
            </w:pPr>
            <w:r>
              <w:rPr>
                <w:rFonts w:ascii="Arial" w:hAnsi="Arial" w:cs="Arial" w:eastAsia="Arial"/>
                <w:b/>
                <w:bCs/>
                <w:color w:val="FFFFFF"/>
                <w:sz w:val="15"/>
                <w:szCs w:val="15"/>
              </w:rPr>
              <w:t>3 Years</w:t>
            </w:r>
          </w:p>
        </w:tc>
        <w:tc>
          <w:tcPr>
            <w:tcW w:type="dxa" w:w="1425"/>
            <w:shd w:val="clear" w:color="auto" w:fill="12284B"/>
          </w:tcPr>
          <w:p>
            <w:pPr>
              <w:spacing w:before="0" w:after="0" w:line="264" w:lineRule="auto"/>
            </w:pPr>
            <w:r>
              <w:rPr>
                <w:rFonts w:ascii="Arial" w:hAnsi="Arial" w:cs="Arial" w:eastAsia="Arial"/>
                <w:b/>
                <w:bCs/>
                <w:color w:val="FFFFFF"/>
                <w:sz w:val="15"/>
                <w:szCs w:val="15"/>
              </w:rPr>
              <w:t>5 Years</w:t>
            </w:r>
          </w:p>
        </w:tc>
        <w:tc>
          <w:tcPr>
            <w:tcW w:type="dxa" w:w="1425"/>
            <w:shd w:val="clear" w:color="auto" w:fill="12284B"/>
          </w:tcPr>
          <w:p>
            <w:pPr>
              <w:spacing w:before="0" w:after="0" w:line="264" w:lineRule="auto"/>
            </w:pPr>
            <w:r>
              <w:rPr>
                <w:rFonts w:ascii="Arial" w:hAnsi="Arial" w:cs="Arial" w:eastAsia="Arial"/>
                <w:b/>
                <w:bCs/>
                <w:color w:val="FFFFFF"/>
                <w:sz w:val="15"/>
                <w:szCs w:val="15"/>
              </w:rPr>
              <w:t>Since Inception</w:t>
            </w:r>
          </w:p>
        </w:tc>
      </w:tr>
      <w:tr>
        <w:tc>
          <w:tcPr>
            <w:tcW w:type="dxa" w:w="1425"/>
          </w:tcPr>
          <w:p>
            <w:pPr>
              <w:spacing w:before="0" w:after="0" w:line="264" w:lineRule="auto"/>
            </w:pPr>
            <w:r>
              <w:rPr>
                <w:rFonts w:ascii="Arial" w:hAnsi="Arial" w:cs="Arial" w:eastAsia="Arial"/>
                <w:color w:val="0E1E3A"/>
                <w:sz w:val="15"/>
                <w:szCs w:val="15"/>
              </w:rPr>
              <w:t>Standard Deviation</w:t>
            </w:r>
          </w:p>
        </w:tc>
        <w:tc>
          <w:tcPr>
            <w:tcW w:type="dxa" w:w="1425"/>
            <w:noWrap/>
          </w:tcPr>
          <w:p>
            <w:pPr>
              <w:spacing w:before="0" w:after="0" w:line="264" w:lineRule="auto"/>
            </w:pPr>
            <w:r>
              <w:rPr>
                <w:rFonts w:ascii="Arial" w:hAnsi="Arial" w:cs="Arial" w:eastAsia="Arial"/>
                <w:color w:val="0E1E3A"/>
                <w:sz w:val="15"/>
                <w:szCs w:val="15"/>
              </w:rPr>
              <w:t>14.44</w:t>
            </w:r>
          </w:p>
        </w:tc>
        <w:tc>
          <w:tcPr>
            <w:tcW w:type="dxa" w:w="1425"/>
            <w:noWrap/>
          </w:tcPr>
          <w:p>
            <w:pPr>
              <w:spacing w:before="0" w:after="0" w:line="264" w:lineRule="auto"/>
            </w:pPr>
            <w:r>
              <w:rPr>
                <w:rFonts w:ascii="Arial" w:hAnsi="Arial" w:cs="Arial" w:eastAsia="Arial"/>
                <w:color w:val="0E1E3A"/>
                <w:sz w:val="15"/>
                <w:szCs w:val="15"/>
              </w:rPr>
              <w:t>14.24</w:t>
            </w:r>
          </w:p>
        </w:tc>
        <w:tc>
          <w:tcPr>
            <w:tcW w:type="dxa" w:w="1425"/>
            <w:noWrap/>
          </w:tcPr>
          <w:p>
            <w:pPr>
              <w:spacing w:before="0" w:after="0" w:line="264" w:lineRule="auto"/>
            </w:pPr>
            <w:r>
              <w:rPr>
                <w:rFonts w:ascii="Arial" w:hAnsi="Arial" w:cs="Arial" w:eastAsia="Arial"/>
                <w:color w:val="0E1E3A"/>
                <w:sz w:val="15"/>
                <w:szCs w:val="15"/>
              </w:rPr>
              <w:t>12.54</w:t>
            </w:r>
          </w:p>
        </w:tc>
        <w:tc>
          <w:tcPr>
            <w:tcW w:type="dxa" w:w="1425"/>
            <w:noWrap/>
          </w:tcPr>
          <w:p>
            <w:pPr>
              <w:spacing w:before="0" w:after="0" w:line="264" w:lineRule="auto"/>
            </w:pPr>
            <w:r>
              <w:rPr>
                <w:rFonts w:ascii="Arial" w:hAnsi="Arial" w:cs="Arial" w:eastAsia="Arial"/>
                <w:color w:val="0E1E3A"/>
                <w:sz w:val="15"/>
                <w:szCs w:val="15"/>
              </w:rPr>
              <w:t>13.44</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14.11</w:t>
            </w:r>
          </w:p>
        </w:tc>
      </w:tr>
      <w:tr>
        <w:tc>
          <w:tcPr>
            <w:tcW w:type="dxa" w:w="1425"/>
          </w:tcPr>
          <w:p>
            <w:pPr>
              <w:spacing w:before="0" w:after="0" w:line="264" w:lineRule="auto"/>
            </w:pPr>
            <w:r>
              <w:rPr>
                <w:rFonts w:ascii="Arial" w:hAnsi="Arial" w:cs="Arial" w:eastAsia="Arial"/>
                <w:color w:val="0E1E3A"/>
                <w:sz w:val="15"/>
                <w:szCs w:val="15"/>
              </w:rPr>
              <w:t>Sharpe Ratio</w:t>
            </w:r>
          </w:p>
        </w:tc>
        <w:tc>
          <w:tcPr>
            <w:tcW w:type="dxa" w:w="1425"/>
            <w:noWrap/>
          </w:tcPr>
          <w:p>
            <w:pPr>
              <w:spacing w:before="0" w:after="0" w:line="264" w:lineRule="auto"/>
            </w:pPr>
            <w:r>
              <w:rPr>
                <w:rFonts w:ascii="Arial" w:hAnsi="Arial" w:cs="Arial" w:eastAsia="Arial"/>
                <w:color w:val="0E1E3A"/>
                <w:sz w:val="15"/>
                <w:szCs w:val="15"/>
              </w:rPr>
              <w:t>3.99</w:t>
            </w:r>
          </w:p>
        </w:tc>
        <w:tc>
          <w:tcPr>
            <w:tcW w:type="dxa" w:w="1425"/>
            <w:noWrap/>
          </w:tcPr>
          <w:p>
            <w:pPr>
              <w:spacing w:before="0" w:after="0" w:line="264" w:lineRule="auto"/>
            </w:pPr>
            <w:r>
              <w:rPr>
                <w:rFonts w:ascii="Arial" w:hAnsi="Arial" w:cs="Arial" w:eastAsia="Arial"/>
                <w:color w:val="0E1E3A"/>
                <w:sz w:val="15"/>
                <w:szCs w:val="15"/>
              </w:rPr>
              <w:t>1.13</w:t>
            </w:r>
          </w:p>
        </w:tc>
        <w:tc>
          <w:tcPr>
            <w:tcW w:type="dxa" w:w="1425"/>
            <w:noWrap/>
          </w:tcPr>
          <w:p>
            <w:pPr>
              <w:spacing w:before="0" w:after="0" w:line="264" w:lineRule="auto"/>
            </w:pPr>
            <w:r>
              <w:rPr>
                <w:rFonts w:ascii="Arial" w:hAnsi="Arial" w:cs="Arial" w:eastAsia="Arial"/>
                <w:color w:val="0E1E3A"/>
                <w:sz w:val="15"/>
                <w:szCs w:val="15"/>
              </w:rPr>
              <w:t>1.57</w:t>
            </w:r>
          </w:p>
        </w:tc>
        <w:tc>
          <w:tcPr>
            <w:tcW w:type="dxa" w:w="1425"/>
            <w:noWrap/>
          </w:tcPr>
          <w:p>
            <w:pPr>
              <w:spacing w:before="0" w:after="0" w:line="264" w:lineRule="auto"/>
            </w:pPr>
            <w:r>
              <w:rPr>
                <w:rFonts w:ascii="Arial" w:hAnsi="Arial" w:cs="Arial" w:eastAsia="Arial"/>
                <w:color w:val="0E1E3A"/>
                <w:sz w:val="15"/>
                <w:szCs w:val="15"/>
              </w:rPr>
              <w:t>0.91</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0.70</w:t>
            </w:r>
          </w:p>
        </w:tc>
      </w:tr>
      <w:tr>
        <w:tc>
          <w:tcPr>
            <w:tcW w:type="dxa" w:w="1425"/>
          </w:tcPr>
          <w:p>
            <w:pPr>
              <w:spacing w:before="0" w:after="0" w:line="264" w:lineRule="auto"/>
            </w:pPr>
            <w:r>
              <w:rPr>
                <w:rFonts w:ascii="Arial" w:hAnsi="Arial" w:cs="Arial" w:eastAsia="Arial"/>
                <w:color w:val="0E1E3A"/>
                <w:sz w:val="15"/>
                <w:szCs w:val="15"/>
              </w:rPr>
              <w:t>Tracking Error</w:t>
            </w:r>
          </w:p>
        </w:tc>
        <w:tc>
          <w:tcPr>
            <w:tcW w:type="dxa" w:w="1425"/>
            <w:noWrap/>
          </w:tcPr>
          <w:p>
            <w:pPr>
              <w:spacing w:before="0" w:after="0" w:line="264" w:lineRule="auto"/>
            </w:pPr>
            <w:r>
              <w:rPr>
                <w:rFonts w:ascii="Arial" w:hAnsi="Arial" w:cs="Arial" w:eastAsia="Arial"/>
                <w:color w:val="0E1E3A"/>
                <w:sz w:val="15"/>
                <w:szCs w:val="15"/>
              </w:rPr>
              <w:t>1.87</w:t>
            </w:r>
          </w:p>
        </w:tc>
        <w:tc>
          <w:tcPr>
            <w:tcW w:type="dxa" w:w="1425"/>
            <w:noWrap/>
          </w:tcPr>
          <w:p>
            <w:pPr>
              <w:spacing w:before="0" w:after="0" w:line="264" w:lineRule="auto"/>
            </w:pPr>
            <w:r>
              <w:rPr>
                <w:rFonts w:ascii="Arial" w:hAnsi="Arial" w:cs="Arial" w:eastAsia="Arial"/>
                <w:color w:val="0E1E3A"/>
                <w:sz w:val="15"/>
                <w:szCs w:val="15"/>
              </w:rPr>
              <w:t>2.15</w:t>
            </w:r>
          </w:p>
        </w:tc>
        <w:tc>
          <w:tcPr>
            <w:tcW w:type="dxa" w:w="1425"/>
            <w:noWrap/>
          </w:tcPr>
          <w:p>
            <w:pPr>
              <w:spacing w:before="0" w:after="0" w:line="264" w:lineRule="auto"/>
            </w:pPr>
            <w:r>
              <w:rPr>
                <w:rFonts w:ascii="Arial" w:hAnsi="Arial" w:cs="Arial" w:eastAsia="Arial"/>
                <w:color w:val="0E1E3A"/>
                <w:sz w:val="15"/>
                <w:szCs w:val="15"/>
              </w:rPr>
              <w:t>1.86</w:t>
            </w:r>
          </w:p>
        </w:tc>
        <w:tc>
          <w:tcPr>
            <w:tcW w:type="dxa" w:w="1425"/>
            <w:noWrap/>
          </w:tcPr>
          <w:p>
            <w:pPr>
              <w:spacing w:before="0" w:after="0" w:line="264" w:lineRule="auto"/>
            </w:pPr>
            <w:r>
              <w:rPr>
                <w:rFonts w:ascii="Arial" w:hAnsi="Arial" w:cs="Arial" w:eastAsia="Arial"/>
                <w:color w:val="0E1E3A"/>
                <w:sz w:val="15"/>
                <w:szCs w:val="15"/>
              </w:rPr>
              <w:t>5.61</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9.23</w:t>
            </w:r>
          </w:p>
        </w:tc>
      </w:tr>
      <w:tr>
        <w:tc>
          <w:tcPr>
            <w:tcW w:type="dxa" w:w="1425"/>
          </w:tcPr>
          <w:p>
            <w:pPr>
              <w:spacing w:before="0" w:after="0" w:line="264" w:lineRule="auto"/>
            </w:pPr>
            <w:r>
              <w:rPr>
                <w:rFonts w:ascii="Arial" w:hAnsi="Arial" w:cs="Arial" w:eastAsia="Arial"/>
                <w:color w:val="0E1E3A"/>
                <w:sz w:val="15"/>
                <w:szCs w:val="15"/>
              </w:rPr>
              <w:t>Beta</w:t>
            </w:r>
          </w:p>
        </w:tc>
        <w:tc>
          <w:tcPr>
            <w:tcW w:type="dxa" w:w="1425"/>
            <w:noWrap/>
          </w:tcPr>
          <w:p>
            <w:pPr>
              <w:spacing w:before="0" w:after="0" w:line="264" w:lineRule="auto"/>
            </w:pPr>
            <w:r>
              <w:rPr>
                <w:rFonts w:ascii="Arial" w:hAnsi="Arial" w:cs="Arial" w:eastAsia="Arial"/>
                <w:color w:val="0E1E3A"/>
                <w:sz w:val="15"/>
                <w:szCs w:val="15"/>
              </w:rPr>
              <w:t>0.99</w:t>
            </w:r>
          </w:p>
        </w:tc>
        <w:tc>
          <w:tcPr>
            <w:tcW w:type="dxa" w:w="1425"/>
            <w:noWrap/>
          </w:tcPr>
          <w:p>
            <w:pPr>
              <w:spacing w:before="0" w:after="0" w:line="264" w:lineRule="auto"/>
            </w:pPr>
            <w:r>
              <w:rPr>
                <w:rFonts w:ascii="Arial" w:hAnsi="Arial" w:cs="Arial" w:eastAsia="Arial"/>
                <w:color w:val="0E1E3A"/>
                <w:sz w:val="15"/>
                <w:szCs w:val="15"/>
              </w:rPr>
              <w:t>1.00</w:t>
            </w:r>
          </w:p>
        </w:tc>
        <w:tc>
          <w:tcPr>
            <w:tcW w:type="dxa" w:w="1425"/>
            <w:noWrap/>
          </w:tcPr>
          <w:p>
            <w:pPr>
              <w:spacing w:before="0" w:after="0" w:line="264" w:lineRule="auto"/>
            </w:pPr>
            <w:r>
              <w:rPr>
                <w:rFonts w:ascii="Arial" w:hAnsi="Arial" w:cs="Arial" w:eastAsia="Arial"/>
                <w:color w:val="0E1E3A"/>
                <w:sz w:val="15"/>
                <w:szCs w:val="15"/>
              </w:rPr>
              <w:t>0.98</w:t>
            </w:r>
          </w:p>
        </w:tc>
        <w:tc>
          <w:tcPr>
            <w:tcW w:type="dxa" w:w="1425"/>
            <w:noWrap/>
          </w:tcPr>
          <w:p>
            <w:pPr>
              <w:spacing w:before="0" w:after="0" w:line="264" w:lineRule="auto"/>
            </w:pPr>
            <w:r>
              <w:rPr>
                <w:rFonts w:ascii="Arial" w:hAnsi="Arial" w:cs="Arial" w:eastAsia="Arial"/>
                <w:color w:val="0E1E3A"/>
                <w:sz w:val="15"/>
                <w:szCs w:val="15"/>
              </w:rPr>
              <w:t>0.93</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0.76</w:t>
            </w:r>
          </w:p>
        </w:tc>
      </w:tr>
      <w:tr>
        <w:tc>
          <w:tcPr>
            <w:tcW w:type="dxa" w:w="1425"/>
          </w:tcPr>
          <w:p>
            <w:pPr>
              <w:spacing w:before="0" w:after="0" w:line="264" w:lineRule="auto"/>
            </w:pPr>
            <w:r>
              <w:rPr>
                <w:rFonts w:ascii="Arial" w:hAnsi="Arial" w:cs="Arial" w:eastAsia="Arial"/>
                <w:color w:val="0E1E3A"/>
                <w:sz w:val="15"/>
                <w:szCs w:val="15"/>
              </w:rPr>
              <w:t>Alpha</w:t>
            </w:r>
          </w:p>
        </w:tc>
        <w:tc>
          <w:tcPr>
            <w:tcW w:type="dxa" w:w="1425"/>
            <w:noWrap/>
          </w:tcPr>
          <w:p>
            <w:pPr>
              <w:spacing w:before="0" w:after="0" w:line="264" w:lineRule="auto"/>
            </w:pPr>
            <w:r>
              <w:rPr>
                <w:rFonts w:ascii="Arial" w:hAnsi="Arial" w:cs="Arial" w:eastAsia="Arial"/>
                <w:color w:val="0E1E3A"/>
                <w:sz w:val="15"/>
                <w:szCs w:val="15"/>
              </w:rPr>
              <w:t>2.27%</w:t>
            </w:r>
          </w:p>
        </w:tc>
        <w:tc>
          <w:tcPr>
            <w:tcW w:type="dxa" w:w="1425"/>
            <w:noWrap/>
          </w:tcPr>
          <w:p>
            <w:pPr>
              <w:spacing w:before="0" w:after="0" w:line="264" w:lineRule="auto"/>
            </w:pPr>
            <w:r>
              <w:rPr>
                <w:rFonts w:ascii="Arial" w:hAnsi="Arial" w:cs="Arial" w:eastAsia="Arial"/>
                <w:color w:val="0E1E3A"/>
                <w:sz w:val="15"/>
                <w:szCs w:val="15"/>
              </w:rPr>
              <w:t>-1.95%</w:t>
            </w:r>
          </w:p>
        </w:tc>
        <w:tc>
          <w:tcPr>
            <w:tcW w:type="dxa" w:w="1425"/>
            <w:noWrap/>
          </w:tcPr>
          <w:p>
            <w:pPr>
              <w:spacing w:before="0" w:after="0" w:line="264" w:lineRule="auto"/>
            </w:pPr>
            <w:r>
              <w:rPr>
                <w:rFonts w:ascii="Arial" w:hAnsi="Arial" w:cs="Arial" w:eastAsia="Arial"/>
                <w:color w:val="0E1E3A"/>
                <w:sz w:val="15"/>
                <w:szCs w:val="15"/>
              </w:rPr>
              <w:t>-0.97%</w:t>
            </w:r>
          </w:p>
        </w:tc>
        <w:tc>
          <w:tcPr>
            <w:tcW w:type="dxa" w:w="1425"/>
            <w:noWrap/>
          </w:tcPr>
          <w:p>
            <w:pPr>
              <w:spacing w:before="0" w:after="0" w:line="264" w:lineRule="auto"/>
            </w:pPr>
            <w:r>
              <w:rPr>
                <w:rFonts w:ascii="Arial" w:hAnsi="Arial" w:cs="Arial" w:eastAsia="Arial"/>
                <w:color w:val="0E1E3A"/>
                <w:sz w:val="15"/>
                <w:szCs w:val="15"/>
              </w:rPr>
              <w:t>3.89%</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5.33%</w:t>
            </w:r>
          </w:p>
        </w:tc>
      </w:tr>
      <w:tr>
        <w:tc>
          <w:tcPr>
            <w:tcW w:type="dxa" w:w="1425"/>
          </w:tcPr>
          <w:p>
            <w:pPr>
              <w:spacing w:before="0" w:after="0" w:line="264" w:lineRule="auto"/>
            </w:pPr>
            <w:r>
              <w:rPr>
                <w:rFonts w:ascii="Arial" w:hAnsi="Arial" w:cs="Arial" w:eastAsia="Arial"/>
                <w:color w:val="0E1E3A"/>
                <w:sz w:val="15"/>
                <w:szCs w:val="15"/>
              </w:rPr>
              <w:t>Information Ratio</w:t>
            </w:r>
          </w:p>
        </w:tc>
        <w:tc>
          <w:tcPr>
            <w:tcW w:type="dxa" w:w="1425"/>
            <w:noWrap/>
          </w:tcPr>
          <w:p>
            <w:pPr>
              <w:spacing w:before="0" w:after="0" w:line="264" w:lineRule="auto"/>
            </w:pPr>
            <w:r>
              <w:rPr>
                <w:rFonts w:ascii="Arial" w:hAnsi="Arial" w:cs="Arial" w:eastAsia="Arial"/>
                <w:color w:val="0E1E3A"/>
                <w:sz w:val="15"/>
                <w:szCs w:val="15"/>
              </w:rPr>
              <w:t>1.55</w:t>
            </w:r>
          </w:p>
        </w:tc>
        <w:tc>
          <w:tcPr>
            <w:tcW w:type="dxa" w:w="1425"/>
            <w:noWrap/>
          </w:tcPr>
          <w:p>
            <w:pPr>
              <w:spacing w:before="0" w:after="0" w:line="264" w:lineRule="auto"/>
            </w:pPr>
            <w:r>
              <w:rPr>
                <w:rFonts w:ascii="Arial" w:hAnsi="Arial" w:cs="Arial" w:eastAsia="Arial"/>
                <w:color w:val="0E1E3A"/>
                <w:sz w:val="15"/>
                <w:szCs w:val="15"/>
              </w:rPr>
              <w:t>-0.99</w:t>
            </w:r>
          </w:p>
        </w:tc>
        <w:tc>
          <w:tcPr>
            <w:tcW w:type="dxa" w:w="1425"/>
            <w:noWrap/>
          </w:tcPr>
          <w:p>
            <w:pPr>
              <w:spacing w:before="0" w:after="0" w:line="264" w:lineRule="auto"/>
            </w:pPr>
            <w:r>
              <w:rPr>
                <w:rFonts w:ascii="Arial" w:hAnsi="Arial" w:cs="Arial" w:eastAsia="Arial"/>
                <w:color w:val="0E1E3A"/>
                <w:sz w:val="15"/>
                <w:szCs w:val="15"/>
              </w:rPr>
              <w:t>-0.73</w:t>
            </w:r>
          </w:p>
        </w:tc>
        <w:tc>
          <w:tcPr>
            <w:tcW w:type="dxa" w:w="1425"/>
            <w:noWrap/>
          </w:tcPr>
          <w:p>
            <w:pPr>
              <w:spacing w:before="0" w:after="0" w:line="264" w:lineRule="auto"/>
            </w:pPr>
            <w:r>
              <w:rPr>
                <w:rFonts w:ascii="Arial" w:hAnsi="Arial" w:cs="Arial" w:eastAsia="Arial"/>
                <w:color w:val="0E1E3A"/>
                <w:sz w:val="15"/>
                <w:szCs w:val="15"/>
              </w:rPr>
              <w:t>0.42</w:t>
            </w:r>
          </w:p>
        </w:tc>
        <w:tc>
          <w:tcPr>
            <w:tcW w:type="dxa" w:w="1425"/>
          </w:tcPr>
          <w:p>
            <w:pPr>
              <w:spacing w:before="0" w:after="0" w:line="264" w:lineRule="auto"/>
            </w:pPr>
            <w:r>
              <w:rPr>
                <w:rFonts w:ascii="Arial" w:hAnsi="Arial" w:cs="Arial" w:eastAsia="Arial"/>
                <w:color w:val="0E1E3A"/>
                <w:sz w:val="15"/>
                <w:szCs w:val="15"/>
              </w:rPr>
              <w:t>N/A</w:t>
            </w:r>
          </w:p>
        </w:tc>
        <w:tc>
          <w:tcPr>
            <w:tcW w:type="dxa" w:w="1425"/>
            <w:noWrap/>
          </w:tcPr>
          <w:p>
            <w:pPr>
              <w:spacing w:before="0" w:after="0" w:line="264" w:lineRule="auto"/>
            </w:pPr>
            <w:r>
              <w:rPr>
                <w:rFonts w:ascii="Arial" w:hAnsi="Arial" w:cs="Arial" w:eastAsia="Arial"/>
                <w:color w:val="0E1E3A"/>
                <w:sz w:val="15"/>
                <w:szCs w:val="15"/>
              </w:rPr>
              <w:t>0.24</w:t>
            </w:r>
          </w:p>
        </w:tc>
      </w:tr>
    </w:tbl>
    <w:p>
      <w:pPr>
        <w:spacing w:before="0" w:after="40" w:line="300" w:lineRule="auto"/>
      </w:pPr>
    </w:p>
    <w:p>
      <w:pPr>
        <w:spacing w:before="0" w:after="80" w:line="312" w:lineRule="auto"/>
      </w:pPr>
      <w:r>
        <w:rPr>
          <w:rFonts w:ascii="Arial" w:hAnsi="Arial" w:cs="Arial" w:eastAsia="Arial"/>
          <w:color w:val="5A6478"/>
          <w:sz w:val="17"/>
          <w:szCs w:val="17"/>
        </w:rPr>
        <w:t>All performance and risk measures calculations are based on daily time series data.</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Benchmark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Benchmark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Peformance as of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2" name="Picture 9060"/>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of 29 June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61"/>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62"/>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Q2 2026</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