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0"/>
            <wp:cNvGraphicFramePr/>
            <a:graphic>
              <a:graphicData uri="http://schemas.openxmlformats.org/drawingml/2006/picture">
                <pic:pic>
                  <pic:nvPicPr>
                    <pic:cNvPr id="9030" name="banner9030.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31"/>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أ.</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هدف الصندوق:</w:t>
      </w:r>
    </w:p>
    <w:p>
      <w:pPr>
        <w:bidi w:val="1"/>
        <w:spacing w:before="0" w:after="80" w:line="312" w:lineRule="auto"/>
      </w:pPr>
      <w:r>
        <w:rPr>
          <w:rFonts w:ascii="Arial" w:hAnsi="Arial" w:cs="Arial" w:eastAsia="Arial"/>
          <w:color w:val="0E1E3A"/>
          <w:sz w:val="20"/>
          <w:szCs w:val="20"/>
          <w:rtl/>
        </w:rPr>
        <w:t>الهدف الاستثماري للصندوق هو تحقيق دخل دوري للمستثمرين من خلال الاستثمار في أصول مدرّة للدخل في الصكوك، وصفقات التمويل التجاري، وصفقات الإجارة، وصناديق الدخل، وصفقات المرابحة، إما بشكل مباشر، أو من خلال صناديق استثمار متوافقة مع ضوابط لجنة الرقابة الشرعية.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ب.</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بدء الصندوق</w:t>
            </w:r>
          </w:p>
        </w:tc>
        <w:tc>
          <w:tcPr>
            <w:tcW w:type="dxa" w:w="6860"/>
          </w:tcPr>
          <w:p>
            <w:pPr>
              <w:bidi w:val="1"/>
              <w:spacing w:before="0" w:after="0" w:line="276" w:lineRule="auto"/>
            </w:pPr>
            <w:r>
              <w:rPr>
                <w:rFonts w:ascii="Arial" w:hAnsi="Arial" w:cs="Arial" w:eastAsia="Arial"/>
                <w:b/>
                <w:bCs/>
                <w:color w:val="0E1E3A"/>
                <w:sz w:val="18"/>
                <w:szCs w:val="18"/>
                <w:rtl/>
              </w:rPr>
              <w:t>19 يناير 2021م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عند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9.0273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الصندوق*</w:t>
            </w:r>
          </w:p>
        </w:tc>
        <w:tc>
          <w:tcPr>
            <w:tcW w:type="dxa" w:w="6860"/>
          </w:tcPr>
          <w:p>
            <w:pPr>
              <w:bidi w:val="1"/>
              <w:spacing w:before="0" w:after="0" w:line="276" w:lineRule="auto"/>
            </w:pPr>
            <w:r>
              <w:rPr>
                <w:rFonts w:ascii="Arial" w:hAnsi="Arial" w:cs="Arial" w:eastAsia="Arial"/>
                <w:b/>
                <w:bCs/>
                <w:color w:val="0E1E3A"/>
                <w:sz w:val="18"/>
                <w:szCs w:val="18"/>
                <w:rtl/>
              </w:rPr>
              <w:t>430,457,311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معدل التمويل المضمون لليلة واحدة (SOFR) لمدة 12 شهرًا، زائدًا 300 نقطة أساس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مرات التوزيع (إن وُجد)</w:t>
            </w:r>
          </w:p>
        </w:tc>
        <w:tc>
          <w:tcPr>
            <w:tcW w:type="dxa" w:w="6860"/>
          </w:tcPr>
          <w:p>
            <w:pPr>
              <w:bidi w:val="1"/>
              <w:spacing w:before="0" w:after="0" w:line="276" w:lineRule="auto"/>
            </w:pPr>
            <w:r>
              <w:rPr>
                <w:rFonts w:ascii="Arial" w:hAnsi="Arial" w:cs="Arial" w:eastAsia="Arial"/>
                <w:b/>
                <w:bCs/>
                <w:color w:val="0E1E3A"/>
                <w:sz w:val="18"/>
                <w:szCs w:val="18"/>
                <w:rtl/>
              </w:rPr>
              <w:t>بشكل نصف سنوي خلال شهري فبراير وأغسطس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‎0.25%‎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 (إن وُجد)</w:t>
            </w:r>
          </w:p>
        </w:tc>
        <w:tc>
          <w:tcPr>
            <w:tcW w:type="dxa" w:w="6860"/>
          </w:tcPr>
          <w:p>
            <w:pPr>
              <w:bidi w:val="1"/>
              <w:spacing w:before="0" w:after="0" w:line="276" w:lineRule="auto"/>
            </w:pPr>
            <w:r>
              <w:rPr>
                <w:rFonts w:ascii="Arial" w:hAnsi="Arial" w:cs="Arial" w:eastAsia="Arial"/>
                <w:b/>
                <w:bCs/>
                <w:color w:val="0E1E3A"/>
                <w:sz w:val="18"/>
                <w:szCs w:val="18"/>
                <w:rtl/>
              </w:rPr>
              <w:t>-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إجمالي أصول الصندوق كما في تاريخ 30 يونيو 2026م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ج.</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تعريفات:</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الانحراف المعياري</w:t>
            </w:r>
          </w:p>
        </w:tc>
        <w:tc>
          <w:tcPr>
            <w:tcW w:type="dxa" w:w="6860"/>
          </w:tcPr>
          <w:p>
            <w:pPr>
              <w:bidi w:val="1"/>
              <w:spacing w:before="0" w:after="0" w:line="276" w:lineRule="auto"/>
            </w:pPr>
            <w:r>
              <w:rPr>
                <w:rFonts w:ascii="Arial" w:hAnsi="Arial" w:cs="Arial" w:eastAsia="Arial"/>
                <w:b/>
                <w:bCs/>
                <w:color w:val="0E1E3A"/>
                <w:sz w:val="18"/>
                <w:szCs w:val="18"/>
                <w:rtl/>
              </w:rPr>
              <w:t>هو مقياس للمخاطر، ويتم حسابه على أنه التذبذب بين العوائد على مدى فترة زمنية. وكلما انخفض التقلب، كانت مجموعة العوائد أكثر تجانسًا.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مؤشر شارب</w:t>
            </w:r>
          </w:p>
        </w:tc>
        <w:tc>
          <w:tcPr>
            <w:tcW w:type="dxa" w:w="6860"/>
          </w:tcPr>
          <w:p>
            <w:pPr>
              <w:bidi w:val="1"/>
              <w:spacing w:before="0" w:after="0" w:line="276" w:lineRule="auto"/>
            </w:pPr>
            <w:r>
              <w:rPr>
                <w:rFonts w:ascii="Arial" w:hAnsi="Arial" w:cs="Arial" w:eastAsia="Arial"/>
                <w:b/>
                <w:bCs/>
                <w:color w:val="0E1E3A"/>
                <w:sz w:val="18"/>
                <w:szCs w:val="18"/>
                <w:rtl/>
              </w:rPr>
              <w:t>هو مقياس أداء معدل المخاطر، ويتم حسابه على أنه الفرق كعائد فائض لمدير الصندوق على المعدل الخالي من المخاطر، مقسومًا على الانحراف المعياري. وكلما زاد معدل شارب للمحفظة، كلما كان أداؤه حسب المخاطر أفضل.</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خطأ التتبع (Tracking Error) هو مقياس للمخاطر، ويتم حسابه على أنه الانحراف المعياري بين عائد مدير الصندوق وعائد المؤشر. وكلما انخفض خطأ التتبع، كلما انحرف مدير الصندوق عن المؤشر.</w:t>
            </w:r>
          </w:p>
        </w:tc>
        <w:tc>
          <w:tcPr>
            <w:tcW w:type="dxa" w:w="6860"/>
          </w:tcPr>
          <w:p>
            <w:pPr>
              <w:bidi w:val="1"/>
              <w:spacing w:before="0" w:after="0" w:line="276" w:lineRule="auto"/>
            </w:pP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بيتا (Beta)</w:t>
            </w:r>
          </w:p>
        </w:tc>
        <w:tc>
          <w:tcPr>
            <w:tcW w:type="dxa" w:w="6860"/>
          </w:tcPr>
          <w:p>
            <w:pPr>
              <w:bidi w:val="1"/>
              <w:spacing w:before="0" w:after="0" w:line="276" w:lineRule="auto"/>
            </w:pPr>
            <w:r>
              <w:rPr>
                <w:rFonts w:ascii="Arial" w:hAnsi="Arial" w:cs="Arial" w:eastAsia="Arial"/>
                <w:b/>
                <w:bCs/>
                <w:color w:val="0E1E3A"/>
                <w:sz w:val="18"/>
                <w:szCs w:val="18"/>
                <w:rtl/>
              </w:rPr>
              <w:t>هو مقياس لمتوسط الحساسية التاريخية لعوائد الصندوق مقارنة بعوائد السوق، ويتم احتسابها عن طريق حساب تغاير سعر الوحدة ومؤشر السوق على تباين مؤشر السوق.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ألفا (Alpha)</w:t>
            </w:r>
          </w:p>
        </w:tc>
        <w:tc>
          <w:tcPr>
            <w:tcW w:type="dxa" w:w="6860"/>
          </w:tcPr>
          <w:p>
            <w:pPr>
              <w:bidi w:val="1"/>
              <w:spacing w:before="0" w:after="0" w:line="276" w:lineRule="auto"/>
            </w:pPr>
            <w:r>
              <w:rPr>
                <w:rFonts w:ascii="Arial" w:hAnsi="Arial" w:cs="Arial" w:eastAsia="Arial"/>
                <w:b/>
                <w:bCs/>
                <w:color w:val="0E1E3A"/>
                <w:sz w:val="18"/>
                <w:szCs w:val="18"/>
                <w:rtl/>
              </w:rPr>
              <w:t>هو مقياس أي تفوق حققه أداء الصندوق مقارنةً بأداء المؤشر المرتبط به.</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مؤشر المعلومات</w:t>
            </w:r>
          </w:p>
        </w:tc>
        <w:tc>
          <w:tcPr>
            <w:tcW w:type="dxa" w:w="6860"/>
          </w:tcPr>
          <w:p>
            <w:pPr>
              <w:bidi w:val="1"/>
              <w:spacing w:before="0" w:after="0" w:line="276" w:lineRule="auto"/>
            </w:pPr>
            <w:r>
              <w:rPr>
                <w:rFonts w:ascii="Arial" w:hAnsi="Arial" w:cs="Arial" w:eastAsia="Arial"/>
                <w:b/>
                <w:bCs/>
                <w:color w:val="0E1E3A"/>
                <w:sz w:val="18"/>
                <w:szCs w:val="18"/>
                <w:rtl/>
              </w:rPr>
              <w:t>هو مقياس أداء معدل المخاطر، ويتم حسابه على أنه العائد النشط لمدير الصندوق مقسومًا على خطأ التتبع الخاص به. وكلما ارتفع معدل المعلومات، كلما ازدادت قدرة مدير الصندوق على تحقيق عوائد زائدة لكل وحدة من المخاطر الزائدة.</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5"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د.</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تعليق مدير الصندوق:</w:t>
      </w:r>
    </w:p>
    <w:p>
      <w:pPr>
        <w:bidi w:val="1"/>
        <w:spacing w:before="0" w:after="80" w:line="312" w:lineRule="auto"/>
      </w:pPr>
      <w:r>
        <w:rPr>
          <w:rFonts w:ascii="Arial" w:hAnsi="Arial" w:cs="Arial" w:eastAsia="Arial"/>
          <w:color w:val="0E1E3A"/>
          <w:sz w:val="20"/>
          <w:szCs w:val="20"/>
          <w:rtl/>
        </w:rPr>
        <w:t xml:space="preserve">يواصل مدير الصندوق متابعة عملية التخارج من صندوق الدخل "برستيج بريميوم الزراعي" مع شركة كي بي إم جي (KPMG LLP) المشرفة على التخارج الاختياري، عن كثب، وقد تم تطبيق أحدث المستجدات التي استلمها مدير الصندوق لسعر الوحدة في صندوق الدخل "برستيج بريميوم الزراعي"(25.87 دولار للوحدة)، على آخر تقييم لصندوق "الخبير للدخل المتنوع المتداول". وسيتم إبقاء مالكي الوحدات على اطلاع بأي تطورات جوهرية حال حدوثها. وتبلغ القيمة الحالية لهذا الانكشاف 3.1 مليون دولار أمريكي، بما يعادل </w:t>
      </w:r>
      <w:r>
        <w:rPr>
          <w:rFonts w:ascii="Arial" w:hAnsi="Arial" w:cs="Arial" w:eastAsia="Arial"/>
          <w:color w:val="0E1E3A"/>
          <w:sz w:val="20"/>
          <w:szCs w:val="20"/>
        </w:rPr>
        <w:t>‎2.73%‎</w:t>
      </w:r>
      <w:r>
        <w:rPr>
          <w:rFonts w:ascii="Arial" w:hAnsi="Arial" w:cs="Arial" w:eastAsia="Arial"/>
          <w:color w:val="0E1E3A"/>
          <w:sz w:val="20"/>
          <w:szCs w:val="20"/>
          <w:rtl/>
        </w:rPr>
        <w:t xml:space="preserve"> من صافي قيمة أصول الصندوق. وقد بلغ الاستثمار الأولي 12 مليون دولار أمريكي، بما مثل </w:t>
      </w:r>
      <w:r>
        <w:rPr>
          <w:rFonts w:ascii="Arial" w:hAnsi="Arial" w:cs="Arial" w:eastAsia="Arial"/>
          <w:color w:val="0E1E3A"/>
          <w:sz w:val="20"/>
          <w:szCs w:val="20"/>
        </w:rPr>
        <w:t>‎9.54%‎</w:t>
      </w:r>
      <w:r>
        <w:rPr>
          <w:rFonts w:ascii="Arial" w:hAnsi="Arial" w:cs="Arial" w:eastAsia="Arial"/>
          <w:color w:val="0E1E3A"/>
          <w:sz w:val="20"/>
          <w:szCs w:val="20"/>
          <w:rtl/>
        </w:rPr>
        <w:t xml:space="preserve"> من صافي قيمة أصول الصندوق عند بدء هذا الاستثمار.</w:t>
      </w:r>
    </w:p>
    <w:p>
      <w:pPr>
        <w:bidi w:val="1"/>
        <w:spacing w:before="0" w:after="80" w:line="312" w:lineRule="auto"/>
      </w:pPr>
      <w:r>
        <w:rPr>
          <w:rFonts w:ascii="Arial" w:hAnsi="Arial" w:cs="Arial" w:eastAsia="Arial"/>
          <w:color w:val="0E1E3A"/>
          <w:sz w:val="20"/>
          <w:szCs w:val="20"/>
          <w:rtl/>
        </w:rPr>
        <w:t xml:space="preserve">كما شهدت بعض استثمارات الصندوق في عمليات تمويل التجارة العالمية بعض التأخيرات في السداد و التحصيل، ومن المتوقع أن تؤثر هذه التأخيرات في عوائد الصندوق الدورية إلى حين تسويتها. مع العلم أنه لا تعتبر هذه المبالغ حاليًا كخسائر في الصندوق، نظرًا لاستمرار جهود الاسترداد. وتتركز هذه التأخيرات في 3 أصول، بإجمالي قدره 11.05 مليون دولار أمريكي، بما يعادل </w:t>
      </w:r>
      <w:r>
        <w:rPr>
          <w:rFonts w:ascii="Arial" w:hAnsi="Arial" w:cs="Arial" w:eastAsia="Arial"/>
          <w:color w:val="0E1E3A"/>
          <w:sz w:val="20"/>
          <w:szCs w:val="20"/>
        </w:rPr>
        <w:t>‎9.72%‎</w:t>
      </w:r>
      <w:r>
        <w:rPr>
          <w:rFonts w:ascii="Arial" w:hAnsi="Arial" w:cs="Arial" w:eastAsia="Arial"/>
          <w:color w:val="0E1E3A"/>
          <w:sz w:val="20"/>
          <w:szCs w:val="20"/>
          <w:rtl/>
        </w:rPr>
        <w:t xml:space="preserve"> من صافي قيمة أصول الصندوق. ويواصل مدير الصندوق متابعة الوسطاء وفيما يتعلق بالانكشافات (</w:t>
      </w:r>
      <w:r>
        <w:rPr>
          <w:rFonts w:ascii="Arial" w:hAnsi="Arial" w:cs="Arial" w:eastAsia="Arial"/>
          <w:color w:val="0E1E3A"/>
          <w:sz w:val="20"/>
          <w:szCs w:val="20"/>
        </w:rPr>
        <w:t>‎12.45%‎</w:t>
      </w:r>
      <w:r>
        <w:rPr>
          <w:rFonts w:ascii="Arial" w:hAnsi="Arial" w:cs="Arial" w:eastAsia="Arial"/>
          <w:color w:val="0E1E3A"/>
          <w:sz w:val="20"/>
          <w:szCs w:val="20"/>
          <w:rtl/>
        </w:rPr>
        <w:t xml:space="preserve"> من صافي قيمة الأصول) المشار إليها أعلاه، يود مدير الصندوق التنويه إلى وجود عدد من المخاطر، من أبرزها ما يلي.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حالات التأخير المحتملة في المسار الزمني للتخارج أو تحقيق عوائد أقل من المتوقع.</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انخفاض قيمة الاستثمار في حال بيع الأصول المستثمر بها بأقل من قيمتها الدفترية.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المخاطرة في عدم استرداد رأس المال المستثمر به كاملاً؛ وذلك إذا واجه الصندوق بعد تصفيته التزامات أو نفقات إضافية غير متوقعة.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ه.</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الاتصال:</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رقم الهاتف</w:t>
            </w:r>
          </w:p>
        </w:tc>
        <w:tc>
          <w:tcPr>
            <w:tcW w:type="dxa" w:w="6860"/>
          </w:tcPr>
          <w:p>
            <w:pPr>
              <w:bidi w:val="1"/>
              <w:spacing w:before="0" w:after="0" w:line="276" w:lineRule="auto"/>
            </w:pPr>
            <w:r>
              <w:rPr>
                <w:rFonts w:ascii="Arial" w:hAnsi="Arial" w:cs="Arial" w:eastAsia="Arial"/>
                <w:b/>
                <w:bCs/>
                <w:color w:val="0E1E3A"/>
                <w:sz w:val="18"/>
                <w:szCs w:val="18"/>
              </w:rPr>
              <w:t>‎+966 12 658 8888‎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الموقع الإلكتروني</w:t>
            </w:r>
          </w:p>
        </w:tc>
        <w:tc>
          <w:tcPr>
            <w:tcW w:type="dxa" w:w="6860"/>
          </w:tcPr>
          <w:p>
            <w:pPr>
              <w:bidi w:val="1"/>
              <w:spacing w:before="0" w:after="0" w:line="276" w:lineRule="auto"/>
            </w:pPr>
            <w:r>
              <w:rPr>
                <w:rFonts w:ascii="Arial" w:hAnsi="Arial" w:cs="Arial" w:eastAsia="Arial"/>
                <w:b/>
                <w:bCs/>
                <w:color w:val="0E1E3A"/>
                <w:sz w:val="18"/>
                <w:szCs w:val="18"/>
                <w:rtl/>
              </w:rPr>
              <w:t>www.alkhabeer.com</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البريد الإلكتروني</w:t>
            </w:r>
          </w:p>
        </w:tc>
        <w:tc>
          <w:tcPr>
            <w:tcW w:type="dxa" w:w="6860"/>
          </w:tcPr>
          <w:p>
            <w:pPr>
              <w:bidi w:val="1"/>
              <w:spacing w:before="0" w:after="0" w:line="276" w:lineRule="auto"/>
            </w:pPr>
            <w:r>
              <w:rPr>
                <w:rFonts w:ascii="Arial" w:hAnsi="Arial" w:cs="Arial" w:eastAsia="Arial"/>
                <w:b/>
                <w:bCs/>
                <w:color w:val="0E1E3A"/>
                <w:sz w:val="18"/>
                <w:szCs w:val="18"/>
                <w:rtl/>
              </w:rPr>
              <w:t>info@alkhabeer.com</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و.</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معلومات الأسعار كما في نهاية الربع المعني (يونيو 2026م):</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في السوق كما في نهاية الربع الثاني (30 يونيو 2026م)*</w:t>
            </w:r>
          </w:p>
        </w:tc>
        <w:tc>
          <w:tcPr>
            <w:tcW w:type="dxa" w:w="6860"/>
          </w:tcPr>
          <w:p>
            <w:pPr>
              <w:bidi w:val="1"/>
              <w:spacing w:before="0" w:after="0" w:line="276" w:lineRule="auto"/>
            </w:pPr>
            <w:r>
              <w:rPr>
                <w:rFonts w:ascii="Arial" w:hAnsi="Arial" w:cs="Arial" w:eastAsia="Arial"/>
                <w:b/>
                <w:bCs/>
                <w:color w:val="0E1E3A"/>
                <w:sz w:val="18"/>
                <w:szCs w:val="18"/>
                <w:rtl/>
              </w:rPr>
              <w:t>4.80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w:t>
            </w:r>
          </w:p>
        </w:tc>
        <w:tc>
          <w:tcPr>
            <w:tcW w:type="dxa" w:w="6860"/>
          </w:tcPr>
          <w:p>
            <w:pPr>
              <w:bidi w:val="1"/>
              <w:spacing w:before="0" w:after="0" w:line="276" w:lineRule="auto"/>
            </w:pPr>
            <w:r>
              <w:rPr>
                <w:rFonts w:ascii="Arial" w:hAnsi="Arial" w:cs="Arial" w:eastAsia="Arial"/>
                <w:b/>
                <w:bCs/>
                <w:color w:val="0E1E3A"/>
                <w:sz w:val="18"/>
                <w:szCs w:val="18"/>
              </w:rPr>
              <w:t>‎-1.84%‎</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وحدات الصندوق</w:t>
            </w:r>
          </w:p>
        </w:tc>
        <w:tc>
          <w:tcPr>
            <w:tcW w:type="dxa" w:w="6860"/>
          </w:tcPr>
          <w:p>
            <w:pPr>
              <w:bidi w:val="1"/>
              <w:spacing w:before="0" w:after="0" w:line="276" w:lineRule="auto"/>
            </w:pPr>
            <w:r>
              <w:rPr>
                <w:rFonts w:ascii="Arial" w:hAnsi="Arial" w:cs="Arial" w:eastAsia="Arial"/>
                <w:b/>
                <w:bCs/>
                <w:color w:val="0E1E3A"/>
                <w:sz w:val="18"/>
                <w:szCs w:val="18"/>
                <w:rtl/>
              </w:rPr>
              <w:t>47,281,470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أصول الصندوق</w:t>
            </w:r>
          </w:p>
        </w:tc>
        <w:tc>
          <w:tcPr>
            <w:tcW w:type="dxa" w:w="6860"/>
          </w:tcPr>
          <w:p>
            <w:pPr>
              <w:bidi w:val="1"/>
              <w:spacing w:before="0" w:after="0" w:line="276" w:lineRule="auto"/>
            </w:pPr>
            <w:r>
              <w:rPr>
                <w:rFonts w:ascii="Arial" w:hAnsi="Arial" w:cs="Arial" w:eastAsia="Arial"/>
                <w:b/>
                <w:bCs/>
                <w:color w:val="0E1E3A"/>
                <w:sz w:val="18"/>
                <w:szCs w:val="18"/>
                <w:rtl/>
              </w:rPr>
              <w:t>426,823,936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 (P/E)</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xml:space="preserve">* يُمثل سعر السوق خصماً بنسبة </w:t>
      </w:r>
      <w:r>
        <w:rPr>
          <w:rFonts w:ascii="Arial" w:hAnsi="Arial" w:cs="Arial" w:eastAsia="Arial"/>
          <w:color w:val="5A6478"/>
          <w:sz w:val="17"/>
          <w:szCs w:val="17"/>
        </w:rPr>
        <w:t>‎46%‎</w:t>
      </w:r>
      <w:r>
        <w:rPr>
          <w:rFonts w:ascii="Arial" w:hAnsi="Arial" w:cs="Arial" w:eastAsia="Arial"/>
          <w:color w:val="5A6478"/>
          <w:sz w:val="17"/>
          <w:szCs w:val="17"/>
          <w:rtl/>
        </w:rPr>
        <w:t xml:space="preserve"> عن صافي قيمة الأصول كما في نهاية الربع.</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8"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ز.</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معلومات الصندوق كما في نهاية الربع الثاني (يونيو 2026م):</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ريال سعودي</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w:t>
            </w:r>
          </w:p>
        </w:tc>
      </w:tr>
      <w:tr>
        <w:tc>
          <w:tcPr>
            <w:tcW w:type="dxa" w:w="3326"/>
          </w:tcPr>
          <w:p>
            <w:pPr>
              <w:bidi w:val="1"/>
              <w:spacing w:before="0" w:after="0" w:line="264" w:lineRule="auto"/>
            </w:pPr>
            <w:r>
              <w:rPr>
                <w:rFonts w:ascii="Arial" w:hAnsi="Arial" w:cs="Arial" w:eastAsia="Arial"/>
                <w:color w:val="0E1E3A"/>
                <w:sz w:val="17"/>
                <w:szCs w:val="17"/>
                <w:rtl/>
              </w:rPr>
              <w:t>نسبة الأتعاب الإجمالية (TER) من متوسط صافي أصول الصندوق *</w:t>
            </w:r>
          </w:p>
        </w:tc>
        <w:tc>
          <w:tcPr>
            <w:tcW w:type="dxa" w:w="3326"/>
          </w:tcPr>
          <w:p>
            <w:pPr>
              <w:bidi w:val="1"/>
              <w:spacing w:before="0" w:after="0" w:line="264" w:lineRule="auto"/>
            </w:pPr>
            <w:r>
              <w:rPr>
                <w:rFonts w:ascii="Arial" w:hAnsi="Arial" w:cs="Arial" w:eastAsia="Arial"/>
                <w:color w:val="0E1E3A"/>
                <w:sz w:val="17"/>
                <w:szCs w:val="17"/>
                <w:rtl/>
              </w:rPr>
              <w:t>1,702,228 ر.س.</w:t>
            </w:r>
          </w:p>
        </w:tc>
        <w:tc>
          <w:tcPr>
            <w:tcW w:type="dxa" w:w="3326"/>
          </w:tcPr>
          <w:p>
            <w:pPr>
              <w:bidi w:val="1"/>
              <w:spacing w:before="0" w:after="0" w:line="264" w:lineRule="auto"/>
            </w:pPr>
            <w:r>
              <w:rPr>
                <w:rFonts w:ascii="Arial" w:hAnsi="Arial" w:cs="Arial" w:eastAsia="Arial"/>
                <w:color w:val="0E1E3A"/>
                <w:sz w:val="17"/>
                <w:szCs w:val="17"/>
              </w:rPr>
              <w:t>‎0.40%‎</w:t>
            </w:r>
          </w:p>
        </w:tc>
      </w:tr>
      <w:tr>
        <w:tc>
          <w:tcPr>
            <w:tcW w:type="dxa" w:w="3326"/>
          </w:tcPr>
          <w:p>
            <w:pPr>
              <w:bidi w:val="1"/>
              <w:spacing w:before="0" w:after="0" w:line="264" w:lineRule="auto"/>
            </w:pPr>
            <w:r>
              <w:rPr>
                <w:rFonts w:ascii="Arial" w:hAnsi="Arial" w:cs="Arial" w:eastAsia="Arial"/>
                <w:color w:val="0E1E3A"/>
                <w:sz w:val="17"/>
                <w:szCs w:val="17"/>
                <w:rtl/>
              </w:rPr>
              <w:t>نسبة الاقتراض من القيمة الإجمالية لأصول الصندوق</w:t>
            </w:r>
          </w:p>
        </w:tc>
        <w:tc>
          <w:tcPr>
            <w:tcW w:type="dxa" w:w="3326"/>
          </w:tcPr>
          <w:p>
            <w:pPr>
              <w:bidi w:val="1"/>
              <w:spacing w:before="0" w:after="0" w:line="264" w:lineRule="auto"/>
            </w:pPr>
            <w:r>
              <w:rPr>
                <w:rFonts w:ascii="Arial" w:hAnsi="Arial" w:cs="Arial" w:eastAsia="Arial"/>
                <w:color w:val="0E1E3A"/>
                <w:sz w:val="17"/>
                <w:szCs w:val="17"/>
                <w:rtl/>
              </w:rPr>
              <w:t>لا يوجد</w:t>
            </w:r>
          </w:p>
        </w:tc>
        <w:tc>
          <w:tcPr>
            <w:tcW w:type="dxa" w:w="3326"/>
          </w:tcPr>
          <w:p>
            <w:pPr>
              <w:bidi w:val="1"/>
              <w:spacing w:before="0" w:after="0" w:line="264" w:lineRule="auto"/>
            </w:pPr>
            <w:r>
              <w:rPr>
                <w:rFonts w:ascii="Arial" w:hAnsi="Arial" w:cs="Arial" w:eastAsia="Arial"/>
                <w:color w:val="0E1E3A"/>
                <w:sz w:val="17"/>
                <w:szCs w:val="17"/>
                <w:rtl/>
              </w:rPr>
              <w:t>لا يوجد</w:t>
            </w:r>
          </w:p>
        </w:tc>
      </w:tr>
      <w:tr>
        <w:tc>
          <w:tcPr>
            <w:tcW w:type="dxa" w:w="3326"/>
          </w:tcPr>
          <w:p>
            <w:pPr>
              <w:bidi w:val="1"/>
              <w:spacing w:before="0" w:after="0" w:line="264" w:lineRule="auto"/>
            </w:pPr>
            <w:r>
              <w:rPr>
                <w:rFonts w:ascii="Arial" w:hAnsi="Arial" w:cs="Arial" w:eastAsia="Arial"/>
                <w:color w:val="0E1E3A"/>
                <w:sz w:val="17"/>
                <w:szCs w:val="17"/>
                <w:rtl/>
              </w:rPr>
              <w:t>مصاريف التعامل من متوسط صافي أصول الصندوق</w:t>
            </w:r>
          </w:p>
        </w:tc>
        <w:tc>
          <w:tcPr>
            <w:tcW w:type="dxa" w:w="3326"/>
          </w:tcPr>
          <w:p>
            <w:pPr>
              <w:bidi w:val="1"/>
              <w:spacing w:before="0" w:after="0" w:line="264" w:lineRule="auto"/>
            </w:pPr>
            <w:r>
              <w:rPr>
                <w:rFonts w:ascii="Arial" w:hAnsi="Arial" w:cs="Arial" w:eastAsia="Arial"/>
                <w:color w:val="0E1E3A"/>
                <w:sz w:val="17"/>
                <w:szCs w:val="17"/>
                <w:rtl/>
              </w:rPr>
              <w:t>لا يوجد</w:t>
            </w:r>
          </w:p>
        </w:tc>
        <w:tc>
          <w:tcPr>
            <w:tcW w:type="dxa" w:w="3326"/>
          </w:tcPr>
          <w:p>
            <w:pPr>
              <w:bidi w:val="1"/>
              <w:spacing w:before="0" w:after="0" w:line="264" w:lineRule="auto"/>
            </w:pPr>
            <w:r>
              <w:rPr>
                <w:rFonts w:ascii="Arial" w:hAnsi="Arial" w:cs="Arial" w:eastAsia="Arial"/>
                <w:color w:val="0E1E3A"/>
                <w:sz w:val="17"/>
                <w:szCs w:val="17"/>
                <w:rtl/>
              </w:rPr>
              <w:t>لا يوجد</w:t>
            </w:r>
          </w:p>
        </w:tc>
      </w:tr>
      <w:tr>
        <w:tc>
          <w:tcPr>
            <w:tcW w:type="dxa" w:w="3326"/>
          </w:tcPr>
          <w:p>
            <w:pPr>
              <w:bidi w:val="1"/>
              <w:spacing w:before="0" w:after="0" w:line="264" w:lineRule="auto"/>
            </w:pPr>
            <w:r>
              <w:rPr>
                <w:rFonts w:ascii="Arial" w:hAnsi="Arial" w:cs="Arial" w:eastAsia="Arial"/>
                <w:color w:val="0E1E3A"/>
                <w:sz w:val="17"/>
                <w:szCs w:val="17"/>
                <w:rtl/>
              </w:rPr>
              <w:t>استثمار مدير الصندوق من صافي أصول الصندوق</w:t>
            </w:r>
          </w:p>
        </w:tc>
        <w:tc>
          <w:tcPr>
            <w:tcW w:type="dxa" w:w="3326"/>
          </w:tcPr>
          <w:p>
            <w:pPr>
              <w:bidi w:val="1"/>
              <w:spacing w:before="0" w:after="0" w:line="264" w:lineRule="auto"/>
            </w:pPr>
            <w:r>
              <w:rPr>
                <w:rFonts w:ascii="Arial" w:hAnsi="Arial" w:cs="Arial" w:eastAsia="Arial"/>
                <w:color w:val="0E1E3A"/>
                <w:sz w:val="17"/>
                <w:szCs w:val="17"/>
                <w:rtl/>
              </w:rPr>
              <w:t>لا يوجد</w:t>
            </w:r>
          </w:p>
        </w:tc>
        <w:tc>
          <w:tcPr>
            <w:tcW w:type="dxa" w:w="3326"/>
          </w:tcPr>
          <w:p>
            <w:pPr>
              <w:bidi w:val="1"/>
              <w:spacing w:before="0" w:after="0" w:line="264" w:lineRule="auto"/>
            </w:pPr>
            <w:r>
              <w:rPr>
                <w:rFonts w:ascii="Arial" w:hAnsi="Arial" w:cs="Arial" w:eastAsia="Arial"/>
                <w:color w:val="0E1E3A"/>
                <w:sz w:val="17"/>
                <w:szCs w:val="17"/>
                <w:rtl/>
              </w:rPr>
              <w:t>لا يوجد</w:t>
            </w:r>
          </w:p>
        </w:tc>
      </w:tr>
      <w:tr>
        <w:tc>
          <w:tcPr>
            <w:tcW w:type="dxa" w:w="3326"/>
          </w:tcPr>
          <w:p>
            <w:pPr>
              <w:bidi w:val="1"/>
              <w:spacing w:before="0" w:after="0" w:line="264" w:lineRule="auto"/>
            </w:pPr>
            <w:r>
              <w:rPr>
                <w:rFonts w:ascii="Arial" w:hAnsi="Arial" w:cs="Arial" w:eastAsia="Arial"/>
                <w:color w:val="0E1E3A"/>
                <w:sz w:val="17"/>
                <w:szCs w:val="17"/>
                <w:rtl/>
              </w:rPr>
              <w:t>الأرباح الموزعة من صافي أصول الصندوق</w:t>
            </w:r>
          </w:p>
        </w:tc>
        <w:tc>
          <w:tcPr>
            <w:tcW w:type="dxa" w:w="3326"/>
          </w:tcPr>
          <w:p>
            <w:pPr>
              <w:bidi w:val="1"/>
              <w:spacing w:before="0" w:after="0" w:line="264" w:lineRule="auto"/>
            </w:pPr>
            <w:r>
              <w:rPr>
                <w:rFonts w:ascii="Arial" w:hAnsi="Arial" w:cs="Arial" w:eastAsia="Arial"/>
                <w:color w:val="0E1E3A"/>
                <w:sz w:val="17"/>
                <w:szCs w:val="17"/>
                <w:rtl/>
              </w:rPr>
              <w:t>0 ر.س.</w:t>
            </w:r>
          </w:p>
        </w:tc>
        <w:tc>
          <w:tcPr>
            <w:tcW w:type="dxa" w:w="3326"/>
          </w:tcPr>
          <w:p>
            <w:pPr>
              <w:bidi w:val="1"/>
              <w:spacing w:before="0" w:after="0" w:line="264" w:lineRule="auto"/>
            </w:pPr>
            <w:r>
              <w:rPr>
                <w:rFonts w:ascii="Arial" w:hAnsi="Arial" w:cs="Arial" w:eastAsia="Arial"/>
                <w:color w:val="0E1E3A"/>
                <w:sz w:val="17"/>
                <w:szCs w:val="17"/>
              </w:rPr>
              <w:t>‎0.00%‎</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متوسط صافي قيمة الأصول = 424,999,748 ريال سعودي خلال الربع المعني.</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ح.</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ملكية تامة</w:t>
            </w:r>
          </w:p>
        </w:tc>
        <w:tc>
          <w:tcPr>
            <w:tcW w:type="dxa" w:w="6860"/>
          </w:tcPr>
          <w:p>
            <w:pPr>
              <w:bidi w:val="1"/>
              <w:spacing w:before="0" w:after="0" w:line="276" w:lineRule="auto"/>
            </w:pPr>
            <w:r>
              <w:rPr>
                <w:rFonts w:ascii="Arial" w:hAnsi="Arial" w:cs="Arial" w:eastAsia="Arial"/>
                <w:b/>
                <w:bCs/>
                <w:color w:val="0E1E3A"/>
                <w:sz w:val="18"/>
                <w:szCs w:val="18"/>
              </w:rPr>
              <w:t>‎100%‎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حق منفعة</w:t>
            </w:r>
          </w:p>
        </w:tc>
        <w:tc>
          <w:tcPr>
            <w:tcW w:type="dxa" w:w="6860"/>
          </w:tcPr>
          <w:p>
            <w:pPr>
              <w:bidi w:val="1"/>
              <w:spacing w:before="0" w:after="0" w:line="276" w:lineRule="auto"/>
            </w:pPr>
            <w:r>
              <w:rPr>
                <w:rFonts w:ascii="Arial" w:hAnsi="Arial" w:cs="Arial" w:eastAsia="Arial"/>
                <w:b/>
                <w:bCs/>
                <w:color w:val="0E1E3A"/>
                <w:sz w:val="18"/>
                <w:szCs w:val="18"/>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ط.</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إخلاء مسؤولية:</w:t>
      </w:r>
    </w:p>
    <w:p>
      <w:pPr>
        <w:bidi w:val="1"/>
        <w:spacing w:before="0" w:after="80" w:line="312" w:lineRule="auto"/>
      </w:pPr>
      <w:r>
        <w:rPr>
          <w:rFonts w:ascii="Arial" w:hAnsi="Arial" w:cs="Arial" w:eastAsia="Arial"/>
          <w:color w:val="0E1E3A"/>
          <w:sz w:val="20"/>
          <w:szCs w:val="20"/>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المتنوع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ويعد استثمار المستثمر في الصندوق إقرارًا منه باطلاعه على شروط وأحكام الصندوق وقبوله بها. وتنتفي المسؤولية عن مدير الصندوق أو أي من تابعيه في حال وقوع أي خسارة مالية للصندوق ما لم يكن ذلك ناتجًا عن أسباب متعمدة من قبل مدير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ي.</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أكبر عشرة استثمارات للصندوق:</w:t>
      </w:r>
    </w:p>
    <w:p>
      <w:pPr>
        <w:bidi w:val="1"/>
        <w:spacing w:before="0" w:after="80" w:line="240" w:lineRule="auto"/>
        <w:jc w:val="center"/>
      </w:pPr>
      <w:r>
        <w:drawing>
          <wp:inline xmlns:a="http://schemas.openxmlformats.org/drawingml/2006/main" xmlns:pic="http://schemas.openxmlformats.org/drawingml/2006/picture">
            <wp:extent cx="6336000" cy="2911135"/>
            <wp:docPr id="12" name="Picture 9041"/>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2911135"/>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42"/>
            <wp:cNvGraphicFramePr>
              <a:graphicFrameLocks noChangeAspect="1"/>
            </wp:cNvGraphicFramePr>
            <a:graphic>
              <a:graphicData uri="http://schemas.openxmlformats.org/drawingml/2006/picture">
                <pic:pic>
                  <pic:nvPicPr>
                    <pic:cNvPr id="0" name="ico_737e94dc9d8d67dbf235ae564951a5f7.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ك.</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 الأرباح الموزعة على مالكي الوحدات (إن وُجدت)، بحسب الآتي: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في الربع الثاني</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 التي تم التوزيع لها خلال الربع الثاني</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الربح الموزع لكل وحدة خلال الربع الثاني</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التوزيعات من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أحقية التوزيعات النقدية التي تم توزيعها خلال الربع المعني</w:t>
            </w:r>
          </w:p>
        </w:tc>
        <w:tc>
          <w:tcPr>
            <w:tcW w:type="dxa" w:w="6860"/>
          </w:tcPr>
          <w:p>
            <w:pPr>
              <w:bidi w:val="1"/>
              <w:spacing w:before="0" w:after="0" w:line="276" w:lineRule="auto"/>
            </w:pPr>
            <w:r>
              <w:rPr>
                <w:rFonts w:ascii="Arial" w:hAnsi="Arial" w:cs="Arial" w:eastAsia="Arial"/>
                <w:b/>
                <w:bCs/>
                <w:color w:val="0E1E3A"/>
                <w:sz w:val="18"/>
                <w:szCs w:val="18"/>
                <w:rtl/>
              </w:rPr>
              <w:t>-</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ل.</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التصنيف الائتماني لأدوات الدين المستثمّر فيها لأكبر عشرة استثمارات للصندوق، وذلك بحسب الآتي: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التصنيف الائتماني لأداة الدين</w:t>
            </w:r>
          </w:p>
        </w:tc>
        <w:tc>
          <w:tcPr>
            <w:tcW w:type="dxa" w:w="6860"/>
          </w:tcPr>
          <w:p>
            <w:pPr>
              <w:bidi w:val="1"/>
              <w:spacing w:before="0" w:after="0" w:line="276" w:lineRule="auto"/>
            </w:pPr>
            <w:r>
              <w:rPr>
                <w:rFonts w:ascii="Arial" w:hAnsi="Arial" w:cs="Arial" w:eastAsia="Arial"/>
                <w:b/>
                <w:bCs/>
                <w:color w:val="0E1E3A"/>
                <w:sz w:val="18"/>
                <w:szCs w:val="18"/>
                <w:rtl/>
              </w:rPr>
              <w:t>Aa</w:t>
            </w:r>
            <w:r>
              <w:rPr>
                <w:rFonts w:ascii="Arial" w:hAnsi="Arial" w:cs="Arial" w:eastAsia="Arial"/>
                <w:b/>
                <w:bCs/>
                <w:color w:val="0E1E3A"/>
                <w:sz w:val="18"/>
                <w:szCs w:val="18"/>
                <w:rtl/>
              </w:rPr>
              <w:t>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التصنيف الائتماني لمصدر أداة الدين</w:t>
            </w:r>
          </w:p>
        </w:tc>
        <w:tc>
          <w:tcPr>
            <w:tcW w:type="dxa" w:w="6860"/>
          </w:tcPr>
          <w:p>
            <w:pPr>
              <w:bidi w:val="1"/>
              <w:spacing w:before="0" w:after="0" w:line="276" w:lineRule="auto"/>
            </w:pPr>
            <w:r>
              <w:rPr>
                <w:rFonts w:ascii="Arial" w:hAnsi="Arial" w:cs="Arial" w:eastAsia="Arial"/>
                <w:b/>
                <w:bCs/>
                <w:color w:val="0E1E3A"/>
                <w:sz w:val="18"/>
                <w:szCs w:val="18"/>
                <w:rtl/>
              </w:rPr>
              <w:t>Aa</w:t>
            </w:r>
            <w:r>
              <w:rPr>
                <w:rFonts w:ascii="Arial" w:hAnsi="Arial" w:cs="Arial" w:eastAsia="Arial"/>
                <w:b/>
                <w:bCs/>
                <w:color w:val="0E1E3A"/>
                <w:sz w:val="18"/>
                <w:szCs w:val="18"/>
                <w:rtl/>
              </w:rPr>
              <w:t>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اسم وكالة التصنيف الائتماني المانحة للتصنيف الائتماني</w:t>
            </w:r>
          </w:p>
        </w:tc>
        <w:tc>
          <w:tcPr>
            <w:tcW w:type="dxa" w:w="6860"/>
          </w:tcPr>
          <w:p>
            <w:pPr>
              <w:bidi w:val="1"/>
              <w:spacing w:before="0" w:after="0" w:line="276" w:lineRule="auto"/>
            </w:pPr>
            <w:r>
              <w:rPr>
                <w:rFonts w:ascii="Arial" w:hAnsi="Arial" w:cs="Arial" w:eastAsia="Arial"/>
                <w:b/>
                <w:bCs/>
                <w:color w:val="0E1E3A"/>
                <w:sz w:val="18"/>
                <w:szCs w:val="18"/>
                <w:rtl/>
              </w:rPr>
              <w:t>Moody’s</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تاريخ التصنيف الائتماني</w:t>
            </w:r>
          </w:p>
        </w:tc>
        <w:tc>
          <w:tcPr>
            <w:tcW w:type="dxa" w:w="6860"/>
          </w:tcPr>
          <w:p>
            <w:pPr>
              <w:bidi w:val="1"/>
              <w:spacing w:before="0" w:after="0" w:line="276" w:lineRule="auto"/>
            </w:pPr>
            <w:r>
              <w:rPr>
                <w:rFonts w:ascii="Arial" w:hAnsi="Arial" w:cs="Arial" w:eastAsia="Arial"/>
                <w:b/>
                <w:bCs/>
                <w:color w:val="0E1E3A"/>
                <w:sz w:val="18"/>
                <w:szCs w:val="18"/>
                <w:rtl/>
              </w:rPr>
              <w:t>27 نوفمبر 2024م</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لا ينطبق على الاستثمارات المتبقية.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44"/>
            <wp:cNvGraphicFramePr>
              <a:graphicFrameLocks noChangeAspect="1"/>
            </wp:cNvGraphicFramePr>
            <a:graphic>
              <a:graphicData uri="http://schemas.openxmlformats.org/drawingml/2006/picture">
                <pic:pic>
                  <pic:nvPicPr>
                    <pic:cNvPr id="0" name="ico_737e94dc9d8d67dbf235ae564951a5f7.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م.</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توزيع أصول الصندوق (قطاعي/ 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16" name="Picture 9045"/>
            <wp:cNvGraphicFramePr>
              <a:graphicFrameLocks noChangeAspect="1"/>
            </wp:cNvGraphicFramePr>
            <a:graphic>
              <a:graphicData uri="http://schemas.openxmlformats.org/drawingml/2006/picture">
                <pic:pic>
                  <pic:nvPicPr>
                    <pic:cNvPr id="0" name="x3.j.jpg"/>
                    <pic:cNvPicPr/>
                  </pic:nvPicPr>
                  <pic:blipFill>
                    <a:blip r:embed="rId18"/>
                    <a:stretch>
                      <a:fillRect/>
                    </a:stretch>
                  </pic:blipFill>
                  <pic:spPr>
                    <a:xfrm>
                      <a:off x="0" y="0"/>
                      <a:ext cx="6336000" cy="1883676"/>
                    </a:xfrm>
                    <a:prstGeom prst="rect"/>
                  </pic:spPr>
                </pic:pic>
              </a:graphicData>
            </a:graphic>
          </wp:inline>
        </w:drawing>
      </w:r>
    </w:p>
    <w:p>
      <w:pPr>
        <w:bidi w:val="1"/>
        <w:spacing w:before="0" w:after="80" w:line="240" w:lineRule="auto"/>
        <w:jc w:val="center"/>
      </w:pPr>
      <w:r>
        <w:drawing>
          <wp:inline xmlns:a="http://schemas.openxmlformats.org/drawingml/2006/main" xmlns:pic="http://schemas.openxmlformats.org/drawingml/2006/picture">
            <wp:extent cx="6336000" cy="1883676"/>
            <wp:docPr id="17" name="Picture 9046"/>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1883676"/>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متوسط مدة استثمارات الصندوق 3-4 سنوات.</w:t>
      </w:r>
      <w:r>
        <w:br/>
      </w:r>
      <w:r>
        <w:rPr>
          <w:rFonts w:ascii="Arial" w:hAnsi="Arial" w:cs="Arial" w:eastAsia="Arial"/>
          <w:color w:val="5A6478"/>
          <w:sz w:val="17"/>
          <w:szCs w:val="17"/>
          <w:rtl/>
        </w:rPr>
        <w:t>** كما هو الحال في بداية الربع المعني، يجري حالياً إعداد أحدث البيانات.</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47"/>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ن.</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العائد: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(نهاية الربع الثاني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 ******</w:t>
            </w:r>
          </w:p>
        </w:tc>
      </w:tr>
      <w:tr>
        <w:tc>
          <w:tcPr>
            <w:tcW w:type="dxa" w:w="1663"/>
          </w:tcPr>
          <w:p>
            <w:pPr>
              <w:bidi w:val="1"/>
              <w:spacing w:before="0" w:after="0" w:line="264" w:lineRule="auto"/>
            </w:pPr>
            <w:r>
              <w:rPr>
                <w:rFonts w:ascii="Arial" w:hAnsi="Arial" w:cs="Arial" w:eastAsia="Arial"/>
                <w:color w:val="0E1E3A"/>
                <w:sz w:val="17"/>
                <w:szCs w:val="17"/>
                <w:rtl/>
              </w:rPr>
              <w:t>العائد الكلي لصافي قيمة الوحدة "أداء الصندوق" *</w:t>
            </w:r>
          </w:p>
        </w:tc>
        <w:tc>
          <w:tcPr>
            <w:tcW w:type="dxa" w:w="1663"/>
          </w:tcPr>
          <w:p>
            <w:pPr>
              <w:bidi w:val="1"/>
              <w:spacing w:before="0" w:after="0" w:line="264" w:lineRule="auto"/>
            </w:pPr>
            <w:r>
              <w:rPr>
                <w:rFonts w:ascii="Arial" w:hAnsi="Arial" w:cs="Arial" w:eastAsia="Arial"/>
                <w:color w:val="0E1E3A"/>
                <w:sz w:val="17"/>
                <w:szCs w:val="17"/>
              </w:rPr>
              <w:t>‎0.86%‎</w:t>
            </w:r>
          </w:p>
        </w:tc>
        <w:tc>
          <w:tcPr>
            <w:tcW w:type="dxa" w:w="1663"/>
          </w:tcPr>
          <w:p>
            <w:pPr>
              <w:bidi w:val="1"/>
              <w:spacing w:before="0" w:after="0" w:line="264" w:lineRule="auto"/>
            </w:pPr>
            <w:r>
              <w:rPr>
                <w:rFonts w:ascii="Arial" w:hAnsi="Arial" w:cs="Arial" w:eastAsia="Arial"/>
                <w:color w:val="0E1E3A"/>
                <w:sz w:val="17"/>
                <w:szCs w:val="17"/>
              </w:rPr>
              <w:t>‎1.58%‎</w:t>
            </w:r>
          </w:p>
        </w:tc>
        <w:tc>
          <w:tcPr>
            <w:tcW w:type="dxa" w:w="1663"/>
          </w:tcPr>
          <w:p>
            <w:pPr>
              <w:bidi w:val="1"/>
              <w:spacing w:before="0" w:after="0" w:line="264" w:lineRule="auto"/>
            </w:pPr>
            <w:r>
              <w:rPr>
                <w:rFonts w:ascii="Arial" w:hAnsi="Arial" w:cs="Arial" w:eastAsia="Arial"/>
                <w:color w:val="0E1E3A"/>
                <w:sz w:val="17"/>
                <w:szCs w:val="17"/>
              </w:rPr>
              <w:t>‎3.47%‎</w:t>
            </w:r>
          </w:p>
        </w:tc>
        <w:tc>
          <w:tcPr>
            <w:tcW w:type="dxa" w:w="1663"/>
          </w:tcPr>
          <w:p>
            <w:pPr>
              <w:bidi w:val="1"/>
              <w:spacing w:before="0" w:after="0" w:line="264" w:lineRule="auto"/>
            </w:pPr>
            <w:r>
              <w:rPr>
                <w:rFonts w:ascii="Arial" w:hAnsi="Arial" w:cs="Arial" w:eastAsia="Arial"/>
                <w:color w:val="0E1E3A"/>
                <w:sz w:val="17"/>
                <w:szCs w:val="17"/>
              </w:rPr>
              <w:t>‎5.38%‎</w:t>
            </w:r>
          </w:p>
        </w:tc>
        <w:tc>
          <w:tcPr>
            <w:tcW w:type="dxa" w:w="1663"/>
          </w:tcPr>
          <w:p>
            <w:pPr>
              <w:bidi w:val="1"/>
              <w:spacing w:before="0" w:after="0" w:line="264" w:lineRule="auto"/>
            </w:pPr>
            <w:r>
              <w:rPr>
                <w:rFonts w:ascii="Arial" w:hAnsi="Arial" w:cs="Arial" w:eastAsia="Arial"/>
                <w:color w:val="0E1E3A"/>
                <w:sz w:val="17"/>
                <w:szCs w:val="17"/>
              </w:rPr>
              <w:t>‎13.89%‎</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‎1.68%‎</w:t>
            </w:r>
          </w:p>
        </w:tc>
        <w:tc>
          <w:tcPr>
            <w:tcW w:type="dxa" w:w="1663"/>
          </w:tcPr>
          <w:p>
            <w:pPr>
              <w:bidi w:val="1"/>
              <w:spacing w:before="0" w:after="0" w:line="264" w:lineRule="auto"/>
            </w:pPr>
            <w:r>
              <w:rPr>
                <w:rFonts w:ascii="Arial" w:hAnsi="Arial" w:cs="Arial" w:eastAsia="Arial"/>
                <w:color w:val="0E1E3A"/>
                <w:sz w:val="17"/>
                <w:szCs w:val="17"/>
              </w:rPr>
              <w:t>‎3.307%‎</w:t>
            </w:r>
          </w:p>
        </w:tc>
        <w:tc>
          <w:tcPr>
            <w:tcW w:type="dxa" w:w="1663"/>
          </w:tcPr>
          <w:p>
            <w:pPr>
              <w:bidi w:val="1"/>
              <w:spacing w:before="0" w:after="0" w:line="264" w:lineRule="auto"/>
            </w:pPr>
            <w:r>
              <w:rPr>
                <w:rFonts w:ascii="Arial" w:hAnsi="Arial" w:cs="Arial" w:eastAsia="Arial"/>
                <w:color w:val="0E1E3A"/>
                <w:sz w:val="17"/>
                <w:szCs w:val="17"/>
              </w:rPr>
              <w:t>‎6.78%‎</w:t>
            </w:r>
          </w:p>
        </w:tc>
        <w:tc>
          <w:tcPr>
            <w:tcW w:type="dxa" w:w="1663"/>
          </w:tcPr>
          <w:p>
            <w:pPr>
              <w:bidi w:val="1"/>
              <w:spacing w:before="0" w:after="0" w:line="264" w:lineRule="auto"/>
            </w:pPr>
            <w:r>
              <w:rPr>
                <w:rFonts w:ascii="Arial" w:hAnsi="Arial" w:cs="Arial" w:eastAsia="Arial"/>
                <w:color w:val="0E1E3A"/>
                <w:sz w:val="17"/>
                <w:szCs w:val="17"/>
              </w:rPr>
              <w:t>‎24.12%‎</w:t>
            </w:r>
          </w:p>
        </w:tc>
        <w:tc>
          <w:tcPr>
            <w:tcW w:type="dxa" w:w="1663"/>
          </w:tcPr>
          <w:p>
            <w:pPr>
              <w:bidi w:val="1"/>
              <w:spacing w:before="0" w:after="0" w:line="264" w:lineRule="auto"/>
            </w:pPr>
            <w:r>
              <w:rPr>
                <w:rFonts w:ascii="Arial" w:hAnsi="Arial" w:cs="Arial" w:eastAsia="Arial"/>
                <w:color w:val="0E1E3A"/>
                <w:sz w:val="17"/>
                <w:szCs w:val="17"/>
              </w:rPr>
              <w:t>‎39.88%‎</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‎-0.82%‎</w:t>
            </w:r>
          </w:p>
        </w:tc>
        <w:tc>
          <w:tcPr>
            <w:tcW w:type="dxa" w:w="1663"/>
          </w:tcPr>
          <w:p>
            <w:pPr>
              <w:bidi w:val="1"/>
              <w:spacing w:before="0" w:after="0" w:line="264" w:lineRule="auto"/>
            </w:pPr>
            <w:r>
              <w:rPr>
                <w:rFonts w:ascii="Arial" w:hAnsi="Arial" w:cs="Arial" w:eastAsia="Arial"/>
                <w:color w:val="0E1E3A"/>
                <w:sz w:val="17"/>
                <w:szCs w:val="17"/>
              </w:rPr>
              <w:t>‎-1.72%‎</w:t>
            </w:r>
          </w:p>
        </w:tc>
        <w:tc>
          <w:tcPr>
            <w:tcW w:type="dxa" w:w="1663"/>
          </w:tcPr>
          <w:p>
            <w:pPr>
              <w:bidi w:val="1"/>
              <w:spacing w:before="0" w:after="0" w:line="264" w:lineRule="auto"/>
            </w:pPr>
            <w:r>
              <w:rPr>
                <w:rFonts w:ascii="Arial" w:hAnsi="Arial" w:cs="Arial" w:eastAsia="Arial"/>
                <w:color w:val="0E1E3A"/>
                <w:sz w:val="17"/>
                <w:szCs w:val="17"/>
              </w:rPr>
              <w:t>‎-3.31%‎</w:t>
            </w:r>
          </w:p>
        </w:tc>
        <w:tc>
          <w:tcPr>
            <w:tcW w:type="dxa" w:w="1663"/>
          </w:tcPr>
          <w:p>
            <w:pPr>
              <w:bidi w:val="1"/>
              <w:spacing w:before="0" w:after="0" w:line="264" w:lineRule="auto"/>
            </w:pPr>
            <w:r>
              <w:rPr>
                <w:rFonts w:ascii="Arial" w:hAnsi="Arial" w:cs="Arial" w:eastAsia="Arial"/>
                <w:color w:val="0E1E3A"/>
                <w:sz w:val="17"/>
                <w:szCs w:val="17"/>
              </w:rPr>
              <w:t>‎-18.74%‎</w:t>
            </w:r>
          </w:p>
        </w:tc>
        <w:tc>
          <w:tcPr>
            <w:tcW w:type="dxa" w:w="1663"/>
          </w:tcPr>
          <w:p>
            <w:pPr>
              <w:bidi w:val="1"/>
              <w:spacing w:before="0" w:after="0" w:line="264" w:lineRule="auto"/>
            </w:pPr>
            <w:r>
              <w:rPr>
                <w:rFonts w:ascii="Arial" w:hAnsi="Arial" w:cs="Arial" w:eastAsia="Arial"/>
                <w:color w:val="0E1E3A"/>
                <w:sz w:val="17"/>
                <w:szCs w:val="17"/>
              </w:rPr>
              <w:t>‎-25.99%‎</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العائد الكلي = أداء صافي قيمة الوحدة بالإضافة إلى الأرباح الموزعة.</w:t>
      </w:r>
      <w:r>
        <w:br/>
      </w:r>
      <w:r>
        <w:rPr>
          <w:rFonts w:ascii="Arial" w:hAnsi="Arial" w:cs="Arial" w:eastAsia="Arial"/>
          <w:color w:val="5A6478"/>
          <w:sz w:val="17"/>
          <w:szCs w:val="17"/>
          <w:rtl/>
        </w:rPr>
        <w:t>** عن الفترة من 1 ابريل 2026م إلى 30 يونيو 2026م.</w:t>
      </w:r>
      <w:r>
        <w:br/>
      </w:r>
      <w:r>
        <w:rPr>
          <w:rFonts w:ascii="Arial" w:hAnsi="Arial" w:cs="Arial" w:eastAsia="Arial"/>
          <w:color w:val="5A6478"/>
          <w:sz w:val="17"/>
          <w:szCs w:val="17"/>
          <w:rtl/>
        </w:rPr>
        <w:t>*** عن الفترة من 1 يناير 2026م إلى 30 يونيو 2026م.</w:t>
      </w:r>
      <w:r>
        <w:br/>
      </w:r>
      <w:r>
        <w:rPr>
          <w:rFonts w:ascii="Arial" w:hAnsi="Arial" w:cs="Arial" w:eastAsia="Arial"/>
          <w:color w:val="5A6478"/>
          <w:sz w:val="17"/>
          <w:szCs w:val="17"/>
          <w:rtl/>
        </w:rPr>
        <w:t>**** عن الفترة من 30 يونيو 2025م إلى 30 يونيو 2026م.</w:t>
      </w:r>
      <w:r>
        <w:br/>
      </w:r>
      <w:r>
        <w:rPr>
          <w:rFonts w:ascii="Arial" w:hAnsi="Arial" w:cs="Arial" w:eastAsia="Arial"/>
          <w:color w:val="5A6478"/>
          <w:sz w:val="17"/>
          <w:szCs w:val="17"/>
          <w:rtl/>
        </w:rPr>
        <w:t>***** عن الفترة من 30 يونيو 2023م إلى 30 يونيو 2026م.</w:t>
      </w:r>
      <w:r>
        <w:br/>
      </w:r>
      <w:r>
        <w:rPr>
          <w:rFonts w:ascii="Arial" w:hAnsi="Arial" w:cs="Arial" w:eastAsia="Arial"/>
          <w:color w:val="5A6478"/>
          <w:sz w:val="17"/>
          <w:szCs w:val="17"/>
          <w:rtl/>
        </w:rPr>
        <w:t>****** عن الفترة من 30 يونيو 2021م إلى 30 يونيو 2026م.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48"/>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س.</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(نهاية الربع الثاني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 *****</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w:t>
            </w:r>
          </w:p>
        </w:tc>
        <w:tc>
          <w:tcPr>
            <w:tcW w:type="dxa" w:w="1663"/>
          </w:tcPr>
          <w:p>
            <w:pPr>
              <w:bidi w:val="1"/>
              <w:spacing w:before="0" w:after="0" w:line="264" w:lineRule="auto"/>
            </w:pPr>
            <w:r>
              <w:rPr>
                <w:rFonts w:ascii="Arial" w:hAnsi="Arial" w:cs="Arial" w:eastAsia="Arial"/>
                <w:color w:val="0E1E3A"/>
                <w:sz w:val="17"/>
                <w:szCs w:val="17"/>
                <w:rtl/>
              </w:rPr>
              <w:t>0.08</w:t>
            </w:r>
          </w:p>
        </w:tc>
        <w:tc>
          <w:tcPr>
            <w:tcW w:type="dxa" w:w="1663"/>
          </w:tcPr>
          <w:p>
            <w:pPr>
              <w:bidi w:val="1"/>
              <w:spacing w:before="0" w:after="0" w:line="264" w:lineRule="auto"/>
            </w:pPr>
            <w:r>
              <w:rPr>
                <w:rFonts w:ascii="Arial" w:hAnsi="Arial" w:cs="Arial" w:eastAsia="Arial"/>
                <w:color w:val="0E1E3A"/>
                <w:sz w:val="17"/>
                <w:szCs w:val="17"/>
                <w:rtl/>
              </w:rPr>
              <w:t>0.11</w:t>
            </w:r>
          </w:p>
        </w:tc>
        <w:tc>
          <w:tcPr>
            <w:tcW w:type="dxa" w:w="1663"/>
          </w:tcPr>
          <w:p>
            <w:pPr>
              <w:bidi w:val="1"/>
              <w:spacing w:before="0" w:after="0" w:line="264" w:lineRule="auto"/>
            </w:pPr>
            <w:r>
              <w:rPr>
                <w:rFonts w:ascii="Arial" w:hAnsi="Arial" w:cs="Arial" w:eastAsia="Arial"/>
                <w:color w:val="0E1E3A"/>
                <w:sz w:val="17"/>
                <w:szCs w:val="17"/>
                <w:rtl/>
              </w:rPr>
              <w:t>0.11</w:t>
            </w:r>
          </w:p>
        </w:tc>
        <w:tc>
          <w:tcPr>
            <w:tcW w:type="dxa" w:w="1663"/>
          </w:tcPr>
          <w:p>
            <w:pPr>
              <w:bidi w:val="1"/>
              <w:spacing w:before="0" w:after="0" w:line="264" w:lineRule="auto"/>
            </w:pPr>
            <w:r>
              <w:rPr>
                <w:rFonts w:ascii="Arial" w:hAnsi="Arial" w:cs="Arial" w:eastAsia="Arial"/>
                <w:color w:val="0E1E3A"/>
                <w:sz w:val="17"/>
                <w:szCs w:val="17"/>
                <w:rtl/>
              </w:rPr>
              <w:t>0.12</w:t>
            </w:r>
          </w:p>
        </w:tc>
        <w:tc>
          <w:tcPr>
            <w:tcW w:type="dxa" w:w="1663"/>
          </w:tcPr>
          <w:p>
            <w:pPr>
              <w:bidi w:val="1"/>
              <w:spacing w:before="0" w:after="0" w:line="264" w:lineRule="auto"/>
            </w:pPr>
            <w:r>
              <w:rPr>
                <w:rFonts w:ascii="Arial" w:hAnsi="Arial" w:cs="Arial" w:eastAsia="Arial"/>
                <w:color w:val="0E1E3A"/>
                <w:sz w:val="17"/>
                <w:szCs w:val="17"/>
                <w:rtl/>
              </w:rPr>
              <w:t>0.14</w:t>
            </w:r>
          </w:p>
        </w:tc>
      </w:tr>
      <w:tr>
        <w:tc>
          <w:tcPr>
            <w:tcW w:type="dxa" w:w="1663"/>
          </w:tcPr>
          <w:p>
            <w:pPr>
              <w:bidi w:val="1"/>
              <w:spacing w:before="0" w:after="0" w:line="264" w:lineRule="auto"/>
            </w:pPr>
            <w:r>
              <w:rPr>
                <w:rFonts w:ascii="Arial" w:hAnsi="Arial" w:cs="Arial" w:eastAsia="Arial"/>
                <w:color w:val="0E1E3A"/>
                <w:sz w:val="17"/>
                <w:szCs w:val="17"/>
                <w:rtl/>
              </w:rPr>
              <w:t>مؤشر شارب</w:t>
            </w:r>
          </w:p>
        </w:tc>
        <w:tc>
          <w:tcPr>
            <w:tcW w:type="dxa" w:w="1663"/>
          </w:tcPr>
          <w:p>
            <w:pPr>
              <w:bidi w:val="1"/>
              <w:spacing w:before="0" w:after="0" w:line="264" w:lineRule="auto"/>
            </w:pPr>
            <w:r>
              <w:rPr>
                <w:rFonts w:ascii="Arial" w:hAnsi="Arial" w:cs="Arial" w:eastAsia="Arial"/>
                <w:color w:val="0E1E3A"/>
                <w:sz w:val="17"/>
                <w:szCs w:val="17"/>
                <w:rtl/>
              </w:rPr>
              <w:t>-1.54</w:t>
            </w:r>
          </w:p>
        </w:tc>
        <w:tc>
          <w:tcPr>
            <w:tcW w:type="dxa" w:w="1663"/>
          </w:tcPr>
          <w:p>
            <w:pPr>
              <w:bidi w:val="1"/>
              <w:spacing w:before="0" w:after="0" w:line="264" w:lineRule="auto"/>
            </w:pPr>
            <w:r>
              <w:rPr>
                <w:rFonts w:ascii="Arial" w:hAnsi="Arial" w:cs="Arial" w:eastAsia="Arial"/>
                <w:color w:val="0E1E3A"/>
                <w:sz w:val="17"/>
                <w:szCs w:val="17"/>
                <w:rtl/>
              </w:rPr>
              <w:t>-2.00</w:t>
            </w:r>
          </w:p>
        </w:tc>
        <w:tc>
          <w:tcPr>
            <w:tcW w:type="dxa" w:w="1663"/>
          </w:tcPr>
          <w:p>
            <w:pPr>
              <w:bidi w:val="1"/>
              <w:spacing w:before="0" w:after="0" w:line="264" w:lineRule="auto"/>
            </w:pPr>
            <w:r>
              <w:rPr>
                <w:rFonts w:ascii="Arial" w:hAnsi="Arial" w:cs="Arial" w:eastAsia="Arial"/>
                <w:color w:val="0E1E3A"/>
                <w:sz w:val="17"/>
                <w:szCs w:val="17"/>
                <w:rtl/>
              </w:rPr>
              <w:t>-2.14</w:t>
            </w:r>
          </w:p>
        </w:tc>
        <w:tc>
          <w:tcPr>
            <w:tcW w:type="dxa" w:w="1663"/>
          </w:tcPr>
          <w:p>
            <w:pPr>
              <w:bidi w:val="1"/>
              <w:spacing w:before="0" w:after="0" w:line="264" w:lineRule="auto"/>
            </w:pPr>
            <w:r>
              <w:rPr>
                <w:rFonts w:ascii="Arial" w:hAnsi="Arial" w:cs="Arial" w:eastAsia="Arial"/>
                <w:color w:val="0E1E3A"/>
                <w:sz w:val="17"/>
                <w:szCs w:val="17"/>
                <w:rtl/>
              </w:rPr>
              <w:t>-1.36</w:t>
            </w:r>
          </w:p>
        </w:tc>
        <w:tc>
          <w:tcPr>
            <w:tcW w:type="dxa" w:w="1663"/>
          </w:tcPr>
          <w:p>
            <w:pPr>
              <w:bidi w:val="1"/>
              <w:spacing w:before="0" w:after="0" w:line="264" w:lineRule="auto"/>
            </w:pPr>
            <w:r>
              <w:rPr>
                <w:rFonts w:ascii="Arial" w:hAnsi="Arial" w:cs="Arial" w:eastAsia="Arial"/>
                <w:color w:val="0E1E3A"/>
                <w:sz w:val="17"/>
                <w:szCs w:val="17"/>
                <w:rtl/>
              </w:rPr>
              <w:t>-1.15</w:t>
            </w:r>
          </w:p>
        </w:tc>
      </w:tr>
      <w:tr>
        <w:tc>
          <w:tcPr>
            <w:tcW w:type="dxa" w:w="1663"/>
          </w:tcPr>
          <w:p>
            <w:pPr>
              <w:bidi w:val="1"/>
              <w:spacing w:before="0" w:after="0" w:line="264" w:lineRule="auto"/>
            </w:pPr>
            <w:r>
              <w:rPr>
                <w:rFonts w:ascii="Arial" w:hAnsi="Arial" w:cs="Arial" w:eastAsia="Arial"/>
                <w:color w:val="0E1E3A"/>
                <w:sz w:val="17"/>
                <w:szCs w:val="17"/>
                <w:rtl/>
              </w:rPr>
              <w:t>خطأ التتبع (Tracking Error)</w:t>
            </w:r>
          </w:p>
        </w:tc>
        <w:tc>
          <w:tcPr>
            <w:tcW w:type="dxa" w:w="1663"/>
          </w:tcPr>
          <w:p>
            <w:pPr>
              <w:bidi w:val="1"/>
              <w:spacing w:before="0" w:after="0" w:line="264" w:lineRule="auto"/>
            </w:pPr>
            <w:r>
              <w:rPr>
                <w:rFonts w:ascii="Arial" w:hAnsi="Arial" w:cs="Arial" w:eastAsia="Arial"/>
                <w:color w:val="0E1E3A"/>
                <w:sz w:val="17"/>
                <w:szCs w:val="17"/>
                <w:rtl/>
              </w:rPr>
              <w:t>0.08</w:t>
            </w:r>
          </w:p>
        </w:tc>
        <w:tc>
          <w:tcPr>
            <w:tcW w:type="dxa" w:w="1663"/>
          </w:tcPr>
          <w:p>
            <w:pPr>
              <w:bidi w:val="1"/>
              <w:spacing w:before="0" w:after="0" w:line="264" w:lineRule="auto"/>
            </w:pPr>
            <w:r>
              <w:rPr>
                <w:rFonts w:ascii="Arial" w:hAnsi="Arial" w:cs="Arial" w:eastAsia="Arial"/>
                <w:color w:val="0E1E3A"/>
                <w:sz w:val="17"/>
                <w:szCs w:val="17"/>
                <w:rtl/>
              </w:rPr>
              <w:t>0.11</w:t>
            </w:r>
          </w:p>
        </w:tc>
        <w:tc>
          <w:tcPr>
            <w:tcW w:type="dxa" w:w="1663"/>
          </w:tcPr>
          <w:p>
            <w:pPr>
              <w:bidi w:val="1"/>
              <w:spacing w:before="0" w:after="0" w:line="264" w:lineRule="auto"/>
            </w:pPr>
            <w:r>
              <w:rPr>
                <w:rFonts w:ascii="Arial" w:hAnsi="Arial" w:cs="Arial" w:eastAsia="Arial"/>
                <w:color w:val="0E1E3A"/>
                <w:sz w:val="17"/>
                <w:szCs w:val="17"/>
                <w:rtl/>
              </w:rPr>
              <w:t>0.11</w:t>
            </w:r>
          </w:p>
        </w:tc>
        <w:tc>
          <w:tcPr>
            <w:tcW w:type="dxa" w:w="1663"/>
          </w:tcPr>
          <w:p>
            <w:pPr>
              <w:bidi w:val="1"/>
              <w:spacing w:before="0" w:after="0" w:line="264" w:lineRule="auto"/>
            </w:pPr>
            <w:r>
              <w:rPr>
                <w:rFonts w:ascii="Arial" w:hAnsi="Arial" w:cs="Arial" w:eastAsia="Arial"/>
                <w:color w:val="0E1E3A"/>
                <w:sz w:val="17"/>
                <w:szCs w:val="17"/>
                <w:rtl/>
              </w:rPr>
              <w:t>0.12</w:t>
            </w:r>
          </w:p>
        </w:tc>
        <w:tc>
          <w:tcPr>
            <w:tcW w:type="dxa" w:w="1663"/>
          </w:tcPr>
          <w:p>
            <w:pPr>
              <w:bidi w:val="1"/>
              <w:spacing w:before="0" w:after="0" w:line="264" w:lineRule="auto"/>
            </w:pPr>
            <w:r>
              <w:rPr>
                <w:rFonts w:ascii="Arial" w:hAnsi="Arial" w:cs="Arial" w:eastAsia="Arial"/>
                <w:color w:val="0E1E3A"/>
                <w:sz w:val="17"/>
                <w:szCs w:val="17"/>
                <w:rtl/>
              </w:rPr>
              <w:t>0.14</w:t>
            </w:r>
          </w:p>
        </w:tc>
      </w:tr>
      <w:tr>
        <w:tc>
          <w:tcPr>
            <w:tcW w:type="dxa" w:w="1663"/>
          </w:tcPr>
          <w:p>
            <w:pPr>
              <w:bidi w:val="1"/>
              <w:spacing w:before="0" w:after="0" w:line="264" w:lineRule="auto"/>
            </w:pPr>
            <w:r>
              <w:rPr>
                <w:rFonts w:ascii="Arial" w:hAnsi="Arial" w:cs="Arial" w:eastAsia="Arial"/>
                <w:color w:val="0E1E3A"/>
                <w:sz w:val="17"/>
                <w:szCs w:val="17"/>
                <w:rtl/>
              </w:rPr>
              <w:t>بيتا (Beta)</w:t>
            </w:r>
          </w:p>
        </w:tc>
        <w:tc>
          <w:tcPr>
            <w:tcW w:type="dxa" w:w="1663"/>
          </w:tcPr>
          <w:p>
            <w:pPr>
              <w:bidi w:val="1"/>
              <w:spacing w:before="0" w:after="0" w:line="264" w:lineRule="auto"/>
            </w:pPr>
            <w:r>
              <w:rPr>
                <w:rFonts w:ascii="Arial" w:hAnsi="Arial" w:cs="Arial" w:eastAsia="Arial"/>
                <w:color w:val="0E1E3A"/>
                <w:sz w:val="17"/>
                <w:szCs w:val="17"/>
                <w:rtl/>
              </w:rPr>
              <w:t>2.49</w:t>
            </w:r>
          </w:p>
        </w:tc>
        <w:tc>
          <w:tcPr>
            <w:tcW w:type="dxa" w:w="1663"/>
          </w:tcPr>
          <w:p>
            <w:pPr>
              <w:bidi w:val="1"/>
              <w:spacing w:before="0" w:after="0" w:line="264" w:lineRule="auto"/>
            </w:pPr>
            <w:r>
              <w:rPr>
                <w:rFonts w:ascii="Arial" w:hAnsi="Arial" w:cs="Arial" w:eastAsia="Arial"/>
                <w:color w:val="0E1E3A"/>
                <w:sz w:val="17"/>
                <w:szCs w:val="17"/>
                <w:rtl/>
              </w:rPr>
              <w:t>-1.51</w:t>
            </w:r>
          </w:p>
        </w:tc>
        <w:tc>
          <w:tcPr>
            <w:tcW w:type="dxa" w:w="1663"/>
          </w:tcPr>
          <w:p>
            <w:pPr>
              <w:bidi w:val="1"/>
              <w:spacing w:before="0" w:after="0" w:line="264" w:lineRule="auto"/>
            </w:pPr>
            <w:r>
              <w:rPr>
                <w:rFonts w:ascii="Arial" w:hAnsi="Arial" w:cs="Arial" w:eastAsia="Arial"/>
                <w:color w:val="0E1E3A"/>
                <w:sz w:val="17"/>
                <w:szCs w:val="17"/>
                <w:rtl/>
              </w:rPr>
              <w:t>-3.25</w:t>
            </w:r>
          </w:p>
        </w:tc>
        <w:tc>
          <w:tcPr>
            <w:tcW w:type="dxa" w:w="1663"/>
          </w:tcPr>
          <w:p>
            <w:pPr>
              <w:bidi w:val="1"/>
              <w:spacing w:before="0" w:after="0" w:line="264" w:lineRule="auto"/>
            </w:pPr>
            <w:r>
              <w:rPr>
                <w:rFonts w:ascii="Arial" w:hAnsi="Arial" w:cs="Arial" w:eastAsia="Arial"/>
                <w:color w:val="0E1E3A"/>
                <w:sz w:val="17"/>
                <w:szCs w:val="17"/>
                <w:rtl/>
              </w:rPr>
              <w:t>0.79</w:t>
            </w:r>
          </w:p>
        </w:tc>
        <w:tc>
          <w:tcPr>
            <w:tcW w:type="dxa" w:w="1663"/>
          </w:tcPr>
          <w:p>
            <w:pPr>
              <w:bidi w:val="1"/>
              <w:spacing w:before="0" w:after="0" w:line="264" w:lineRule="auto"/>
            </w:pPr>
            <w:r>
              <w:rPr>
                <w:rFonts w:ascii="Arial" w:hAnsi="Arial" w:cs="Arial" w:eastAsia="Arial"/>
                <w:color w:val="0E1E3A"/>
                <w:sz w:val="17"/>
                <w:szCs w:val="17"/>
                <w:rtl/>
              </w:rPr>
              <w:t>0.73</w:t>
            </w:r>
          </w:p>
        </w:tc>
      </w:tr>
      <w:tr>
        <w:tc>
          <w:tcPr>
            <w:tcW w:type="dxa" w:w="1663"/>
          </w:tcPr>
          <w:p>
            <w:pPr>
              <w:bidi w:val="1"/>
              <w:spacing w:before="0" w:after="0" w:line="264" w:lineRule="auto"/>
            </w:pPr>
            <w:r>
              <w:rPr>
                <w:rFonts w:ascii="Arial" w:hAnsi="Arial" w:cs="Arial" w:eastAsia="Arial"/>
                <w:color w:val="0E1E3A"/>
                <w:sz w:val="17"/>
                <w:szCs w:val="17"/>
                <w:rtl/>
              </w:rPr>
              <w:t>ألفا (Alpha)</w:t>
            </w:r>
          </w:p>
        </w:tc>
        <w:tc>
          <w:tcPr>
            <w:tcW w:type="dxa" w:w="1663"/>
          </w:tcPr>
          <w:p>
            <w:pPr>
              <w:bidi w:val="1"/>
              <w:spacing w:before="0" w:after="0" w:line="264" w:lineRule="auto"/>
            </w:pPr>
            <w:r>
              <w:rPr>
                <w:rFonts w:ascii="Arial" w:hAnsi="Arial" w:cs="Arial" w:eastAsia="Arial"/>
                <w:color w:val="0E1E3A"/>
                <w:sz w:val="17"/>
                <w:szCs w:val="17"/>
                <w:rtl/>
              </w:rPr>
              <w:t>-0.22</w:t>
            </w:r>
          </w:p>
        </w:tc>
        <w:tc>
          <w:tcPr>
            <w:tcW w:type="dxa" w:w="1663"/>
          </w:tcPr>
          <w:p>
            <w:pPr>
              <w:bidi w:val="1"/>
              <w:spacing w:before="0" w:after="0" w:line="264" w:lineRule="auto"/>
            </w:pPr>
            <w:r>
              <w:rPr>
                <w:rFonts w:ascii="Arial" w:hAnsi="Arial" w:cs="Arial" w:eastAsia="Arial"/>
                <w:color w:val="0E1E3A"/>
                <w:sz w:val="17"/>
                <w:szCs w:val="17"/>
                <w:rtl/>
              </w:rPr>
              <w:t>-0.10</w:t>
            </w:r>
          </w:p>
        </w:tc>
        <w:tc>
          <w:tcPr>
            <w:tcW w:type="dxa" w:w="1663"/>
          </w:tcPr>
          <w:p>
            <w:pPr>
              <w:bidi w:val="1"/>
              <w:spacing w:before="0" w:after="0" w:line="264" w:lineRule="auto"/>
            </w:pPr>
            <w:r>
              <w:rPr>
                <w:rFonts w:ascii="Arial" w:hAnsi="Arial" w:cs="Arial" w:eastAsia="Arial"/>
                <w:color w:val="0E1E3A"/>
                <w:sz w:val="17"/>
                <w:szCs w:val="17"/>
                <w:rtl/>
              </w:rPr>
              <w:t>0.03</w:t>
            </w:r>
          </w:p>
        </w:tc>
        <w:tc>
          <w:tcPr>
            <w:tcW w:type="dxa" w:w="1663"/>
          </w:tcPr>
          <w:p>
            <w:pPr>
              <w:bidi w:val="1"/>
              <w:spacing w:before="0" w:after="0" w:line="264" w:lineRule="auto"/>
            </w:pPr>
            <w:r>
              <w:rPr>
                <w:rFonts w:ascii="Arial" w:hAnsi="Arial" w:cs="Arial" w:eastAsia="Arial"/>
                <w:color w:val="0E1E3A"/>
                <w:sz w:val="17"/>
                <w:szCs w:val="17"/>
                <w:rtl/>
              </w:rPr>
              <w:t>-0.18</w:t>
            </w:r>
          </w:p>
        </w:tc>
        <w:tc>
          <w:tcPr>
            <w:tcW w:type="dxa" w:w="1663"/>
          </w:tcPr>
          <w:p>
            <w:pPr>
              <w:bidi w:val="1"/>
              <w:spacing w:before="0" w:after="0" w:line="264" w:lineRule="auto"/>
            </w:pPr>
            <w:r>
              <w:rPr>
                <w:rFonts w:ascii="Arial" w:hAnsi="Arial" w:cs="Arial" w:eastAsia="Arial"/>
                <w:color w:val="0E1E3A"/>
                <w:sz w:val="17"/>
                <w:szCs w:val="17"/>
                <w:rtl/>
              </w:rPr>
              <w:t>-0.17</w:t>
            </w:r>
          </w:p>
        </w:tc>
      </w:tr>
      <w:tr>
        <w:tc>
          <w:tcPr>
            <w:tcW w:type="dxa" w:w="1663"/>
          </w:tcPr>
          <w:p>
            <w:pPr>
              <w:bidi w:val="1"/>
              <w:spacing w:before="0" w:after="0" w:line="264" w:lineRule="auto"/>
            </w:pPr>
            <w:r>
              <w:rPr>
                <w:rFonts w:ascii="Arial" w:hAnsi="Arial" w:cs="Arial" w:eastAsia="Arial"/>
                <w:color w:val="0E1E3A"/>
                <w:sz w:val="17"/>
                <w:szCs w:val="17"/>
                <w:rtl/>
              </w:rPr>
              <w:t>مؤشر المعلومات</w:t>
            </w:r>
          </w:p>
        </w:tc>
        <w:tc>
          <w:tcPr>
            <w:tcW w:type="dxa" w:w="1663"/>
          </w:tcPr>
          <w:p>
            <w:pPr>
              <w:bidi w:val="1"/>
              <w:spacing w:before="0" w:after="0" w:line="264" w:lineRule="auto"/>
            </w:pPr>
            <w:r>
              <w:rPr>
                <w:rFonts w:ascii="Arial" w:hAnsi="Arial" w:cs="Arial" w:eastAsia="Arial"/>
                <w:color w:val="0E1E3A"/>
                <w:sz w:val="17"/>
                <w:szCs w:val="17"/>
                <w:rtl/>
              </w:rPr>
              <w:t>-1.67</w:t>
            </w:r>
          </w:p>
        </w:tc>
        <w:tc>
          <w:tcPr>
            <w:tcW w:type="dxa" w:w="1663"/>
          </w:tcPr>
          <w:p>
            <w:pPr>
              <w:bidi w:val="1"/>
              <w:spacing w:before="0" w:after="0" w:line="264" w:lineRule="auto"/>
            </w:pPr>
            <w:r>
              <w:rPr>
                <w:rFonts w:ascii="Arial" w:hAnsi="Arial" w:cs="Arial" w:eastAsia="Arial"/>
                <w:color w:val="0E1E3A"/>
                <w:sz w:val="17"/>
                <w:szCs w:val="17"/>
                <w:rtl/>
              </w:rPr>
              <w:t>-2.10</w:t>
            </w:r>
          </w:p>
        </w:tc>
        <w:tc>
          <w:tcPr>
            <w:tcW w:type="dxa" w:w="1663"/>
          </w:tcPr>
          <w:p>
            <w:pPr>
              <w:bidi w:val="1"/>
              <w:spacing w:before="0" w:after="0" w:line="264" w:lineRule="auto"/>
            </w:pPr>
            <w:r>
              <w:rPr>
                <w:rFonts w:ascii="Arial" w:hAnsi="Arial" w:cs="Arial" w:eastAsia="Arial"/>
                <w:color w:val="0E1E3A"/>
                <w:sz w:val="17"/>
                <w:szCs w:val="17"/>
                <w:rtl/>
              </w:rPr>
              <w:t>-2.28</w:t>
            </w:r>
          </w:p>
        </w:tc>
        <w:tc>
          <w:tcPr>
            <w:tcW w:type="dxa" w:w="1663"/>
          </w:tcPr>
          <w:p>
            <w:pPr>
              <w:bidi w:val="1"/>
              <w:spacing w:before="0" w:after="0" w:line="264" w:lineRule="auto"/>
            </w:pPr>
            <w:r>
              <w:rPr>
                <w:rFonts w:ascii="Arial" w:hAnsi="Arial" w:cs="Arial" w:eastAsia="Arial"/>
                <w:color w:val="0E1E3A"/>
                <w:sz w:val="17"/>
                <w:szCs w:val="17"/>
                <w:rtl/>
              </w:rPr>
              <w:t>-1.53</w:t>
            </w:r>
          </w:p>
        </w:tc>
        <w:tc>
          <w:tcPr>
            <w:tcW w:type="dxa" w:w="1663"/>
          </w:tcPr>
          <w:p>
            <w:pPr>
              <w:bidi w:val="1"/>
              <w:spacing w:before="0" w:after="0" w:line="264" w:lineRule="auto"/>
            </w:pPr>
            <w:r>
              <w:rPr>
                <w:rFonts w:ascii="Arial" w:hAnsi="Arial" w:cs="Arial" w:eastAsia="Arial"/>
                <w:color w:val="0E1E3A"/>
                <w:sz w:val="17"/>
                <w:szCs w:val="17"/>
                <w:rtl/>
              </w:rPr>
              <w:t>-1.30</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عن الفترة من 1 ابريل 2026م إلى 30 يونيو 2026م.</w:t>
      </w:r>
      <w:r>
        <w:br/>
      </w:r>
      <w:r>
        <w:rPr>
          <w:rFonts w:ascii="Arial" w:hAnsi="Arial" w:cs="Arial" w:eastAsia="Arial"/>
          <w:color w:val="5A6478"/>
          <w:sz w:val="17"/>
          <w:szCs w:val="17"/>
          <w:rtl/>
        </w:rPr>
        <w:t>** عن الفترة من 1 يناير 2026م إلى 30 يونيو 2026م.</w:t>
      </w:r>
      <w:r>
        <w:br/>
      </w:r>
      <w:r>
        <w:rPr>
          <w:rFonts w:ascii="Arial" w:hAnsi="Arial" w:cs="Arial" w:eastAsia="Arial"/>
          <w:color w:val="5A6478"/>
          <w:sz w:val="17"/>
          <w:szCs w:val="17"/>
          <w:rtl/>
        </w:rPr>
        <w:t>*** عن الفترة من 30 يونيو 2025م إلى 30 يونيو 2026م.</w:t>
      </w:r>
      <w:r>
        <w:br/>
      </w:r>
      <w:r>
        <w:rPr>
          <w:rFonts w:ascii="Arial" w:hAnsi="Arial" w:cs="Arial" w:eastAsia="Arial"/>
          <w:color w:val="5A6478"/>
          <w:sz w:val="17"/>
          <w:szCs w:val="17"/>
          <w:rtl/>
        </w:rPr>
        <w:t>**** عن الفترة من 30 يونيو 2023م إلى 30 يونيو 2026م.</w:t>
      </w:r>
      <w:r>
        <w:br/>
      </w:r>
      <w:r>
        <w:rPr>
          <w:rFonts w:ascii="Arial" w:hAnsi="Arial" w:cs="Arial" w:eastAsia="Arial"/>
          <w:color w:val="5A6478"/>
          <w:sz w:val="17"/>
          <w:szCs w:val="17"/>
          <w:rtl/>
        </w:rPr>
        <w:t>***** عن الفترة من 30 يونيو 2021م إلى 30 يونيو 2026م.</w:t>
      </w:r>
      <w:r>
        <w:br/>
      </w:r>
      <w:r>
        <w:rPr>
          <w:rFonts w:ascii="Arial" w:hAnsi="Arial" w:cs="Arial" w:eastAsia="Arial"/>
          <w:color w:val="5A6478"/>
          <w:sz w:val="17"/>
          <w:szCs w:val="17"/>
          <w:rtl/>
        </w:rPr>
        <w:t>****** الأرقام مكتوبة بالنظام العشري، ويتم إجراء الحسابات للفترة الزمنية المطلوبة (منذ بداية العام، 3 أشهر، سنة واحدة، إلخ).</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49"/>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ع.</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 المعادلات المستخدمة لاحتساب معايير 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tcPr>
          <w:p>
            <w:pPr>
              <w:bidi w:val="1"/>
              <w:spacing w:before="0" w:after="0" w:line="264" w:lineRule="auto"/>
            </w:pPr>
            <w:r>
              <w:rPr>
                <w:rFonts w:ascii="Arial" w:hAnsi="Arial" w:cs="Arial" w:eastAsia="Arial"/>
                <w:color w:val="0E1E3A"/>
                <w:sz w:val="17"/>
                <w:szCs w:val="17"/>
                <w:rtl/>
              </w:rPr>
              <w:t>الانحراف المعياري</w:t>
            </w:r>
          </w:p>
        </w:tc>
        <w:tc>
          <w:tcPr>
            <w:tcW w:type="dxa" w:w="3326"/>
          </w:tcPr>
          <w:p>
            <w:pPr>
              <w:bidi w:val="1"/>
              <w:spacing w:before="0" w:after="0" w:line="264" w:lineRule="auto"/>
            </w:pPr>
            <w:r>
              <w:rPr>
                <w:rFonts w:ascii="Arial" w:hAnsi="Arial" w:cs="Arial" w:eastAsia="Arial"/>
                <w:color w:val="0E1E3A"/>
                <w:sz w:val="17"/>
                <w:szCs w:val="17"/>
                <w:rtl/>
              </w:rPr>
              <w:t>σp = √[ 1/(N − 1) · Σ(Rp,i − Rp)² ]</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Rp,i = Portfolio return in period i</w:t>
            </w:r>
            <w:r>
              <w:br/>
            </w:r>
            <w:r>
              <w:rPr>
                <w:rFonts w:ascii="Arial" w:hAnsi="Arial" w:cs="Arial" w:eastAsia="Arial"/>
                <w:color w:val="0E1E3A"/>
                <w:sz w:val="17"/>
                <w:szCs w:val="17"/>
                <w:rtl/>
              </w:rPr>
              <w:t>Rp = Average portfolio return</w:t>
            </w:r>
            <w:r>
              <w:br/>
            </w:r>
            <w:r>
              <w:rPr>
                <w:rFonts w:ascii="Arial" w:hAnsi="Arial" w:cs="Arial" w:eastAsia="Arial"/>
                <w:color w:val="0E1E3A"/>
                <w:sz w:val="17"/>
                <w:szCs w:val="17"/>
                <w:rtl/>
              </w:rPr>
              <w:t>N = Number of periods</w:t>
            </w:r>
          </w:p>
        </w:tc>
      </w:tr>
      <w:tr>
        <w:tc>
          <w:tcPr>
            <w:tcW w:type="dxa" w:w="3326"/>
          </w:tcPr>
          <w:p>
            <w:pPr>
              <w:bidi w:val="1"/>
              <w:spacing w:before="0" w:after="0" w:line="264" w:lineRule="auto"/>
            </w:pPr>
            <w:r>
              <w:rPr>
                <w:rFonts w:ascii="Arial" w:hAnsi="Arial" w:cs="Arial" w:eastAsia="Arial"/>
                <w:color w:val="0E1E3A"/>
                <w:sz w:val="17"/>
                <w:szCs w:val="17"/>
                <w:rtl/>
              </w:rPr>
              <w:t>مؤشر شارب</w:t>
            </w:r>
          </w:p>
        </w:tc>
        <w:tc>
          <w:tcPr>
            <w:tcW w:type="dxa" w:w="3326"/>
          </w:tcPr>
          <w:p>
            <w:pPr>
              <w:bidi w:val="1"/>
              <w:spacing w:before="0" w:after="0" w:line="264" w:lineRule="auto"/>
            </w:pPr>
            <w:r>
              <w:rPr>
                <w:rFonts w:ascii="Arial" w:hAnsi="Arial" w:cs="Arial" w:eastAsia="Arial"/>
                <w:color w:val="0E1E3A"/>
                <w:sz w:val="17"/>
                <w:szCs w:val="17"/>
                <w:rtl/>
              </w:rPr>
              <w:t>[(Average Annualised Return − Risk Free Rate) ÷ Standard Deviation]</w:t>
            </w:r>
          </w:p>
        </w:tc>
        <w:tc>
          <w:tcPr>
            <w:tcW w:type="dxa" w:w="3326"/>
          </w:tcPr>
          <w:p>
            <w:pPr>
              <w:bidi w:val="1"/>
              <w:spacing w:before="0" w:after="0" w:line="264" w:lineRule="auto"/>
            </w:pPr>
          </w:p>
        </w:tc>
      </w:tr>
      <w:tr>
        <w:tc>
          <w:tcPr>
            <w:tcW w:type="dxa" w:w="3326"/>
          </w:tcPr>
          <w:p>
            <w:pPr>
              <w:bidi w:val="1"/>
              <w:spacing w:before="0" w:after="0" w:line="264" w:lineRule="auto"/>
            </w:pPr>
            <w:r>
              <w:rPr>
                <w:rFonts w:ascii="Arial" w:hAnsi="Arial" w:cs="Arial" w:eastAsia="Arial"/>
                <w:color w:val="0E1E3A"/>
                <w:sz w:val="17"/>
                <w:szCs w:val="17"/>
                <w:rtl/>
              </w:rPr>
              <w:t>خطأ التتبع (Tracking Error)</w:t>
            </w:r>
          </w:p>
        </w:tc>
        <w:tc>
          <w:tcPr>
            <w:tcW w:type="dxa" w:w="3326"/>
          </w:tcPr>
          <w:p>
            <w:pPr>
              <w:bidi w:val="1"/>
              <w:spacing w:before="0" w:after="0" w:line="264" w:lineRule="auto"/>
            </w:pPr>
            <w:r>
              <w:rPr>
                <w:rFonts w:ascii="Arial" w:hAnsi="Arial" w:cs="Arial" w:eastAsia="Arial"/>
                <w:color w:val="0E1E3A"/>
                <w:sz w:val="17"/>
                <w:szCs w:val="17"/>
                <w:rtl/>
              </w:rPr>
              <w:t>TE = √[ 1/(N − 1) · Σ[(Rp,i − Rb,i) − (Rp − Rb)]² ]</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Rp,i = Portfolio return in period i</w:t>
            </w:r>
            <w:r>
              <w:br/>
            </w:r>
            <w:r>
              <w:rPr>
                <w:rFonts w:ascii="Arial" w:hAnsi="Arial" w:cs="Arial" w:eastAsia="Arial"/>
                <w:color w:val="0E1E3A"/>
                <w:sz w:val="17"/>
                <w:szCs w:val="17"/>
                <w:rtl/>
              </w:rPr>
              <w:t>Rb,i = Portfolio return in period i</w:t>
            </w:r>
            <w:r>
              <w:br/>
            </w:r>
            <w:r>
              <w:rPr>
                <w:rFonts w:ascii="Arial" w:hAnsi="Arial" w:cs="Arial" w:eastAsia="Arial"/>
                <w:color w:val="0E1E3A"/>
                <w:sz w:val="17"/>
                <w:szCs w:val="17"/>
                <w:rtl/>
              </w:rPr>
              <w:t>Rp = Average portfolio return</w:t>
            </w:r>
            <w:r>
              <w:br/>
            </w:r>
            <w:r>
              <w:rPr>
                <w:rFonts w:ascii="Arial" w:hAnsi="Arial" w:cs="Arial" w:eastAsia="Arial"/>
                <w:color w:val="0E1E3A"/>
                <w:sz w:val="17"/>
                <w:szCs w:val="17"/>
                <w:rtl/>
              </w:rPr>
              <w:t>Rb = Average portfolio return</w:t>
            </w:r>
            <w:r>
              <w:br/>
            </w:r>
            <w:r>
              <w:rPr>
                <w:rFonts w:ascii="Arial" w:hAnsi="Arial" w:cs="Arial" w:eastAsia="Arial"/>
                <w:color w:val="0E1E3A"/>
                <w:sz w:val="17"/>
                <w:szCs w:val="17"/>
                <w:rtl/>
              </w:rPr>
              <w:t>N = Number of periods</w:t>
            </w:r>
          </w:p>
        </w:tc>
      </w:tr>
      <w:tr>
        <w:tc>
          <w:tcPr>
            <w:tcW w:type="dxa" w:w="3326"/>
          </w:tcPr>
          <w:p>
            <w:pPr>
              <w:bidi w:val="1"/>
              <w:spacing w:before="0" w:after="0" w:line="264" w:lineRule="auto"/>
            </w:pPr>
            <w:r>
              <w:rPr>
                <w:rFonts w:ascii="Arial" w:hAnsi="Arial" w:cs="Arial" w:eastAsia="Arial"/>
                <w:color w:val="0E1E3A"/>
                <w:sz w:val="17"/>
                <w:szCs w:val="17"/>
                <w:rtl/>
              </w:rPr>
              <w:t>بيتا (Beta)</w:t>
            </w:r>
          </w:p>
        </w:tc>
        <w:tc>
          <w:tcPr>
            <w:tcW w:type="dxa" w:w="3326"/>
          </w:tcPr>
          <w:p>
            <w:pPr>
              <w:bidi w:val="1"/>
              <w:spacing w:before="0" w:after="0" w:line="264" w:lineRule="auto"/>
            </w:pPr>
            <w:r>
              <w:rPr>
                <w:rFonts w:ascii="Arial" w:hAnsi="Arial" w:cs="Arial" w:eastAsia="Arial"/>
                <w:color w:val="0E1E3A"/>
                <w:sz w:val="17"/>
                <w:szCs w:val="17"/>
                <w:rtl/>
              </w:rPr>
              <w:t>β = Cov(Rp, Rb) / Var (Rb)</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Cov(Rp, Rb)= covariance between portfolio and benchmark returns</w:t>
            </w:r>
            <w:r>
              <w:br/>
            </w:r>
            <w:r>
              <w:rPr>
                <w:rFonts w:ascii="Arial" w:hAnsi="Arial" w:cs="Arial" w:eastAsia="Arial"/>
                <w:color w:val="0E1E3A"/>
                <w:sz w:val="17"/>
                <w:szCs w:val="17"/>
                <w:rtl/>
              </w:rPr>
              <w:t>Var (Rb)= variance of benchmark returns</w:t>
            </w:r>
          </w:p>
        </w:tc>
      </w:tr>
      <w:tr>
        <w:tc>
          <w:tcPr>
            <w:tcW w:type="dxa" w:w="3326"/>
          </w:tcPr>
          <w:p>
            <w:pPr>
              <w:bidi w:val="1"/>
              <w:spacing w:before="0" w:after="0" w:line="264" w:lineRule="auto"/>
            </w:pPr>
            <w:r>
              <w:rPr>
                <w:rFonts w:ascii="Arial" w:hAnsi="Arial" w:cs="Arial" w:eastAsia="Arial"/>
                <w:color w:val="0E1E3A"/>
                <w:sz w:val="17"/>
                <w:szCs w:val="17"/>
                <w:rtl/>
              </w:rPr>
              <w:t>ألفا (Alpha)</w:t>
            </w:r>
          </w:p>
        </w:tc>
        <w:tc>
          <w:tcPr>
            <w:tcW w:type="dxa" w:w="3326"/>
          </w:tcPr>
          <w:p>
            <w:pPr>
              <w:bidi w:val="1"/>
              <w:spacing w:before="0" w:after="0" w:line="264" w:lineRule="auto"/>
            </w:pPr>
            <w:r>
              <w:rPr>
                <w:rFonts w:ascii="Arial" w:hAnsi="Arial" w:cs="Arial" w:eastAsia="Arial"/>
                <w:color w:val="0E1E3A"/>
                <w:sz w:val="17"/>
                <w:szCs w:val="17"/>
                <w:rtl/>
              </w:rPr>
              <w:t>α = Rp − [ Rf + β ∗ (Rb − Rf)]</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 average portfolio return</w:t>
            </w:r>
            <w:r>
              <w:br/>
            </w:r>
            <w:r>
              <w:rPr>
                <w:rFonts w:ascii="Arial" w:hAnsi="Arial" w:cs="Arial" w:eastAsia="Arial"/>
                <w:color w:val="0E1E3A"/>
                <w:sz w:val="17"/>
                <w:szCs w:val="17"/>
                <w:rtl/>
              </w:rPr>
              <w:t>(Rb)= average benchmark return</w:t>
            </w:r>
            <w:r>
              <w:br/>
            </w:r>
            <w:r>
              <w:rPr>
                <w:rFonts w:ascii="Arial" w:hAnsi="Arial" w:cs="Arial" w:eastAsia="Arial"/>
                <w:color w:val="0E1E3A"/>
                <w:sz w:val="17"/>
                <w:szCs w:val="17"/>
                <w:rtl/>
              </w:rPr>
              <w:t>(Rf)= risk free rate</w:t>
            </w:r>
            <w:r>
              <w:br/>
            </w:r>
            <w:r>
              <w:rPr>
                <w:rFonts w:ascii="Arial" w:hAnsi="Arial" w:cs="Arial" w:eastAsia="Arial"/>
                <w:color w:val="0E1E3A"/>
                <w:sz w:val="17"/>
                <w:szCs w:val="17"/>
                <w:rtl/>
              </w:rPr>
              <w:t>β= portfolio beta</w:t>
            </w:r>
          </w:p>
        </w:tc>
      </w:tr>
      <w:tr>
        <w:tc>
          <w:tcPr>
            <w:tcW w:type="dxa" w:w="3326"/>
          </w:tcPr>
          <w:p>
            <w:pPr>
              <w:bidi w:val="1"/>
              <w:spacing w:before="0" w:after="0" w:line="264" w:lineRule="auto"/>
            </w:pPr>
            <w:r>
              <w:rPr>
                <w:rFonts w:ascii="Arial" w:hAnsi="Arial" w:cs="Arial" w:eastAsia="Arial"/>
                <w:color w:val="0E1E3A"/>
                <w:sz w:val="17"/>
                <w:szCs w:val="17"/>
                <w:rtl/>
              </w:rPr>
              <w:t>مؤشر المعلومات</w:t>
            </w:r>
          </w:p>
        </w:tc>
        <w:tc>
          <w:tcPr>
            <w:tcW w:type="dxa" w:w="3326"/>
          </w:tcPr>
          <w:p>
            <w:pPr>
              <w:bidi w:val="1"/>
              <w:spacing w:before="0" w:after="0" w:line="264" w:lineRule="auto"/>
            </w:pPr>
            <w:r>
              <w:rPr>
                <w:rFonts w:ascii="Arial" w:hAnsi="Arial" w:cs="Arial" w:eastAsia="Arial"/>
                <w:color w:val="0E1E3A"/>
                <w:sz w:val="17"/>
                <w:szCs w:val="17"/>
                <w:rtl/>
              </w:rPr>
              <w:t>IR = (Rp − Rb) / σ (Rp − Rb)</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 = Return of the portfolio</w:t>
            </w:r>
            <w:r>
              <w:br/>
            </w:r>
            <w:r>
              <w:rPr>
                <w:rFonts w:ascii="Arial" w:hAnsi="Arial" w:cs="Arial" w:eastAsia="Arial"/>
                <w:color w:val="0E1E3A"/>
                <w:sz w:val="17"/>
                <w:szCs w:val="17"/>
                <w:rtl/>
              </w:rPr>
              <w:t>Rb = Return of the benchmark</w:t>
            </w:r>
            <w:r>
              <w:br/>
            </w:r>
            <w:r>
              <w:rPr>
                <w:rFonts w:ascii="Arial" w:hAnsi="Arial" w:cs="Arial" w:eastAsia="Arial"/>
                <w:color w:val="0E1E3A"/>
                <w:sz w:val="17"/>
                <w:szCs w:val="17"/>
                <w:rtl/>
              </w:rPr>
              <w:t>Rp-Rb = Active return (the difference between portfolio and benchmark returns</w:t>
            </w:r>
            <w:r>
              <w:br/>
            </w:r>
            <w:r>
              <w:rPr>
                <w:rFonts w:ascii="Arial" w:hAnsi="Arial" w:cs="Arial" w:eastAsia="Arial"/>
                <w:color w:val="0E1E3A"/>
                <w:sz w:val="17"/>
                <w:szCs w:val="17"/>
                <w:rtl/>
              </w:rPr>
              <w:t>σ(Rp−Rb) = Tracking error (standard deviation of the active return)</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5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ف.</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سعر السوق الواحد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2816000"/>
            <wp:docPr id="22" name="Picture 9051"/>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2816000"/>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حتى 30 يونيو 2026م.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52"/>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53"/>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 الاستثمار في الصندوق خاضع للرسوم كما هو مذكور في الشروط والأحكام.</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المتداول — البيان الربع سنوي الربع الثاني 2026م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