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CONTRACT LIBRARY GUIDE</w:t>
      </w:r>
    </w:p>
    <w:p>
      <w:pPr>
        <w:spacing w:after="200"/>
        <w:jc w:val="center"/>
      </w:pPr>
      <w:r>
        <w:t>Arkansas-First Execution-Ready Agreements | Version 1.1 | August 10, 2026</w:t>
      </w:r>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These are sophisticated editable templates, not a guarantee of enforceability or universal legal compliance. No single form can satisfy every jurisdiction, sport, public entity, worker relationship, event, or fact pattern. A licensed attorney must review the completed agreement, referenced policies, insurance, and actual operating practices before execution.</w:t>
            </w:r>
          </w:p>
        </w:tc>
      </w:tr>
    </w:tbl>
    <w:p/>
    <w:p>
      <w:pPr>
        <w:spacing w:after="140"/>
        <w:jc w:val="both"/>
      </w:pPr>
      <w:r>
        <w:rPr>
          <w:rFonts w:ascii="Liberation Serif" w:hAnsi="Liberation Serif" w:eastAsia="Liberation Serif"/>
          <w:sz w:val="21"/>
        </w:rPr>
        <w:t>This library was prepared for Raising The Bar Officiating Inc. to support assigning, officiating, training, events, education, sponsorships, vendors, customers, venues, data handling, evaluators, public entities, participants, media, employment, and background screening. The forms are written as standalone agreements: each contains its own core commercial, compliance, risk, termination, dispute, and signature terms, plus a fillable Schedule 1.</w:t>
      </w:r>
    </w:p>
    <w:p>
      <w:pPr>
        <w:pStyle w:val="Heading1"/>
      </w:pPr>
      <w:r>
        <w:rPr>
          <w:rFonts w:ascii="Liberation Sans" w:hAnsi="Liberation Sans" w:eastAsia="Liberation Sans"/>
          <w:b/>
          <w:color w:val="1F1F1F"/>
          <w:sz w:val="26"/>
        </w:rPr>
        <w:t>1. Library Contents and Primary Use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888"/>
        <w:gridCol w:w="6336"/>
      </w:tblGrid>
      <w:tr>
        <w:trPr>
          <w:tblHeader w:val="true"/>
        </w:trPr>
        <w:tc>
          <w:tcPr>
            <w:tcW w:type="dxa" w:w="5083"/>
            <w:shd w:fill="1F1F1F"/>
            <w:tcMar>
              <w:top w:w="90" w:type="dxa"/>
              <w:start w:w="110" w:type="dxa"/>
              <w:bottom w:w="90" w:type="dxa"/>
              <w:end w:w="110" w:type="dxa"/>
            </w:tcMar>
          </w:tcPr>
          <w:p>
            <w:r>
              <w:rPr>
                <w:rFonts w:ascii="Liberation Sans" w:hAnsi="Liberation Sans" w:eastAsia="Liberation Sans"/>
                <w:b/>
                <w:color w:val="FFFFFF"/>
                <w:sz w:val="18"/>
              </w:rPr>
              <w:t>Document</w:t>
            </w:r>
          </w:p>
        </w:tc>
        <w:tc>
          <w:tcPr>
            <w:tcW w:type="dxa" w:w="5083"/>
            <w:shd w:fill="1F1F1F"/>
            <w:tcMar>
              <w:top w:w="90" w:type="dxa"/>
              <w:start w:w="110" w:type="dxa"/>
              <w:bottom w:w="90" w:type="dxa"/>
              <w:end w:w="110" w:type="dxa"/>
            </w:tcMar>
          </w:tcPr>
          <w:p>
            <w:r>
              <w:rPr>
                <w:rFonts w:ascii="Liberation Sans" w:hAnsi="Liberation Sans" w:eastAsia="Liberation Sans"/>
                <w:b/>
                <w:color w:val="FFFFFF"/>
                <w:sz w:val="18"/>
              </w:rPr>
              <w:t>Primary Use</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01 Officials Service Agreement</w:t>
            </w:r>
          </w:p>
        </w:tc>
        <w:tc>
          <w:tcPr>
            <w:tcW w:type="dxa" w:w="6336"/>
            <w:tcMar>
              <w:top w:w="90" w:type="dxa"/>
              <w:start w:w="110" w:type="dxa"/>
              <w:bottom w:w="90" w:type="dxa"/>
              <w:end w:w="110" w:type="dxa"/>
            </w:tcMar>
          </w:tcPr>
          <w:p>
            <w:r>
              <w:rPr>
                <w:rFonts w:ascii="Liberation Serif" w:hAnsi="Liberation Serif" w:eastAsia="Liberation Serif"/>
                <w:b w:val="0"/>
                <w:sz w:val="18"/>
              </w:rPr>
              <w:t>Independent officials accepting discrete assignments.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02 School Services Agreement</w:t>
            </w:r>
          </w:p>
        </w:tc>
        <w:tc>
          <w:tcPr>
            <w:tcW w:type="dxa" w:w="6336"/>
            <w:tcMar>
              <w:top w:w="90" w:type="dxa"/>
              <w:start w:w="110" w:type="dxa"/>
              <w:bottom w:w="90" w:type="dxa"/>
              <w:end w:w="110" w:type="dxa"/>
            </w:tcMar>
          </w:tcPr>
          <w:p>
            <w:r>
              <w:rPr>
                <w:rFonts w:ascii="Liberation Serif" w:hAnsi="Liberation Serif" w:eastAsia="Liberation Serif"/>
                <w:b w:val="0"/>
                <w:sz w:val="18"/>
              </w:rPr>
              <w:t>Private or public school, district, college, or university services.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03 Program Services Agreement</w:t>
            </w:r>
          </w:p>
        </w:tc>
        <w:tc>
          <w:tcPr>
            <w:tcW w:type="dxa" w:w="6336"/>
            <w:tcMar>
              <w:top w:w="90" w:type="dxa"/>
              <w:start w:w="110" w:type="dxa"/>
              <w:bottom w:w="90" w:type="dxa"/>
              <w:end w:w="110" w:type="dxa"/>
            </w:tcMar>
          </w:tcPr>
          <w:p>
            <w:r>
              <w:rPr>
                <w:rFonts w:ascii="Liberation Serif" w:hAnsi="Liberation Serif" w:eastAsia="Liberation Serif"/>
                <w:b w:val="0"/>
                <w:sz w:val="18"/>
              </w:rPr>
              <w:t>Athletic, educational, youth, recreation, or development programs.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04 Training School Agreement</w:t>
            </w:r>
          </w:p>
        </w:tc>
        <w:tc>
          <w:tcPr>
            <w:tcW w:type="dxa" w:w="6336"/>
            <w:tcMar>
              <w:top w:w="90" w:type="dxa"/>
              <w:start w:w="110" w:type="dxa"/>
              <w:bottom w:w="90" w:type="dxa"/>
              <w:end w:w="110" w:type="dxa"/>
            </w:tcMar>
          </w:tcPr>
          <w:p>
            <w:r>
              <w:rPr>
                <w:rFonts w:ascii="Liberation Serif" w:hAnsi="Liberation Serif" w:eastAsia="Liberation Serif"/>
                <w:b w:val="0"/>
                <w:sz w:val="18"/>
              </w:rPr>
              <w:t>Clinics, camps, seminars, live-game training, and evaluation schools.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05 Sponsor Agreement</w:t>
            </w:r>
          </w:p>
        </w:tc>
        <w:tc>
          <w:tcPr>
            <w:tcW w:type="dxa" w:w="6336"/>
            <w:tcMar>
              <w:top w:w="90" w:type="dxa"/>
              <w:start w:w="110" w:type="dxa"/>
              <w:bottom w:w="90" w:type="dxa"/>
              <w:end w:w="110" w:type="dxa"/>
            </w:tcMar>
          </w:tcPr>
          <w:p>
            <w:r>
              <w:rPr>
                <w:rFonts w:ascii="Liberation Serif" w:hAnsi="Liberation Serif" w:eastAsia="Liberation Serif"/>
                <w:b w:val="0"/>
                <w:sz w:val="18"/>
              </w:rPr>
              <w:t>Cash or in-kind sponsorship and activation.</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06 Vendor Services Agreement</w:t>
            </w:r>
          </w:p>
        </w:tc>
        <w:tc>
          <w:tcPr>
            <w:tcW w:type="dxa" w:w="6336"/>
            <w:tcMar>
              <w:top w:w="90" w:type="dxa"/>
              <w:start w:w="110" w:type="dxa"/>
              <w:bottom w:w="90" w:type="dxa"/>
              <w:end w:w="110" w:type="dxa"/>
            </w:tcMar>
          </w:tcPr>
          <w:p>
            <w:r>
              <w:rPr>
                <w:rFonts w:ascii="Liberation Serif" w:hAnsi="Liberation Serif" w:eastAsia="Liberation Serif"/>
                <w:b w:val="0"/>
                <w:sz w:val="18"/>
              </w:rPr>
              <w:t>Goods, services, technology, production, logistics, and vendors.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07 Independent Contractor Agreement</w:t>
            </w:r>
          </w:p>
        </w:tc>
        <w:tc>
          <w:tcPr>
            <w:tcW w:type="dxa" w:w="6336"/>
            <w:tcMar>
              <w:top w:w="90" w:type="dxa"/>
              <w:start w:w="110" w:type="dxa"/>
              <w:bottom w:w="90" w:type="dxa"/>
              <w:end w:w="110" w:type="dxa"/>
            </w:tcMar>
          </w:tcPr>
          <w:p>
            <w:r>
              <w:rPr>
                <w:rFonts w:ascii="Liberation Serif" w:hAnsi="Liberation Serif" w:eastAsia="Liberation Serif"/>
                <w:b w:val="0"/>
                <w:sz w:val="18"/>
              </w:rPr>
              <w:t>Non-official contractors when classification facts support it.</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08 Customer Agreement</w:t>
            </w:r>
          </w:p>
        </w:tc>
        <w:tc>
          <w:tcPr>
            <w:tcW w:type="dxa" w:w="6336"/>
            <w:tcMar>
              <w:top w:w="90" w:type="dxa"/>
              <w:start w:w="110" w:type="dxa"/>
              <w:bottom w:w="90" w:type="dxa"/>
              <w:end w:w="110" w:type="dxa"/>
            </w:tcMar>
          </w:tcPr>
          <w:p>
            <w:r>
              <w:rPr>
                <w:rFonts w:ascii="Liberation Serif" w:hAnsi="Liberation Serif" w:eastAsia="Liberation Serif"/>
                <w:b w:val="0"/>
                <w:sz w:val="18"/>
              </w:rPr>
              <w:t>Business or consumer purchases, registrations, subscriptions, or services.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09 Master Officiating and Assigning Services Agreement</w:t>
            </w:r>
          </w:p>
        </w:tc>
        <w:tc>
          <w:tcPr>
            <w:tcW w:type="dxa" w:w="6336"/>
            <w:tcMar>
              <w:top w:w="90" w:type="dxa"/>
              <w:start w:w="110" w:type="dxa"/>
              <w:bottom w:w="90" w:type="dxa"/>
              <w:end w:w="110" w:type="dxa"/>
            </w:tcMar>
          </w:tcPr>
          <w:p>
            <w:r>
              <w:rPr>
                <w:rFonts w:ascii="Liberation Serif" w:hAnsi="Liberation Serif" w:eastAsia="Liberation Serif"/>
                <w:b w:val="0"/>
                <w:sz w:val="18"/>
              </w:rPr>
              <w:t>Recurring or multi-season client relationships with statements of work.</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10 League and Conference Assigning Agreement</w:t>
            </w:r>
          </w:p>
        </w:tc>
        <w:tc>
          <w:tcPr>
            <w:tcW w:type="dxa" w:w="6336"/>
            <w:tcMar>
              <w:top w:w="90" w:type="dxa"/>
              <w:start w:w="110" w:type="dxa"/>
              <w:bottom w:w="90" w:type="dxa"/>
              <w:end w:w="110" w:type="dxa"/>
            </w:tcMar>
          </w:tcPr>
          <w:p>
            <w:r>
              <w:rPr>
                <w:rFonts w:ascii="Liberation Serif" w:hAnsi="Liberation Serif" w:eastAsia="Liberation Serif"/>
                <w:b w:val="0"/>
                <w:sz w:val="18"/>
              </w:rPr>
              <w:t>Centralized assigning for leagues, conferences, districts, or associations.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11 Tournament / Showcase / Special Event Agreement</w:t>
            </w:r>
          </w:p>
        </w:tc>
        <w:tc>
          <w:tcPr>
            <w:tcW w:type="dxa" w:w="6336"/>
            <w:tcMar>
              <w:top w:w="90" w:type="dxa"/>
              <w:start w:w="110" w:type="dxa"/>
              <w:bottom w:w="90" w:type="dxa"/>
              <w:end w:w="110" w:type="dxa"/>
            </w:tcMar>
          </w:tcPr>
          <w:p>
            <w:r>
              <w:rPr>
                <w:rFonts w:ascii="Liberation Serif" w:hAnsi="Liberation Serif" w:eastAsia="Liberation Serif"/>
                <w:b w:val="0"/>
                <w:sz w:val="18"/>
              </w:rPr>
              <w:t>Compressed, multi-court, or special-event officiating.</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12 Official Assignment Acceptance</w:t>
            </w:r>
          </w:p>
        </w:tc>
        <w:tc>
          <w:tcPr>
            <w:tcW w:type="dxa" w:w="6336"/>
            <w:tcMar>
              <w:top w:w="90" w:type="dxa"/>
              <w:start w:w="110" w:type="dxa"/>
              <w:bottom w:w="90" w:type="dxa"/>
              <w:end w:w="110" w:type="dxa"/>
            </w:tcMar>
          </w:tcPr>
          <w:p>
            <w:r>
              <w:rPr>
                <w:rFonts w:ascii="Liberation Serif" w:hAnsi="Liberation Serif" w:eastAsia="Liberation Serif"/>
                <w:b w:val="0"/>
                <w:sz w:val="18"/>
              </w:rPr>
              <w:t>A specific game or event confirmation.</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13 Venue and Facility Use Agreement</w:t>
            </w:r>
          </w:p>
        </w:tc>
        <w:tc>
          <w:tcPr>
            <w:tcW w:type="dxa" w:w="6336"/>
            <w:tcMar>
              <w:top w:w="90" w:type="dxa"/>
              <w:start w:w="110" w:type="dxa"/>
              <w:bottom w:w="90" w:type="dxa"/>
              <w:end w:w="110" w:type="dxa"/>
            </w:tcMar>
          </w:tcPr>
          <w:p>
            <w:r>
              <w:rPr>
                <w:rFonts w:ascii="Liberation Serif" w:hAnsi="Liberation Serif" w:eastAsia="Liberation Serif"/>
                <w:b w:val="0"/>
                <w:sz w:val="18"/>
              </w:rPr>
              <w:t>Gyms, classrooms, courts, meeting, and event spaces.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14 Data Privacy, Confidentiality, and Security Agreement</w:t>
            </w:r>
          </w:p>
        </w:tc>
        <w:tc>
          <w:tcPr>
            <w:tcW w:type="dxa" w:w="6336"/>
            <w:tcMar>
              <w:top w:w="90" w:type="dxa"/>
              <w:start w:w="110" w:type="dxa"/>
              <w:bottom w:w="90" w:type="dxa"/>
              <w:end w:w="110" w:type="dxa"/>
            </w:tcMar>
          </w:tcPr>
          <w:p>
            <w:r>
              <w:rPr>
                <w:rFonts w:ascii="Liberation Serif" w:hAnsi="Liberation Serif" w:eastAsia="Liberation Serif"/>
                <w:b w:val="0"/>
                <w:sz w:val="18"/>
              </w:rPr>
              <w:t>Protected personal, student, assignment, evaluation, and system data.</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15 Mutual Nondisclosure Agreement</w:t>
            </w:r>
          </w:p>
        </w:tc>
        <w:tc>
          <w:tcPr>
            <w:tcW w:type="dxa" w:w="6336"/>
            <w:tcMar>
              <w:top w:w="90" w:type="dxa"/>
              <w:start w:w="110" w:type="dxa"/>
              <w:bottom w:w="90" w:type="dxa"/>
              <w:end w:w="110" w:type="dxa"/>
            </w:tcMar>
          </w:tcPr>
          <w:p>
            <w:r>
              <w:rPr>
                <w:rFonts w:ascii="Liberation Serif" w:hAnsi="Liberation Serif" w:eastAsia="Liberation Serif"/>
                <w:b w:val="0"/>
                <w:sz w:val="18"/>
              </w:rPr>
              <w:t>Precontract or project confidentiality.</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16 Evaluator, Observer, and Training Personnel Agreement</w:t>
            </w:r>
          </w:p>
        </w:tc>
        <w:tc>
          <w:tcPr>
            <w:tcW w:type="dxa" w:w="6336"/>
            <w:tcMar>
              <w:top w:w="90" w:type="dxa"/>
              <w:start w:w="110" w:type="dxa"/>
              <w:bottom w:w="90" w:type="dxa"/>
              <w:end w:w="110" w:type="dxa"/>
            </w:tcMar>
          </w:tcPr>
          <w:p>
            <w:r>
              <w:rPr>
                <w:rFonts w:ascii="Liberation Serif" w:hAnsi="Liberation Serif" w:eastAsia="Liberation Serif"/>
                <w:b w:val="0"/>
                <w:sz w:val="18"/>
              </w:rPr>
              <w:t>Evaluators, clinicians, trainers, mentors, and observers.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17 Governmental and Public Entity Services Agreement</w:t>
            </w:r>
          </w:p>
        </w:tc>
        <w:tc>
          <w:tcPr>
            <w:tcW w:type="dxa" w:w="6336"/>
            <w:tcMar>
              <w:top w:w="90" w:type="dxa"/>
              <w:start w:w="110" w:type="dxa"/>
              <w:bottom w:w="90" w:type="dxa"/>
              <w:end w:w="110" w:type="dxa"/>
            </w:tcMar>
          </w:tcPr>
          <w:p>
            <w:r>
              <w:rPr>
                <w:rFonts w:ascii="Liberation Serif" w:hAnsi="Liberation Serif" w:eastAsia="Liberation Serif"/>
                <w:b w:val="0"/>
                <w:sz w:val="18"/>
              </w:rPr>
              <w:t>Public schools, universities, municipalities, and government bodies.</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18 Participant Enrollment / Risk / Medical Authorization</w:t>
            </w:r>
          </w:p>
        </w:tc>
        <w:tc>
          <w:tcPr>
            <w:tcW w:type="dxa" w:w="6336"/>
            <w:tcMar>
              <w:top w:w="90" w:type="dxa"/>
              <w:start w:w="110" w:type="dxa"/>
              <w:bottom w:w="90" w:type="dxa"/>
              <w:end w:w="110" w:type="dxa"/>
            </w:tcMar>
          </w:tcPr>
          <w:p>
            <w:r>
              <w:rPr>
                <w:rFonts w:ascii="Liberation Serif" w:hAnsi="Liberation Serif" w:eastAsia="Liberation Serif"/>
                <w:b w:val="0"/>
                <w:sz w:val="18"/>
              </w:rPr>
              <w:t>Participant and parent/guardian enrollment and emergency authorization.</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19 Media Recording and Publicity Release</w:t>
            </w:r>
          </w:p>
        </w:tc>
        <w:tc>
          <w:tcPr>
            <w:tcW w:type="dxa" w:w="6336"/>
            <w:tcMar>
              <w:top w:w="90" w:type="dxa"/>
              <w:start w:w="110" w:type="dxa"/>
              <w:bottom w:w="90" w:type="dxa"/>
              <w:end w:w="110" w:type="dxa"/>
            </w:tcMar>
          </w:tcPr>
          <w:p>
            <w:r>
              <w:rPr>
                <w:rFonts w:ascii="Liberation Serif" w:hAnsi="Liberation Serif" w:eastAsia="Liberation Serif"/>
                <w:b w:val="0"/>
                <w:sz w:val="18"/>
              </w:rPr>
              <w:t>Choice-based image, video, audio, and publicity permission.</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20 Sports Official Employment Agreement</w:t>
            </w:r>
          </w:p>
        </w:tc>
        <w:tc>
          <w:tcPr>
            <w:tcW w:type="dxa" w:w="6336"/>
            <w:tcMar>
              <w:top w:w="90" w:type="dxa"/>
              <w:start w:w="110" w:type="dxa"/>
              <w:bottom w:w="90" w:type="dxa"/>
              <w:end w:w="110" w:type="dxa"/>
            </w:tcMar>
          </w:tcPr>
          <w:p>
            <w:r>
              <w:rPr>
                <w:rFonts w:ascii="Liberation Serif" w:hAnsi="Liberation Serif" w:eastAsia="Liberation Serif"/>
                <w:b w:val="0"/>
                <w:sz w:val="18"/>
              </w:rPr>
              <w:t>Use when facts or law require employee treatment.</w:t>
            </w:r>
          </w:p>
        </w:tc>
      </w:tr>
      <w:tr>
        <w:tc>
          <w:tcPr>
            <w:tcW w:type="dxa" w:w="3888"/>
            <w:tcMar>
              <w:top w:w="90" w:type="dxa"/>
              <w:start w:w="110" w:type="dxa"/>
              <w:bottom w:w="90" w:type="dxa"/>
              <w:end w:w="110" w:type="dxa"/>
            </w:tcMar>
            <w:shd w:fill="F3F3F3"/>
          </w:tcPr>
          <w:p>
            <w:r>
              <w:rPr>
                <w:rFonts w:ascii="Liberation Sans" w:hAnsi="Liberation Sans" w:eastAsia="Liberation Sans"/>
                <w:b/>
                <w:sz w:val="18"/>
              </w:rPr>
              <w:t>21A-21D FCRA Forms</w:t>
            </w:r>
          </w:p>
        </w:tc>
        <w:tc>
          <w:tcPr>
            <w:tcW w:type="dxa" w:w="6336"/>
            <w:tcMar>
              <w:top w:w="90" w:type="dxa"/>
              <w:start w:w="110" w:type="dxa"/>
              <w:bottom w:w="90" w:type="dxa"/>
              <w:end w:w="110" w:type="dxa"/>
            </w:tcMar>
          </w:tcPr>
          <w:p>
            <w:r>
              <w:rPr>
                <w:rFonts w:ascii="Liberation Serif" w:hAnsi="Liberation Serif" w:eastAsia="Liberation Serif"/>
                <w:b w:val="0"/>
                <w:sz w:val="18"/>
              </w:rPr>
              <w:t>Separate disclosure, authorization, pre-adverse, and final adverse notices.</w:t>
            </w:r>
          </w:p>
        </w:tc>
      </w:tr>
      <w:tr>
        <w:tc>
          <w:tcPr>
            <w:tcW w:type="dxa" w:w="3888"/>
          </w:tcPr>
          <w:p>
            <w:r>
              <w:t>22 Organization Officiating Services Agreement</w:t>
            </w:r>
          </w:p>
        </w:tc>
        <w:tc>
          <w:tcPr>
            <w:tcW w:type="dxa" w:w="6336"/>
          </w:tcPr>
          <w:p>
            <w:r>
              <w:t>Sports organizations, associations, operators, and partner-service relationships.</w:t>
            </w:r>
          </w:p>
        </w:tc>
      </w:tr>
      <w:tr>
        <w:tc>
          <w:tcPr>
            <w:tcW w:type="dxa" w:w="3888"/>
          </w:tcPr>
          <w:p>
            <w:r>
              <w:t>23 Event Officiating Services Agreement</w:t>
            </w:r>
          </w:p>
        </w:tc>
        <w:tc>
          <w:tcPr>
            <w:tcW w:type="dxa" w:w="6336"/>
          </w:tcPr>
          <w:p>
            <w:r>
              <w:t>One-time or recurring event officiating and assignment services.</w:t>
            </w:r>
          </w:p>
        </w:tc>
      </w:tr>
      <w:tr>
        <w:tc>
          <w:tcPr>
            <w:tcW w:type="dxa" w:w="3888"/>
          </w:tcPr>
          <w:p>
            <w:r>
              <w:t>24 Celebrity Game Officiating and Event Services Agreement</w:t>
            </w:r>
          </w:p>
        </w:tc>
        <w:tc>
          <w:tcPr>
            <w:tcW w:type="dxa" w:w="6336"/>
          </w:tcPr>
          <w:p>
            <w:r>
              <w:t>Celebrity, charity, exhibition, alumni, influencer, and promotional games.</w:t>
            </w:r>
          </w:p>
        </w:tc>
      </w:tr>
      <w:tr>
        <w:tc>
          <w:tcPr>
            <w:tcW w:type="dxa" w:w="3888"/>
          </w:tcPr>
          <w:p>
            <w:r>
              <w:t>25 AAU Tournament Officiating Services Agreement</w:t>
            </w:r>
          </w:p>
        </w:tc>
        <w:tc>
          <w:tcPr>
            <w:tcW w:type="dxa" w:w="6336"/>
          </w:tcPr>
          <w:p>
            <w:r>
              <w:t>Youth AAU tournament officiating, staffing, safeguarding, and scheduling.</w:t>
            </w:r>
          </w:p>
        </w:tc>
      </w:tr>
      <w:tr>
        <w:tc>
          <w:tcPr>
            <w:tcW w:type="dxa" w:w="3888"/>
          </w:tcPr>
          <w:p>
            <w:r>
              <w:t>26 Preseason Tournament Officiating Services Agreement</w:t>
            </w:r>
          </w:p>
        </w:tc>
        <w:tc>
          <w:tcPr>
            <w:tcW w:type="dxa" w:w="6336"/>
          </w:tcPr>
          <w:p>
            <w:r>
              <w:t>Preseason tournament, scrimmage, evaluation, and training services.</w:t>
            </w:r>
          </w:p>
        </w:tc>
      </w:tr>
      <w:tr>
        <w:tc>
          <w:tcPr>
            <w:tcW w:type="dxa" w:w="3888"/>
          </w:tcPr>
          <w:p>
            <w:r>
              <w:t>27 Showcase Tournament Officiating Services Agreement</w:t>
            </w:r>
          </w:p>
        </w:tc>
        <w:tc>
          <w:tcPr>
            <w:tcW w:type="dxa" w:w="6336"/>
          </w:tcPr>
          <w:p>
            <w:r>
              <w:t>Recruiting, prospect, exposure, invitational, and showcase events.</w:t>
            </w:r>
          </w:p>
        </w:tc>
      </w:tr>
    </w:tbl>
    <w:p>
      <w:pPr>
        <w:pStyle w:val="Heading1"/>
      </w:pPr>
      <w:r>
        <w:rPr>
          <w:rFonts w:ascii="Liberation Sans" w:hAnsi="Liberation Sans" w:eastAsia="Liberation Sans"/>
          <w:b/>
          <w:color w:val="1F1F1F"/>
          <w:sz w:val="26"/>
        </w:rPr>
        <w:t>2. Mandatory Completion Before Use</w:t>
      </w:r>
    </w:p>
    <w:p>
      <w:pPr>
        <w:ind w:left="403" w:hanging="259"/>
      </w:pPr>
      <w:r>
        <w:rPr>
          <w:rFonts w:ascii="Liberation Serif" w:hAnsi="Liberation Serif" w:eastAsia="Liberation Serif"/>
          <w:sz w:val="21"/>
        </w:rPr>
        <w:t>• Replace every bracketed field. Do not leave “to be determined” in an executed agreement unless the agreement provides an objective method and deadline.</w:t>
      </w:r>
    </w:p>
    <w:p>
      <w:pPr>
        <w:ind w:left="403" w:hanging="259"/>
      </w:pPr>
      <w:r>
        <w:rPr>
          <w:rFonts w:ascii="Liberation Serif" w:hAnsi="Liberation Serif" w:eastAsia="Liberation Serif"/>
          <w:sz w:val="21"/>
        </w:rPr>
        <w:t>• Confirm the exact RTBO legal name, state of formation, address, authorized signer, tax information, notice address, and any DBA.</w:t>
      </w:r>
    </w:p>
    <w:p>
      <w:pPr>
        <w:ind w:left="403" w:hanging="259"/>
      </w:pPr>
      <w:r>
        <w:rPr>
          <w:rFonts w:ascii="Liberation Serif" w:hAnsi="Liberation Serif" w:eastAsia="Liberation Serif"/>
          <w:sz w:val="21"/>
        </w:rPr>
        <w:t>• Identify the counterparty’s full legal name, entity type, authority, signer, address, procurement status, and insurance.</w:t>
      </w:r>
    </w:p>
    <w:p>
      <w:pPr>
        <w:ind w:left="403" w:hanging="259"/>
      </w:pPr>
      <w:r>
        <w:rPr>
          <w:rFonts w:ascii="Liberation Serif" w:hAnsi="Liberation Serif" w:eastAsia="Liberation Serif"/>
          <w:sz w:val="21"/>
        </w:rPr>
        <w:t>• Attach the final scope, schedule, fee table, cancellation rules, event plan, policies, data inventory, insurance requirements, and required governmental approvals.</w:t>
      </w:r>
    </w:p>
    <w:p>
      <w:pPr>
        <w:ind w:left="403" w:hanging="259"/>
      </w:pPr>
      <w:r>
        <w:rPr>
          <w:rFonts w:ascii="Liberation Serif" w:hAnsi="Liberation Serif" w:eastAsia="Liberation Serif"/>
          <w:sz w:val="21"/>
        </w:rPr>
        <w:t>• Ensure the contract matches the actual relationship and operational practice. A signed label does not cure worker misclassification, unauthorized public contracting, unsafe conditions, privacy violations, or inadequate consent.</w:t>
      </w:r>
    </w:p>
    <w:p>
      <w:pPr>
        <w:pStyle w:val="Heading1"/>
      </w:pPr>
      <w:r>
        <w:rPr>
          <w:rFonts w:ascii="Liberation Sans" w:hAnsi="Liberation Sans" w:eastAsia="Liberation Sans"/>
          <w:b/>
          <w:color w:val="1F1F1F"/>
          <w:sz w:val="26"/>
        </w:rPr>
        <w:t>3. Worker Classification Gate</w:t>
      </w:r>
    </w:p>
    <w:p>
      <w:pPr>
        <w:ind w:left="403" w:hanging="259"/>
      </w:pPr>
      <w:r>
        <w:rPr>
          <w:rFonts w:ascii="Liberation Serif" w:hAnsi="Liberation Serif" w:eastAsia="Liberation Serif"/>
          <w:sz w:val="21"/>
        </w:rPr>
        <w:t>• Before using an independent-contractor form, document the actual facts concerning control, scheduling, freedom to decline work, outside business activity, investment, tools, opportunity for profit or loss, permanence, skill and initiative, integration, payment method, taxes, benefits, and right to discharge.</w:t>
      </w:r>
    </w:p>
    <w:p>
      <w:pPr>
        <w:ind w:left="403" w:hanging="259"/>
      </w:pPr>
      <w:r>
        <w:rPr>
          <w:rFonts w:ascii="Liberation Serif" w:hAnsi="Liberation Serif" w:eastAsia="Liberation Serif"/>
          <w:sz w:val="21"/>
        </w:rPr>
        <w:t>• Arkansas uses a statutory twenty-factor analysis for state-law classification, while federal tax and wage-hour tests apply independently. Multi-state work may trigger additional tests.</w:t>
      </w:r>
    </w:p>
    <w:p>
      <w:pPr>
        <w:ind w:left="403" w:hanging="259"/>
      </w:pPr>
      <w:r>
        <w:rPr>
          <w:rFonts w:ascii="Liberation Serif" w:hAnsi="Liberation Serif" w:eastAsia="Liberation Serif"/>
          <w:sz w:val="21"/>
        </w:rPr>
        <w:t>• Use the Sports Official Employment Agreement and payroll procedures whenever the facts or controlling law support employee status. Reassess periodically and when operational practices change.</w:t>
      </w:r>
    </w:p>
    <w:p>
      <w:pPr>
        <w:pStyle w:val="Heading1"/>
      </w:pPr>
      <w:r>
        <w:rPr>
          <w:rFonts w:ascii="Liberation Sans" w:hAnsi="Liberation Sans" w:eastAsia="Liberation Sans"/>
          <w:b/>
          <w:color w:val="1F1F1F"/>
          <w:sz w:val="26"/>
        </w:rPr>
        <w:t>4. Public School, College, University, and Government Gate</w:t>
      </w:r>
    </w:p>
    <w:p>
      <w:pPr>
        <w:ind w:left="403" w:hanging="259"/>
      </w:pPr>
      <w:r>
        <w:rPr>
          <w:rFonts w:ascii="Liberation Serif" w:hAnsi="Liberation Serif" w:eastAsia="Liberation Serif"/>
          <w:sz w:val="21"/>
        </w:rPr>
        <w:t>• Confirm legal authority, procurement method, solicitation or exemption, vendor registration, purchase order, contract review, governing-body approval, available appropriation, not-to-exceed amount, audit rights, public-records treatment, ethics certifications, and immunity limitations.</w:t>
      </w:r>
    </w:p>
    <w:p>
      <w:pPr>
        <w:ind w:left="403" w:hanging="259"/>
      </w:pPr>
      <w:r>
        <w:rPr>
          <w:rFonts w:ascii="Liberation Serif" w:hAnsi="Liberation Serif" w:eastAsia="Liberation Serif"/>
          <w:sz w:val="21"/>
        </w:rPr>
        <w:t>• Do not accept an employee’s promise that approval is unnecessary. Do not begin work until authorized execution and funding conditions are satisfied.</w:t>
      </w:r>
    </w:p>
    <w:p>
      <w:pPr>
        <w:ind w:left="403" w:hanging="259"/>
      </w:pPr>
      <w:r>
        <w:rPr>
          <w:rFonts w:ascii="Liberation Serif" w:hAnsi="Liberation Serif" w:eastAsia="Liberation Serif"/>
          <w:sz w:val="21"/>
        </w:rPr>
        <w:t>• Use the public-entity form or public provisions. Never require a public entity to waive immunity or indemnify beyond lawful authority.</w:t>
      </w:r>
    </w:p>
    <w:p>
      <w:pPr>
        <w:pStyle w:val="Heading1"/>
      </w:pPr>
      <w:r>
        <w:rPr>
          <w:rFonts w:ascii="Liberation Sans" w:hAnsi="Liberation Sans" w:eastAsia="Liberation Sans"/>
          <w:b/>
          <w:color w:val="1F1F1F"/>
          <w:sz w:val="26"/>
        </w:rPr>
        <w:t>5. Minors and Athlete-Safety Gate</w:t>
      </w:r>
    </w:p>
    <w:p>
      <w:pPr>
        <w:ind w:left="403" w:hanging="259"/>
      </w:pPr>
      <w:r>
        <w:rPr>
          <w:rFonts w:ascii="Liberation Serif" w:hAnsi="Liberation Serif" w:eastAsia="Liberation Serif"/>
          <w:sz w:val="21"/>
        </w:rPr>
        <w:t>• Identify every role with access to minors; apply screening, training, supervision, one-on-one interaction, communications, travel, locker-room, photography, and reporting rules.</w:t>
      </w:r>
    </w:p>
    <w:p>
      <w:pPr>
        <w:ind w:left="403" w:hanging="259"/>
      </w:pPr>
      <w:r>
        <w:rPr>
          <w:rFonts w:ascii="Liberation Serif" w:hAnsi="Liberation Serif" w:eastAsia="Liberation Serif"/>
          <w:sz w:val="21"/>
        </w:rPr>
        <w:t>• Mandatory reports must be made directly to the proper authority by the person legally required to report. Internal notice or supervisor approval must never delay or replace a report.</w:t>
      </w:r>
    </w:p>
    <w:p>
      <w:pPr>
        <w:ind w:left="403" w:hanging="259"/>
      </w:pPr>
      <w:r>
        <w:rPr>
          <w:rFonts w:ascii="Liberation Serif" w:hAnsi="Liberation Serif" w:eastAsia="Liberation Serif"/>
          <w:sz w:val="21"/>
        </w:rPr>
        <w:t>• Obtain legally sufficient parent or guardian enrollment, medical, travel, risk, privacy, and media choices where applicable.</w:t>
      </w:r>
    </w:p>
    <w:p>
      <w:pPr>
        <w:pStyle w:val="Heading1"/>
      </w:pPr>
      <w:r>
        <w:rPr>
          <w:rFonts w:ascii="Liberation Sans" w:hAnsi="Liberation Sans" w:eastAsia="Liberation Sans"/>
          <w:b/>
          <w:color w:val="1F1F1F"/>
          <w:sz w:val="26"/>
        </w:rPr>
        <w:t>6. Data and Education-Record Gate</w:t>
      </w:r>
    </w:p>
    <w:p>
      <w:pPr>
        <w:ind w:left="403" w:hanging="259"/>
      </w:pPr>
      <w:r>
        <w:rPr>
          <w:rFonts w:ascii="Liberation Serif" w:hAnsi="Liberation Serif" w:eastAsia="Liberation Serif"/>
          <w:sz w:val="21"/>
        </w:rPr>
        <w:t>• Inventory each data category and system. Share only what is needed. Define party roles, purpose, access, retention, deletion, subprocessors, security, incident contacts, and notification responsibilities.</w:t>
      </w:r>
    </w:p>
    <w:p>
      <w:pPr>
        <w:ind w:left="403" w:hanging="259"/>
      </w:pPr>
      <w:r>
        <w:rPr>
          <w:rFonts w:ascii="Liberation Serif" w:hAnsi="Liberation Serif" w:eastAsia="Liberation Serif"/>
          <w:sz w:val="21"/>
        </w:rPr>
        <w:t>• For education records, document the school’s school-official determination, direct control over use and maintenance, legitimate educational interest, purpose limitation, and redisclosure restrictions.</w:t>
      </w:r>
    </w:p>
    <w:p>
      <w:pPr>
        <w:ind w:left="403" w:hanging="259"/>
      </w:pPr>
      <w:r>
        <w:rPr>
          <w:rFonts w:ascii="Liberation Serif" w:hAnsi="Liberation Serif" w:eastAsia="Liberation Serif"/>
          <w:sz w:val="21"/>
        </w:rPr>
        <w:t>• Do not place protected student, medical, screening, payment, or disciplinary information in ordinary email, unsecured spreadsheets, or broad-access messaging.</w:t>
      </w:r>
    </w:p>
    <w:p>
      <w:pPr>
        <w:pStyle w:val="Heading1"/>
      </w:pPr>
      <w:r>
        <w:rPr>
          <w:rFonts w:ascii="Liberation Sans" w:hAnsi="Liberation Sans" w:eastAsia="Liberation Sans"/>
          <w:b/>
          <w:color w:val="1F1F1F"/>
          <w:sz w:val="26"/>
        </w:rPr>
        <w:t>7. Background-Screening Gate</w:t>
      </w:r>
    </w:p>
    <w:p>
      <w:pPr>
        <w:ind w:left="403" w:hanging="259"/>
      </w:pPr>
      <w:r>
        <w:rPr>
          <w:rFonts w:ascii="Liberation Serif" w:hAnsi="Liberation Serif" w:eastAsia="Liberation Serif"/>
          <w:sz w:val="21"/>
        </w:rPr>
        <w:t>• Keep the disclosure separate and free of liability waivers or unrelated acknowledgments. Obtain written authorization before ordering a report.</w:t>
      </w:r>
    </w:p>
    <w:p>
      <w:pPr>
        <w:ind w:left="403" w:hanging="259"/>
      </w:pPr>
      <w:r>
        <w:rPr>
          <w:rFonts w:ascii="Liberation Serif" w:hAnsi="Liberation Serif" w:eastAsia="Liberation Serif"/>
          <w:sz w:val="21"/>
        </w:rPr>
        <w:t>• Before adverse action based in whole or in part on a report, provide the report and current federal Summary of Rights, allow a reasonable response period, and complete any state or local fair-chance process.</w:t>
      </w:r>
    </w:p>
    <w:p>
      <w:pPr>
        <w:ind w:left="403" w:hanging="259"/>
      </w:pPr>
      <w:r>
        <w:rPr>
          <w:rFonts w:ascii="Liberation Serif" w:hAnsi="Liberation Serif" w:eastAsia="Liberation Serif"/>
          <w:sz w:val="21"/>
        </w:rPr>
        <w:t>• After the final decision, send the final adverse-action notice with the consumer reporting agency’s contact information, the agency disclaimer, and rights to dispute and obtain another free report within the statutory period.</w:t>
      </w:r>
    </w:p>
    <w:p>
      <w:pPr>
        <w:pStyle w:val="Heading1"/>
      </w:pPr>
      <w:r>
        <w:rPr>
          <w:rFonts w:ascii="Liberation Sans" w:hAnsi="Liberation Sans" w:eastAsia="Liberation Sans"/>
          <w:b/>
          <w:color w:val="1F1F1F"/>
          <w:sz w:val="26"/>
        </w:rPr>
        <w:t>8. Insurance and Risk Review</w:t>
      </w:r>
    </w:p>
    <w:p>
      <w:pPr>
        <w:ind w:left="403" w:hanging="259"/>
      </w:pPr>
      <w:r>
        <w:rPr>
          <w:rFonts w:ascii="Liberation Serif" w:hAnsi="Liberation Serif" w:eastAsia="Liberation Serif"/>
          <w:sz w:val="21"/>
        </w:rPr>
        <w:t>• Have a qualified insurance professional set limits and endorsements based on sport, participants, minors, premises, travel, vehicles, employees, contractors, cyber exposure, professional services, media, and event size.</w:t>
      </w:r>
    </w:p>
    <w:p>
      <w:pPr>
        <w:ind w:left="403" w:hanging="259"/>
      </w:pPr>
      <w:r>
        <w:rPr>
          <w:rFonts w:ascii="Liberation Serif" w:hAnsi="Liberation Serif" w:eastAsia="Liberation Serif"/>
          <w:sz w:val="21"/>
        </w:rPr>
        <w:t>• Collect and review certificates and endorsements before service; verify policy dates, named insured, carriers, exclusions, additional-insured wording, primary/noncontributory status, and waiver of subrogation where negotiated.</w:t>
      </w:r>
    </w:p>
    <w:p>
      <w:pPr>
        <w:ind w:left="403" w:hanging="259"/>
      </w:pPr>
      <w:r>
        <w:rPr>
          <w:rFonts w:ascii="Liberation Serif" w:hAnsi="Liberation Serif" w:eastAsia="Liberation Serif"/>
          <w:sz w:val="21"/>
        </w:rPr>
        <w:t>• Contractual indemnity and insurance must be reviewed together and tailored to anti-indemnity, immunity, workers’ compensation, and public-policy limits.</w:t>
      </w:r>
    </w:p>
    <w:p>
      <w:pPr>
        <w:pStyle w:val="Heading1"/>
      </w:pPr>
      <w:r>
        <w:rPr>
          <w:rFonts w:ascii="Liberation Sans" w:hAnsi="Liberation Sans" w:eastAsia="Liberation Sans"/>
          <w:b/>
          <w:color w:val="1F1F1F"/>
          <w:sz w:val="26"/>
        </w:rPr>
        <w:t>9. Execution and Records</w:t>
      </w:r>
    </w:p>
    <w:p>
      <w:pPr>
        <w:ind w:left="403" w:hanging="259"/>
      </w:pPr>
      <w:r>
        <w:rPr>
          <w:rFonts w:ascii="Liberation Serif" w:hAnsi="Liberation Serif" w:eastAsia="Liberation Serif"/>
          <w:sz w:val="21"/>
        </w:rPr>
        <w:t>• Obtain signatures only from authorized parties. Preserve the final signed agreement, all incorporated schedules, approvals, certificates, tax forms, procurement records, background-screening records, notices, amendments, and performance records.</w:t>
      </w:r>
    </w:p>
    <w:p>
      <w:pPr>
        <w:ind w:left="403" w:hanging="259"/>
      </w:pPr>
      <w:r>
        <w:rPr>
          <w:rFonts w:ascii="Liberation Serif" w:hAnsi="Liberation Serif" w:eastAsia="Liberation Serif"/>
          <w:sz w:val="21"/>
        </w:rPr>
        <w:t>• Use an auditable electronic-signature process that captures identity, consent, document version, timestamps, and completion records.</w:t>
      </w:r>
    </w:p>
    <w:p>
      <w:pPr>
        <w:ind w:left="403" w:hanging="259"/>
      </w:pPr>
      <w:r>
        <w:rPr>
          <w:rFonts w:ascii="Liberation Serif" w:hAnsi="Liberation Serif" w:eastAsia="Liberation Serif"/>
          <w:sz w:val="21"/>
        </w:rPr>
        <w:t>• Calendar renewals, notice dates, insurance expirations, data deletion, credential expirations, payment milestones, public review thresholds, and contract closeout.</w:t>
      </w:r>
    </w:p>
    <w:p>
      <w:pPr>
        <w:pStyle w:val="Heading1"/>
      </w:pPr>
      <w:r>
        <w:rPr>
          <w:rFonts w:ascii="Liberation Sans" w:hAnsi="Liberation Sans" w:eastAsia="Liberation Sans"/>
          <w:b/>
          <w:color w:val="1F1F1F"/>
          <w:sz w:val="26"/>
        </w:rPr>
        <w:t>10. Arkansas-First Legal Foundations Reviewed</w:t>
      </w:r>
    </w:p>
    <w:p>
      <w:pPr>
        <w:ind w:left="403" w:hanging="259"/>
      </w:pPr>
      <w:r>
        <w:rPr>
          <w:rFonts w:ascii="Liberation Serif" w:hAnsi="Liberation Serif" w:eastAsia="Liberation Serif"/>
          <w:sz w:val="21"/>
        </w:rPr>
        <w:t>• Arkansas Empower Independent Contractors Act of 2019, including Ark. Code Ann. § 11-1-204 (twenty-factor test).</w:t>
      </w:r>
    </w:p>
    <w:p>
      <w:pPr>
        <w:ind w:left="403" w:hanging="259"/>
      </w:pPr>
      <w:r>
        <w:rPr>
          <w:rFonts w:ascii="Liberation Serif" w:hAnsi="Liberation Serif" w:eastAsia="Liberation Serif"/>
          <w:sz w:val="21"/>
        </w:rPr>
        <w:t>• Arkansas Uniform Electronic Transactions Act, including Ark. Code Ann. § 25-32-107.</w:t>
      </w:r>
    </w:p>
    <w:p>
      <w:pPr>
        <w:ind w:left="403" w:hanging="259"/>
      </w:pPr>
      <w:r>
        <w:rPr>
          <w:rFonts w:ascii="Liberation Serif" w:hAnsi="Liberation Serif" w:eastAsia="Liberation Serif"/>
          <w:sz w:val="21"/>
        </w:rPr>
        <w:t>• Arkansas Personal Information Protection Act, including reasonable safeguards, destruction, and breach-notification duties.</w:t>
      </w:r>
    </w:p>
    <w:p>
      <w:pPr>
        <w:ind w:left="403" w:hanging="259"/>
      </w:pPr>
      <w:r>
        <w:rPr>
          <w:rFonts w:ascii="Liberation Serif" w:hAnsi="Liberation Serif" w:eastAsia="Liberation Serif"/>
          <w:sz w:val="21"/>
        </w:rPr>
        <w:t>• Arkansas Child Maltreatment Act mandatory-reporting provisions, including duties applicable to coaches, school officials, and other listed reporters.</w:t>
      </w:r>
    </w:p>
    <w:p>
      <w:pPr>
        <w:ind w:left="403" w:hanging="259"/>
      </w:pPr>
      <w:r>
        <w:rPr>
          <w:rFonts w:ascii="Liberation Serif" w:hAnsi="Liberation Serif" w:eastAsia="Liberation Serif"/>
          <w:sz w:val="21"/>
        </w:rPr>
        <w:t>• Arkansas procurement and professional/consultant services contract-review rules applicable to covered public contracts.</w:t>
      </w:r>
    </w:p>
    <w:p>
      <w:pPr>
        <w:ind w:left="403" w:hanging="259"/>
      </w:pPr>
      <w:r>
        <w:rPr>
          <w:rFonts w:ascii="Liberation Serif" w:hAnsi="Liberation Serif" w:eastAsia="Liberation Serif"/>
          <w:sz w:val="21"/>
        </w:rPr>
        <w:t>• Federal Fair Labor Standards Act worker-classification rules and current U.S. Department of Labor guidance and rulemaking status as of August 3, 2026.</w:t>
      </w:r>
    </w:p>
    <w:p>
      <w:pPr>
        <w:ind w:left="403" w:hanging="259"/>
      </w:pPr>
      <w:r>
        <w:rPr>
          <w:rFonts w:ascii="Liberation Serif" w:hAnsi="Liberation Serif" w:eastAsia="Liberation Serif"/>
          <w:sz w:val="21"/>
        </w:rPr>
        <w:t>• Internal Revenue Service common-law worker-classification factors and reporting framework.</w:t>
      </w:r>
    </w:p>
    <w:p>
      <w:pPr>
        <w:ind w:left="403" w:hanging="259"/>
      </w:pPr>
      <w:r>
        <w:rPr>
          <w:rFonts w:ascii="Liberation Serif" w:hAnsi="Liberation Serif" w:eastAsia="Liberation Serif"/>
          <w:sz w:val="21"/>
        </w:rPr>
        <w:t>• Family Educational Rights and Privacy Act school-official and outsourced-service requirements.</w:t>
      </w:r>
    </w:p>
    <w:p>
      <w:pPr>
        <w:ind w:left="403" w:hanging="259"/>
      </w:pPr>
      <w:r>
        <w:rPr>
          <w:rFonts w:ascii="Liberation Serif" w:hAnsi="Liberation Serif" w:eastAsia="Liberation Serif"/>
          <w:sz w:val="21"/>
        </w:rPr>
        <w:t>• Fair Credit Reporting Act employment-purpose disclosure, authorization, pre-adverse, and adverse-action procedures.</w:t>
      </w:r>
    </w:p>
    <w:p>
      <w:pPr>
        <w:spacing w:before="160"/>
      </w:pPr>
      <w:r>
        <w:rPr>
          <w:rFonts w:ascii="Liberation Serif" w:hAnsi="Liberation Serif" w:eastAsia="Liberation Serif"/>
          <w:b w:val="0"/>
          <w:i/>
          <w:color w:val="666666"/>
          <w:sz w:val="19"/>
        </w:rPr>
        <w:t>Final legal review fields: Reviewing attorney: ____________________  Jurisdiction(s): ____________________  Review date: ____________________  Approved version: ____________________</w:t>
      </w:r>
    </w:p>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Contract Library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