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OFFICIALS SERVICE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Official</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Use this form only when the actual relationship supports independent-contractor classification. Scheduling practices, control, economic dependence, exclusivity, equipment, tax treatment, and the parties’ day-to-day conduct must match the agreement. Use the separate Sports Official Employment Agreement when the facts support employee status.</w:t>
            </w:r>
          </w:p>
        </w:tc>
      </w:tr>
    </w:tbl>
    <w:p/>
    <w:p>
      <w:pPr>
        <w:spacing w:after="140"/>
        <w:jc w:val="both"/>
      </w:pPr>
      <w:r>
        <w:rPr>
          <w:rFonts w:ascii="Liberation Serif" w:hAnsi="Liberation Serif" w:eastAsia="Liberation Serif"/>
          <w:sz w:val="21"/>
        </w:rPr>
        <w:t>This Officials Service Agreement is entered into by Raising The Bar Officiating Inc. and the individual identified as Official. RTBO engages Official to accept and perform discrete sports-officiating assignments under the terms below, and Official accepts that engagement.</w:t>
      </w:r>
    </w:p>
    <w:p>
      <w:pPr>
        <w:pStyle w:val="ClauseHeading"/>
        <w:keepNext/>
      </w:pPr>
      <w:r>
        <w:rPr>
          <w:rFonts w:ascii="Liberation Sans" w:hAnsi="Liberation Sans" w:eastAsia="Liberation Sans"/>
          <w:b/>
          <w:color w:val="1F1F1F"/>
          <w:sz w:val="23"/>
        </w:rPr>
        <w:t>1. Engagement and Assignment-by-Assignment Structure</w:t>
      </w:r>
    </w:p>
    <w:p>
      <w:pPr>
        <w:ind w:left="216" w:hanging="216"/>
        <w:jc w:val="both"/>
      </w:pPr>
      <w:r>
        <w:rPr>
          <w:rFonts w:ascii="Liberation Serif" w:hAnsi="Liberation Serif" w:eastAsia="Liberation Serif"/>
          <w:sz w:val="21"/>
        </w:rPr>
        <w:t>RTBO may offer games, events, evaluations, camps, clinics, or related officiating assignments. Official may accept or decline each offer before acceptance. No minimum volume, exclusivity, or continuing assignment is promised. A confirmed assignment becomes binding when accepted through the approved platform, writing, or other documented method.</w:t>
      </w:r>
    </w:p>
    <w:p>
      <w:pPr>
        <w:pStyle w:val="ClauseHeading"/>
        <w:keepNext/>
      </w:pPr>
      <w:r>
        <w:rPr>
          <w:rFonts w:ascii="Liberation Sans" w:hAnsi="Liberation Sans" w:eastAsia="Liberation Sans"/>
          <w:b/>
          <w:color w:val="1F1F1F"/>
          <w:sz w:val="23"/>
        </w:rPr>
        <w:t>2. Officiating Standards and Authority</w:t>
      </w:r>
    </w:p>
    <w:p>
      <w:pPr>
        <w:ind w:left="216" w:hanging="216"/>
        <w:jc w:val="both"/>
      </w:pPr>
      <w:r>
        <w:rPr>
          <w:rFonts w:ascii="Liberation Serif" w:hAnsi="Liberation Serif" w:eastAsia="Liberation Serif"/>
          <w:sz w:val="21"/>
        </w:rPr>
        <w:t>Official shall arrive on time, properly equipped and attired; hold all credentials listed in Schedule 1; know and apply the designated rules and mechanics; exercise independent judgment on play rulings; communicate professionally; complete required reports; avoid gambling and conflicts; and follow lawful safety, conduct, antiharassment, and venue procedures. No party may require alteration of an on-court ruling for an improper purpose.</w:t>
      </w:r>
    </w:p>
    <w:p>
      <w:pPr>
        <w:pStyle w:val="ClauseHeading"/>
        <w:keepNext/>
      </w:pPr>
      <w:r>
        <w:rPr>
          <w:rFonts w:ascii="Liberation Sans" w:hAnsi="Liberation Sans" w:eastAsia="Liberation Sans"/>
          <w:b/>
          <w:color w:val="1F1F1F"/>
          <w:sz w:val="23"/>
        </w:rPr>
        <w:t>3. Assignment Changes; Substitution; No-Shows</w:t>
      </w:r>
    </w:p>
    <w:p>
      <w:pPr>
        <w:ind w:left="216" w:hanging="216"/>
        <w:jc w:val="both"/>
      </w:pPr>
      <w:r>
        <w:rPr>
          <w:rFonts w:ascii="Liberation Serif" w:hAnsi="Liberation Serif" w:eastAsia="Liberation Serif"/>
          <w:sz w:val="21"/>
        </w:rPr>
        <w:t>Official shall not transfer or subcontract an assignment without RTBO approval. If unavailable after acceptance, Official must notify RTBO immediately and reasonably assist with replacement, but only RTBO or the authorized assignor may confirm a substitute. Unexcused lateness, abandonment, or no-show may result in removal, documented losses, and discipline consistent with published policy and law.</w:t>
      </w:r>
    </w:p>
    <w:p>
      <w:pPr>
        <w:pStyle w:val="ClauseHeading"/>
        <w:keepNext/>
      </w:pPr>
      <w:r>
        <w:rPr>
          <w:rFonts w:ascii="Liberation Sans" w:hAnsi="Liberation Sans" w:eastAsia="Liberation Sans"/>
          <w:b/>
          <w:color w:val="1F1F1F"/>
          <w:sz w:val="23"/>
        </w:rPr>
        <w:t>4. Compensation and Payment Administration</w:t>
      </w:r>
    </w:p>
    <w:p>
      <w:pPr>
        <w:ind w:left="216" w:hanging="216"/>
        <w:jc w:val="both"/>
      </w:pPr>
      <w:r>
        <w:rPr>
          <w:rFonts w:ascii="Liberation Serif" w:hAnsi="Liberation Serif" w:eastAsia="Liberation Serif"/>
          <w:sz w:val="21"/>
        </w:rPr>
        <w:t>Official earns only the fee and approved expenses for completed or compensable cancelled assignments shown in the assignment confirmation. RTBO may administer payment for a client but does not guarantee client funds unless Schedule 1 expressly makes RTBO the primary payor. Deductions or offsets require a lawful, documented basis and notice.</w:t>
      </w:r>
    </w:p>
    <w:p>
      <w:pPr>
        <w:pStyle w:val="ClauseHeading"/>
        <w:keepNext/>
      </w:pPr>
      <w:r>
        <w:rPr>
          <w:rFonts w:ascii="Liberation Sans" w:hAnsi="Liberation Sans" w:eastAsia="Liberation Sans"/>
          <w:b/>
          <w:color w:val="1F1F1F"/>
          <w:sz w:val="23"/>
        </w:rPr>
        <w:t>5. Independent Business Status</w:t>
      </w:r>
    </w:p>
    <w:p>
      <w:pPr>
        <w:ind w:left="216" w:hanging="216"/>
        <w:jc w:val="both"/>
      </w:pPr>
      <w:r>
        <w:rPr>
          <w:rFonts w:ascii="Liberation Serif" w:hAnsi="Liberation Serif" w:eastAsia="Liberation Serif"/>
          <w:sz w:val="21"/>
        </w:rPr>
        <w:t>Official represents that Official is independently engaged in officiating or related services, may serve other assignors and organizations, controls lawful means and methods of performance except for results, safety, rules, and event requirements, supplies ordinary personal equipment, bears ordinary business expenses, and is responsible for taxes and benefits. This clause does not override governing law or actual facts; the parties will amend the relationship or use employment documentation if required.</w:t>
      </w:r>
    </w:p>
    <w:p>
      <w:pPr>
        <w:pStyle w:val="ClauseHeading"/>
        <w:keepNext/>
      </w:pPr>
      <w:r>
        <w:rPr>
          <w:rFonts w:ascii="Liberation Sans" w:hAnsi="Liberation Sans" w:eastAsia="Liberation Sans"/>
          <w:b/>
          <w:color w:val="1F1F1F"/>
          <w:sz w:val="23"/>
        </w:rPr>
        <w:t>6. Credentials; Fitness; Background Information</w:t>
      </w:r>
    </w:p>
    <w:p>
      <w:pPr>
        <w:ind w:left="216" w:hanging="216"/>
        <w:jc w:val="both"/>
      </w:pPr>
      <w:r>
        <w:rPr>
          <w:rFonts w:ascii="Liberation Serif" w:hAnsi="Liberation Serif" w:eastAsia="Liberation Serif"/>
          <w:sz w:val="21"/>
        </w:rPr>
        <w:t>Official shall maintain required registrations, training, rules examinations, physical ability, background-screening eligibility, driving status when applicable, and accurate profile and tax information. Official shall promptly report any suspension, disqualification, charge, conviction, restraining order, or other fact legally relevant to safety, trust, eligibility, or assignment suitability, subject to applicable fair-chance and privacy laws.</w:t>
      </w:r>
    </w:p>
    <w:p>
      <w:pPr>
        <w:pStyle w:val="ClauseHeading"/>
        <w:keepNext/>
      </w:pPr>
      <w:r>
        <w:rPr>
          <w:rFonts w:ascii="Liberation Sans" w:hAnsi="Liberation Sans" w:eastAsia="Liberation Sans"/>
          <w:b/>
          <w:color w:val="1F1F1F"/>
          <w:sz w:val="23"/>
        </w:rPr>
        <w:t>7. Incident and Injury Reporting</w:t>
      </w:r>
    </w:p>
    <w:p>
      <w:pPr>
        <w:ind w:left="216" w:hanging="216"/>
        <w:jc w:val="both"/>
      </w:pPr>
      <w:r>
        <w:rPr>
          <w:rFonts w:ascii="Liberation Serif" w:hAnsi="Liberation Serif" w:eastAsia="Liberation Serif"/>
          <w:sz w:val="21"/>
        </w:rPr>
        <w:t>Official shall promptly report serious injury, ejection, fight, threat, harassment, discrimination, security failure, suspected abuse, unusual game termination, or other reportable incident through RTBO’s approved process, while preserving evidence and protecting confidential information.</w:t>
      </w:r>
    </w:p>
    <w:p>
      <w:pPr>
        <w:pStyle w:val="ClauseHeading"/>
        <w:keepNext/>
      </w:pPr>
      <w:r>
        <w:rPr>
          <w:rFonts w:ascii="Liberation Sans" w:hAnsi="Liberation Sans" w:eastAsia="Liberation Sans"/>
          <w:b/>
          <w:color w:val="1F1F1F"/>
          <w:sz w:val="23"/>
        </w:rPr>
        <w:t>8.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9.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10.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11.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12.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13.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14.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15.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16.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17.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18.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19.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20.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Sport / Governing Rules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[SPORT; NFHS/NCAA/NAIA/NJCAA/FIBA/LEAGUE RULES]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Credentials Required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[REGISTRATION, CERTIFICATION, TRAINING, BACKGROUND SCREEN]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Assignment Offer / Acceptance Method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[PLATFORM / EMAIL / WRITTEN CONFIRMATION]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Standard Game Fees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[BY LEVEL, POSITION, OR EVENT]</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Payment Timing</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[NUMBER] days after [COMPLETED GAME / CLIENT FUNDING / APPROVED INVOICE]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Travel / Expenses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[MILEAGE, LODGING, PER DIEM, PARKING]</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Cancellation / Postponement Fees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Uniform / Equipment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[REQUIRED ITEMS AND RESPONSIBILITY]</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Reporting Deadlines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[GAME / INCIDENT / EJECTION REPORTS]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Insurance Requirements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[IF ANY]</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Tax Forms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Form W-9 and other legally required information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Term / Convenience Termination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 [NUMBER] days notice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RTBO: [ADDRESS/EMAIL] | Official: [ADDRESS/EMAIL]</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[ADDITIONAL TERMS]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OFFICIAL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Officials Service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