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SCHOOL SERVICES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School / Educational Institution</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Public and private educational institutions have different procurement, appropriation, immunity, student-record, insurance, and approval requirements. The institution’s authorized legal and procurement representatives must review and complete this agreement before execution.</w:t>
            </w:r>
          </w:p>
        </w:tc>
      </w:tr>
    </w:tbl>
    <w:p/>
    <w:p>
      <w:pPr>
        <w:spacing w:after="140"/>
        <w:jc w:val="both"/>
      </w:pPr>
      <w:r>
        <w:rPr>
          <w:rFonts w:ascii="Liberation Serif" w:hAnsi="Liberation Serif" w:eastAsia="Liberation Serif"/>
          <w:sz w:val="21"/>
        </w:rPr>
        <w:t>This School Services Agreement is between Raising The Bar Officiating Inc. and the identified school, district, college, university, or educational institution for officiating, assigning, training, evaluation, consulting, event-support, or related services.</w:t>
      </w:r>
    </w:p>
    <w:p>
      <w:pPr>
        <w:pStyle w:val="ClauseHeading"/>
        <w:keepNext/>
      </w:pPr>
      <w:r>
        <w:rPr>
          <w:rFonts w:ascii="Liberation Sans" w:hAnsi="Liberation Sans" w:eastAsia="Liberation Sans"/>
          <w:b/>
          <w:color w:val="1F1F1F"/>
          <w:sz w:val="23"/>
        </w:rPr>
        <w:t>1. Services and Service Orders</w:t>
      </w:r>
    </w:p>
    <w:p>
      <w:pPr>
        <w:ind w:left="216" w:hanging="216"/>
        <w:jc w:val="both"/>
      </w:pPr>
      <w:r>
        <w:rPr>
          <w:rFonts w:ascii="Liberation Serif" w:hAnsi="Liberation Serif" w:eastAsia="Liberation Serif"/>
          <w:sz w:val="21"/>
        </w:rPr>
        <w:t>RTBO shall provide only the services stated in Schedule 1 or a signed service order, which may include recruiting and assigning officials, schedule administration, game coverage, replacement coordination, training, evaluations, reports, payment administration, or consulting. A service order must identify sport, level, dates, facilities, staffing model, deliverables, fees, and authorized contacts.</w:t>
      </w:r>
    </w:p>
    <w:p>
      <w:pPr>
        <w:pStyle w:val="ClauseHeading"/>
        <w:keepNext/>
      </w:pPr>
      <w:r>
        <w:rPr>
          <w:rFonts w:ascii="Liberation Sans" w:hAnsi="Liberation Sans" w:eastAsia="Liberation Sans"/>
          <w:b/>
          <w:color w:val="1F1F1F"/>
          <w:sz w:val="23"/>
        </w:rPr>
        <w:t>2. School Responsibilities</w:t>
      </w:r>
    </w:p>
    <w:p>
      <w:pPr>
        <w:ind w:left="216" w:hanging="216"/>
        <w:jc w:val="both"/>
      </w:pPr>
      <w:r>
        <w:rPr>
          <w:rFonts w:ascii="Liberation Serif" w:hAnsi="Liberation Serif" w:eastAsia="Liberation Serif"/>
          <w:sz w:val="21"/>
        </w:rPr>
        <w:t>School shall provide accurate schedules and changes; safe, regulation-compliant facilities; site administration and security; participant and spectator control; emergency and medical plans; secure dressing space where required; parking and access; timely payment; and a person authorized to resolve operational issues. School retains responsibility for students, athletes, coaches, spectators, employees, facilities, and institutional compliance.</w:t>
      </w:r>
    </w:p>
    <w:p>
      <w:pPr>
        <w:pStyle w:val="ClauseHeading"/>
        <w:keepNext/>
      </w:pPr>
      <w:r>
        <w:rPr>
          <w:rFonts w:ascii="Liberation Sans" w:hAnsi="Liberation Sans" w:eastAsia="Liberation Sans"/>
          <w:b/>
          <w:color w:val="1F1F1F"/>
          <w:sz w:val="23"/>
        </w:rPr>
        <w:t>3. Assignment Independence and Noninterference</w:t>
      </w:r>
    </w:p>
    <w:p>
      <w:pPr>
        <w:ind w:left="216" w:hanging="216"/>
        <w:jc w:val="both"/>
      </w:pPr>
      <w:r>
        <w:rPr>
          <w:rFonts w:ascii="Liberation Serif" w:hAnsi="Liberation Serif" w:eastAsia="Liberation Serif"/>
          <w:sz w:val="21"/>
        </w:rPr>
        <w:t>RTBO controls the assignment process within governing-body rules and disclosed conflict standards. School may identify legitimate eligibility, safety, credential, or conflict concerns but may not demand discriminatory assignments, retaliate against officials, manipulate evaluations, or interfere with good-faith rulings. RTBO may replace personnel when operationally reasonable.</w:t>
      </w:r>
    </w:p>
    <w:p>
      <w:pPr>
        <w:pStyle w:val="ClauseHeading"/>
        <w:keepNext/>
      </w:pPr>
      <w:r>
        <w:rPr>
          <w:rFonts w:ascii="Liberation Sans" w:hAnsi="Liberation Sans" w:eastAsia="Liberation Sans"/>
          <w:b/>
          <w:color w:val="1F1F1F"/>
          <w:sz w:val="23"/>
        </w:rPr>
        <w:t>4. Schedule Changes; Minimum Coverage; Cancellations</w:t>
      </w:r>
    </w:p>
    <w:p>
      <w:pPr>
        <w:ind w:left="216" w:hanging="216"/>
        <w:jc w:val="both"/>
      </w:pPr>
      <w:r>
        <w:rPr>
          <w:rFonts w:ascii="Liberation Serif" w:hAnsi="Liberation Serif" w:eastAsia="Liberation Serif"/>
          <w:sz w:val="21"/>
        </w:rPr>
        <w:t>School shall deliver schedules and changes through the designated system. Late changes, added contests, venue changes, postponements, cancellations, or failures to provide access may trigger minimum, cancellation, travel, or replacement fees in Schedule 1. RTBO will use commercially reasonable efforts to cover changes but does not warrant coverage when notice is inadequate or qualified personnel are unavailable.</w:t>
      </w:r>
    </w:p>
    <w:p>
      <w:pPr>
        <w:pStyle w:val="ClauseHeading"/>
        <w:keepNext/>
      </w:pPr>
      <w:r>
        <w:rPr>
          <w:rFonts w:ascii="Liberation Sans" w:hAnsi="Liberation Sans" w:eastAsia="Liberation Sans"/>
          <w:b/>
          <w:color w:val="1F1F1F"/>
          <w:sz w:val="23"/>
        </w:rPr>
        <w:t>5. Student Records and Institutional Data</w:t>
      </w:r>
    </w:p>
    <w:p>
      <w:pPr>
        <w:ind w:left="216" w:hanging="216"/>
        <w:jc w:val="both"/>
      </w:pPr>
      <w:r>
        <w:rPr>
          <w:rFonts w:ascii="Liberation Serif" w:hAnsi="Liberation Serif" w:eastAsia="Liberation Serif"/>
          <w:sz w:val="21"/>
        </w:rPr>
        <w:t>The parties shall identify whether RTBO will receive education records or other protected student information. Unless Schedule 1 expressly authorizes access, School shall not disclose education records. If authorized, RTBO will act only within the written scope, under School’s direct control regarding use and maintenance, and only for legitimate institutional interests.</w:t>
      </w:r>
    </w:p>
    <w:p>
      <w:pPr>
        <w:pStyle w:val="ClauseHeading"/>
        <w:keepNext/>
      </w:pPr>
      <w:r>
        <w:rPr>
          <w:rFonts w:ascii="Liberation Sans" w:hAnsi="Liberation Sans" w:eastAsia="Liberation Sans"/>
          <w:b/>
          <w:color w:val="1F1F1F"/>
          <w:sz w:val="23"/>
        </w:rPr>
        <w:t>6. Athletic Risk Allocation</w:t>
      </w:r>
    </w:p>
    <w:p>
      <w:pPr>
        <w:ind w:left="216" w:hanging="216"/>
        <w:jc w:val="both"/>
      </w:pPr>
      <w:r>
        <w:rPr>
          <w:rFonts w:ascii="Liberation Serif" w:hAnsi="Liberation Serif" w:eastAsia="Liberation Serif"/>
          <w:sz w:val="21"/>
        </w:rPr>
        <w:t>RTBO is responsible for its contracted services and personnel as provided by law. School remains responsible for premises, crowd management, emergency response, participant eligibility, coaching, medical care, and institutional acts or omissions. Officiating judgment does not transfer ownership or operational control of the event to RTBO.</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Governmental Limitations; No Waiver</w:t>
      </w:r>
    </w:p>
    <w:p>
      <w:pPr>
        <w:ind w:left="216" w:hanging="216"/>
        <w:jc w:val="both"/>
      </w:pPr>
      <w:r>
        <w:rPr>
          <w:rFonts w:ascii="Liberation Serif" w:hAnsi="Liberation Serif" w:eastAsia="Liberation Serif"/>
          <w:sz w:val="21"/>
        </w:rPr>
        <w:t>Nothing requires a public entity to indemnify, defend, insure, pay, or assume liability beyond authority granted by law or available appropriations, and nothing waives constitutional, statutory, sovereign, governmental, qualified, or other immunity. Any indemnity or liability obligation imposed on a public entity applies only to the extent lawfully authorized.</w:t>
      </w:r>
    </w:p>
    <w:p>
      <w:pPr>
        <w:pStyle w:val="ClauseHeading"/>
        <w:keepNext/>
      </w:pPr>
      <w:r>
        <w:rPr>
          <w:rFonts w:ascii="Liberation Sans" w:hAnsi="Liberation Sans" w:eastAsia="Liberation Sans"/>
          <w:b/>
          <w:color w:val="1F1F1F"/>
          <w:sz w:val="23"/>
        </w:rPr>
        <w:t>13. Appropriation; Procurement; Audit; Public Records</w:t>
      </w:r>
    </w:p>
    <w:p>
      <w:pPr>
        <w:ind w:left="216" w:hanging="216"/>
        <w:jc w:val="both"/>
      </w:pPr>
      <w:r>
        <w:rPr>
          <w:rFonts w:ascii="Liberation Serif" w:hAnsi="Liberation Serif" w:eastAsia="Liberation Serif"/>
          <w:sz w:val="21"/>
        </w:rPr>
        <w:t>Payment obligations of a public entity are subject to lawful appropriation and available funds. The parties shall complete applicable bidding, purchasing, vendor-registration, conflict-disclosure, contract-review, and approval procedures. Records shall be maintained and made available for lawful audit. Materials may be subject to freedom-of-information or public-records laws; the receiving public entity will determine disclosure duties and, when legally permitted, provide notice before disclosing material marked confidential.</w:t>
      </w:r>
    </w:p>
    <w:p>
      <w:pPr>
        <w:pStyle w:val="ClauseHeading"/>
        <w:keepNext/>
      </w:pPr>
      <w:r>
        <w:rPr>
          <w:rFonts w:ascii="Liberation Sans" w:hAnsi="Liberation Sans" w:eastAsia="Liberation Sans"/>
          <w:b/>
          <w:color w:val="1F1F1F"/>
          <w:sz w:val="23"/>
        </w:rPr>
        <w:t>14.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15.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16.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17.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18.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19.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20.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Institution / Campus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[LEGAL NAME, CAMPUS, DISTRICT, SYSTEM]</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Sport / Level / Governing Body</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Services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[ASSIGNING, OFFICIATING, TRAINING, PAYMENT, EVALUATION]</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Season / Event Dates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Facilities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[NAMES, ADDRESSES, SITE CONTACTS]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Crew Configuration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[2-PERSON / 3-PERSON / OTHER; ALTERNATE]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Fees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[ASSIGNING FEE; GAME FEES; ADMIN FEES; OTHER]</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Payment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[DEPOSIT, INVOICE SCHEDULE, DUE DATE]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Schedule Change Deadline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[METHOD AND DEADLINE]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Cancellation / Postponement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Security / Medical / Site Duties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[SCHOOL RESPONSIBILITIES]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Student Data Access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[NONE / SPECIFIC AUTHORIZED DATA AND PURPOSE]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[LIMITS AND CERTIFICATES]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Approvals / Purchase Order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[PO, BOARD, PROCUREMENT, LEGAL REVIEW]</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 / Administrators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[CONTACTS]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[TERMS]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 Execution remains subject to all required governmental approvals, appropriations, and procurement procedures.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SCHOOL / EDUCATIONAL INSTITUTION</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School Services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