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TRAINING SCHOOL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Host / Training Partner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This agreement allocates host and training responsibilities but does not replace participant enrollment, assumption-of-risk, medical authorization, media release, staff, venue, or background-screening documents when those are needed.</w:t>
            </w:r>
          </w:p>
        </w:tc>
      </w:tr>
    </w:tbl>
    <w:p/>
    <w:p>
      <w:pPr>
        <w:spacing w:after="140"/>
        <w:jc w:val="both"/>
      </w:pPr>
      <w:r>
        <w:rPr>
          <w:rFonts w:ascii="Liberation Serif" w:hAnsi="Liberation Serif" w:eastAsia="Liberation Serif"/>
          <w:sz w:val="21"/>
        </w:rPr>
        <w:t>This Training School Agreement is between Raising The Bar Officiating Inc. and the identified host, school, institution, camp, league, facility, or training partner for an officiating school, clinic, camp, seminar, evaluation event, or professional-development program.</w:t>
      </w:r>
    </w:p>
    <w:p>
      <w:pPr>
        <w:pStyle w:val="ClauseHeading"/>
        <w:keepNext/>
      </w:pPr>
      <w:r>
        <w:rPr>
          <w:rFonts w:ascii="Liberation Sans" w:hAnsi="Liberation Sans" w:eastAsia="Liberation Sans"/>
          <w:b/>
          <w:color w:val="1F1F1F"/>
          <w:sz w:val="23"/>
        </w:rPr>
        <w:t>1. Training Event and Learning Services</w:t>
      </w:r>
    </w:p>
    <w:p>
      <w:pPr>
        <w:ind w:left="216" w:hanging="216"/>
        <w:jc w:val="both"/>
      </w:pPr>
      <w:r>
        <w:rPr>
          <w:rFonts w:ascii="Liberation Serif" w:hAnsi="Liberation Serif" w:eastAsia="Liberation Serif"/>
          <w:sz w:val="21"/>
        </w:rPr>
        <w:t>The training event, dates, curriculum, instructors, observer/evaluator model, on-court or live-game components, capacity, learning outcomes, materials, and certificates are described in Schedule 1. RTBO may make reasonable instructional changes that do not materially reduce the promised program.</w:t>
      </w:r>
    </w:p>
    <w:p>
      <w:pPr>
        <w:pStyle w:val="ClauseHeading"/>
        <w:keepNext/>
      </w:pPr>
      <w:r>
        <w:rPr>
          <w:rFonts w:ascii="Liberation Sans" w:hAnsi="Liberation Sans" w:eastAsia="Liberation Sans"/>
          <w:b/>
          <w:color w:val="1F1F1F"/>
          <w:sz w:val="23"/>
        </w:rPr>
        <w:t>2. Host Responsibilities</w:t>
      </w:r>
    </w:p>
    <w:p>
      <w:pPr>
        <w:ind w:left="216" w:hanging="216"/>
        <w:jc w:val="both"/>
      </w:pPr>
      <w:r>
        <w:rPr>
          <w:rFonts w:ascii="Liberation Serif" w:hAnsi="Liberation Serif" w:eastAsia="Liberation Serif"/>
          <w:sz w:val="21"/>
        </w:rPr>
        <w:t>Host shall provide the facilities, game inventory, participants or teams, site access, classrooms, courts, audiovisual resources, score-table support, security, medical coverage, permits, housing or meals, and other items assigned to Host in Schedule 1. Host shall disclose known facility hazards and schedule changes promptly.</w:t>
      </w:r>
    </w:p>
    <w:p>
      <w:pPr>
        <w:pStyle w:val="ClauseHeading"/>
        <w:keepNext/>
      </w:pPr>
      <w:r>
        <w:rPr>
          <w:rFonts w:ascii="Liberation Sans" w:hAnsi="Liberation Sans" w:eastAsia="Liberation Sans"/>
          <w:b/>
          <w:color w:val="1F1F1F"/>
          <w:sz w:val="23"/>
        </w:rPr>
        <w:t>3. RTBO Responsibilities</w:t>
      </w:r>
    </w:p>
    <w:p>
      <w:pPr>
        <w:ind w:left="216" w:hanging="216"/>
        <w:jc w:val="both"/>
      </w:pPr>
      <w:r>
        <w:rPr>
          <w:rFonts w:ascii="Liberation Serif" w:hAnsi="Liberation Serif" w:eastAsia="Liberation Serif"/>
          <w:sz w:val="21"/>
        </w:rPr>
        <w:t>RTBO shall provide the instructors, clinicians, evaluators, curriculum, assignments, student communications, registration support, materials, and reports allocated to RTBO. RTBO personnel shall meet stated credentials and conduct requirements.</w:t>
      </w:r>
    </w:p>
    <w:p>
      <w:pPr>
        <w:pStyle w:val="ClauseHeading"/>
        <w:keepNext/>
      </w:pPr>
      <w:r>
        <w:rPr>
          <w:rFonts w:ascii="Liberation Sans" w:hAnsi="Liberation Sans" w:eastAsia="Liberation Sans"/>
          <w:b/>
          <w:color w:val="1F1F1F"/>
          <w:sz w:val="23"/>
        </w:rPr>
        <w:t>4. Evaluation and Certification Disclaimer</w:t>
      </w:r>
    </w:p>
    <w:p>
      <w:pPr>
        <w:ind w:left="216" w:hanging="216"/>
        <w:jc w:val="both"/>
      </w:pPr>
      <w:r>
        <w:rPr>
          <w:rFonts w:ascii="Liberation Serif" w:hAnsi="Liberation Serif" w:eastAsia="Liberation Serif"/>
          <w:sz w:val="21"/>
        </w:rPr>
        <w:t>Evaluations are professional opinions based on observed performance and identified criteria. Completion, scores, rankings, recommendations, or certificates do not guarantee employment, assignments, advancement, licensing, or selection by any third party. RTBO may correct clerical errors and investigate academic or conduct integrity concerns.</w:t>
      </w:r>
    </w:p>
    <w:p>
      <w:pPr>
        <w:pStyle w:val="ClauseHeading"/>
        <w:keepNext/>
      </w:pPr>
      <w:r>
        <w:rPr>
          <w:rFonts w:ascii="Liberation Sans" w:hAnsi="Liberation Sans" w:eastAsia="Liberation Sans"/>
          <w:b/>
          <w:color w:val="1F1F1F"/>
          <w:sz w:val="23"/>
        </w:rPr>
        <w:t>5. Participant Documentation</w:t>
      </w:r>
    </w:p>
    <w:p>
      <w:pPr>
        <w:ind w:left="216" w:hanging="216"/>
        <w:jc w:val="both"/>
      </w:pPr>
      <w:r>
        <w:rPr>
          <w:rFonts w:ascii="Liberation Serif" w:hAnsi="Liberation Serif" w:eastAsia="Liberation Serif"/>
          <w:sz w:val="21"/>
        </w:rPr>
        <w:t>Before participation, responsible parties shall obtain enrollment terms, informed risk acknowledgment, medical and emergency authorization where appropriate, code of conduct, privacy notice, and media choice. Minors require legally sufficient parent or guardian execution. Forms shall be retained according to Schedule 1 and applicable law.</w:t>
      </w:r>
    </w:p>
    <w:p>
      <w:pPr>
        <w:pStyle w:val="ClauseHeading"/>
        <w:keepNext/>
      </w:pPr>
      <w:r>
        <w:rPr>
          <w:rFonts w:ascii="Liberation Sans" w:hAnsi="Liberation Sans" w:eastAsia="Liberation Sans"/>
          <w:b/>
          <w:color w:val="1F1F1F"/>
          <w:sz w:val="23"/>
        </w:rPr>
        <w:t>6. Revenue, Expenses, and Reconciliation</w:t>
      </w:r>
    </w:p>
    <w:p>
      <w:pPr>
        <w:ind w:left="216" w:hanging="216"/>
        <w:jc w:val="both"/>
      </w:pPr>
      <w:r>
        <w:rPr>
          <w:rFonts w:ascii="Liberation Serif" w:hAnsi="Liberation Serif" w:eastAsia="Liberation Serif"/>
          <w:sz w:val="21"/>
        </w:rPr>
        <w:t>Schedule 1 shall state registration ownership, pricing authority, deposits, complimentary registrations, refunds, chargebacks, scholarships, taxes, vendor costs, revenue share, minimum guarantees, reconciliation timing, and audit support. Neither party may make unapproved financial commitments for the other.</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Training School / Event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[NAME]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Dates / Locations / Facilities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Curriculum / Learning Outcomes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Live-Game / On-Court Components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Instructors / Evaluators / Credentials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Capacity / Eligibility / Prerequisites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RTBO Responsibilities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Host Responsibilities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[FACILITY, TEAMS, SECURITY, MEDICAL, A/V, ETC.]</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Registration / Pricing / Processor</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Deposits / Revenue Share / Reconciliation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Refund / Cancellation / Minimum Enrollment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Travel / Lodging / Meals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Participant Forms / Safeguarding</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Evaluation / Certificate Standards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Materials / Recording / Data</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 / Permits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HOST / TRAINING PARTNER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Training School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