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Liberation Sans" w:hAnsi="Liberation Sans" w:eastAsia="Liberation Sans"/>
          <w:b/>
          <w:color w:val="D95F02"/>
          <w:sz w:val="22"/>
        </w:rPr>
        <w:t>RTBO</w:t>
      </w:r>
    </w:p>
    <w:p>
      <w:pPr>
        <w:pStyle w:val="Title"/>
        <w:jc w:val="center"/>
      </w:pPr>
      <w:r>
        <w:rPr>
          <w:rFonts w:ascii="Liberation Sans" w:hAnsi="Liberation Sans" w:eastAsia="Liberation Sans"/>
          <w:b/>
          <w:color w:val="1F1F1F"/>
          <w:sz w:val="44"/>
        </w:rPr>
        <w:t>SPONSOR AGREEMENT</w:t>
      </w:r>
    </w:p>
    <w:p>
      <w:pPr>
        <w:spacing w:after="200"/>
        <w:jc w:val="center"/>
      </w:pPr>
      <w:r>
        <w:rPr>
          <w:rFonts w:ascii="Liberation Sans" w:hAnsi="Liberation Sans" w:eastAsia="Liberation Sans"/>
          <w:b w:val="0"/>
          <w:i/>
          <w:color w:val="666666"/>
          <w:sz w:val="21"/>
        </w:rPr>
        <w:t>Standalone Agreement Template</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5112"/>
        <w:gridCol w:w="5112"/>
      </w:tblGrid>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Effective Date</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[MONTH DAY, YEAR]</w:t>
            </w:r>
          </w:p>
        </w:tc>
      </w:tr>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Raising The Bar Officiating Inc.</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[STATE OF FORMATION] corporation | [ADDRESS]</w:t>
            </w:r>
          </w:p>
        </w:tc>
      </w:tr>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Sponsor</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[LEGAL NAME] | [ENTITY TYPE/STATE] | [ADDRESS]</w:t>
            </w:r>
          </w:p>
        </w:tc>
      </w:tr>
      <w:tr>
        <w:tc>
          <w:tcPr>
            <w:tcW w:type="dxa" w:w="5083"/>
            <w:tcMar>
              <w:top w:w="90" w:type="dxa"/>
              <w:start w:w="110" w:type="dxa"/>
              <w:bottom w:w="90" w:type="dxa"/>
              <w:end w:w="110" w:type="dxa"/>
            </w:tcMar>
            <w:vAlign w:val="center"/>
            <w:shd w:fill="F3F3F3"/>
          </w:tcPr>
          <w:p>
            <w:pPr>
              <w:spacing w:after="0"/>
            </w:pPr>
            <w:r>
              <w:rPr>
                <w:rFonts w:ascii="Liberation Sans" w:hAnsi="Liberation Sans" w:eastAsia="Liberation Sans"/>
                <w:b/>
                <w:color w:val="1F1F1F"/>
                <w:sz w:val="18"/>
              </w:rPr>
              <w:t>Agreement Term</w:t>
            </w:r>
          </w:p>
        </w:tc>
        <w:tc>
          <w:tcPr>
            <w:tcW w:type="dxa" w:w="5083"/>
            <w:tcMar>
              <w:top w:w="90" w:type="dxa"/>
              <w:start w:w="110" w:type="dxa"/>
              <w:bottom w:w="90" w:type="dxa"/>
              <w:end w:w="110" w:type="dxa"/>
            </w:tcMar>
            <w:vAlign w:val="center"/>
          </w:tcPr>
          <w:p>
            <w:pPr>
              <w:spacing w:after="0"/>
            </w:pPr>
            <w:r>
              <w:rPr>
                <w:rFonts w:ascii="Liberation Serif" w:hAnsi="Liberation Serif" w:eastAsia="Liberation Serif"/>
                <w:b w:val="0"/>
                <w:color w:val="666666"/>
                <w:sz w:val="18"/>
              </w:rPr>
              <w:t>[START DATE] through [END DATE], unless earlier terminated</w:t>
            </w:r>
          </w:p>
        </w:tc>
      </w:tr>
    </w:tbl>
    <w:p/>
    <w:tbl>
      <w:tblPr>
        <w:tblW w:type="auto" w:w="0"/>
        <w:jc w:val="center"/>
        <w:tblLayout w:type="fixed"/>
        <w:tblLook w:firstColumn="1" w:firstRow="1" w:lastColumn="0" w:lastRow="0" w:noHBand="0" w:noVBand="1" w:val="04A0"/>
        <w:tblBorders>
          <w:top w:val="single" w:sz="8" w:space="0" w:color="E8A15B"/>
          <w:left w:val="single" w:sz="8" w:space="0" w:color="E8A15B"/>
          <w:bottom w:val="single" w:sz="8" w:space="0" w:color="E8A15B"/>
          <w:right w:val="single" w:sz="8" w:space="0" w:color="E8A15B"/>
          <w:insideH w:val="single" w:sz="8" w:space="0" w:color="E8A15B"/>
          <w:insideV w:val="single" w:sz="8" w:space="0" w:color="E8A15B"/>
        </w:tblBorders>
      </w:tblPr>
      <w:tblGrid>
        <w:gridCol w:w="10152"/>
      </w:tblGrid>
      <w:tr>
        <w:tc>
          <w:tcPr>
            <w:tcW w:type="dxa" w:w="10166"/>
            <w:shd w:fill="FFF3E8"/>
            <w:tcMar>
              <w:top w:w="120" w:type="dxa"/>
              <w:start w:w="150" w:type="dxa"/>
              <w:bottom w:w="120" w:type="dxa"/>
              <w:end w:w="150" w:type="dxa"/>
            </w:tcMar>
          </w:tcPr>
          <w:p>
            <w:pPr>
              <w:spacing w:after="0"/>
            </w:pPr>
            <w:r>
              <w:rPr>
                <w:rFonts w:ascii="Liberation Sans" w:hAnsi="Liberation Sans" w:eastAsia="Liberation Sans"/>
                <w:b/>
                <w:color w:val="D95F02"/>
                <w:sz w:val="18"/>
              </w:rPr>
              <w:t xml:space="preserve">IMPORTANT USE NOTICE. </w:t>
            </w:r>
            <w:r>
              <w:rPr>
                <w:rFonts w:ascii="Liberation Serif" w:hAnsi="Liberation Serif" w:eastAsia="Liberation Serif"/>
                <w:b w:val="0"/>
                <w:color w:val="1F1F1F"/>
                <w:sz w:val="18"/>
              </w:rPr>
              <w:t>Sponsorship does not grant control over officiating assignments, rulings, evaluations, eligibility, discipline, educational content, or safety decisions. Regulated products and school-related sponsorships require special legal and policy review.</w:t>
            </w:r>
          </w:p>
        </w:tc>
      </w:tr>
    </w:tbl>
    <w:p/>
    <w:p>
      <w:pPr>
        <w:spacing w:after="140"/>
        <w:jc w:val="both"/>
      </w:pPr>
      <w:r>
        <w:rPr>
          <w:rFonts w:ascii="Liberation Serif" w:hAnsi="Liberation Serif" w:eastAsia="Liberation Serif"/>
          <w:sz w:val="21"/>
        </w:rPr>
        <w:t>This Sponsor Agreement is between Raising The Bar Officiating Inc. and Sponsor for cash or in-kind support in exchange for the specific recognition, activation, hospitality, content, or promotional benefits stated in Schedule 1.</w:t>
      </w:r>
    </w:p>
    <w:p>
      <w:pPr>
        <w:pStyle w:val="ClauseHeading"/>
        <w:keepNext/>
      </w:pPr>
      <w:r>
        <w:rPr>
          <w:rFonts w:ascii="Liberation Sans" w:hAnsi="Liberation Sans" w:eastAsia="Liberation Sans"/>
          <w:b/>
          <w:color w:val="1F1F1F"/>
          <w:sz w:val="23"/>
        </w:rPr>
        <w:t>1. Sponsorship Rights and Benefits</w:t>
      </w:r>
    </w:p>
    <w:p>
      <w:pPr>
        <w:ind w:left="216" w:hanging="216"/>
        <w:jc w:val="both"/>
      </w:pPr>
      <w:r>
        <w:rPr>
          <w:rFonts w:ascii="Liberation Serif" w:hAnsi="Liberation Serif" w:eastAsia="Liberation Serif"/>
          <w:sz w:val="21"/>
        </w:rPr>
        <w:t>RTBO grants only the category, territory, term, inventory, impressions, placements, tickets, hospitality, speaking, content, digital, signage, naming, or activation benefits specifically identified in Schedule 1. Estimated reach is not guaranteed unless an express minimum and remedy are stated.</w:t>
      </w:r>
    </w:p>
    <w:p>
      <w:pPr>
        <w:pStyle w:val="ClauseHeading"/>
        <w:keepNext/>
      </w:pPr>
      <w:r>
        <w:rPr>
          <w:rFonts w:ascii="Liberation Sans" w:hAnsi="Liberation Sans" w:eastAsia="Liberation Sans"/>
          <w:b/>
          <w:color w:val="1F1F1F"/>
          <w:sz w:val="23"/>
        </w:rPr>
        <w:t>2. Sponsorship Fee and In-Kind Value</w:t>
      </w:r>
    </w:p>
    <w:p>
      <w:pPr>
        <w:ind w:left="216" w:hanging="216"/>
        <w:jc w:val="both"/>
      </w:pPr>
      <w:r>
        <w:rPr>
          <w:rFonts w:ascii="Liberation Serif" w:hAnsi="Liberation Serif" w:eastAsia="Liberation Serif"/>
          <w:sz w:val="21"/>
        </w:rPr>
        <w:t>Sponsor shall pay the fee and deliver in-kind items according to Schedule 1. In-kind items require written valuation, delivery, acceptance, quality, warranty, and disposal terms. Taxes, permits, fulfillment, shipping, and activation expenses are allocated in Schedule 1.</w:t>
      </w:r>
    </w:p>
    <w:p>
      <w:pPr>
        <w:pStyle w:val="ClauseHeading"/>
        <w:keepNext/>
      </w:pPr>
      <w:r>
        <w:rPr>
          <w:rFonts w:ascii="Liberation Sans" w:hAnsi="Liberation Sans" w:eastAsia="Liberation Sans"/>
          <w:b/>
          <w:color w:val="1F1F1F"/>
          <w:sz w:val="23"/>
        </w:rPr>
        <w:t>3. Approvals and Brand Standards</w:t>
      </w:r>
    </w:p>
    <w:p>
      <w:pPr>
        <w:ind w:left="216" w:hanging="216"/>
        <w:jc w:val="both"/>
      </w:pPr>
      <w:r>
        <w:rPr>
          <w:rFonts w:ascii="Liberation Serif" w:hAnsi="Liberation Serif" w:eastAsia="Liberation Serif"/>
          <w:sz w:val="21"/>
        </w:rPr>
        <w:t>Each party must approve the other’s proposed use of its name, logo, marks, claims, and creative materials before publication. Approval does not shift responsibility for accuracy or legal compliance. Materials must comply with school, governing-body, platform, advertising, endorsement, accessibility, intellectual-property, and privacy requirements.</w:t>
      </w:r>
    </w:p>
    <w:p>
      <w:pPr>
        <w:pStyle w:val="ClauseHeading"/>
        <w:keepNext/>
      </w:pPr>
      <w:r>
        <w:rPr>
          <w:rFonts w:ascii="Liberation Sans" w:hAnsi="Liberation Sans" w:eastAsia="Liberation Sans"/>
          <w:b/>
          <w:color w:val="1F1F1F"/>
          <w:sz w:val="23"/>
        </w:rPr>
        <w:t>4. Category Exclusivity and Conflicts</w:t>
      </w:r>
    </w:p>
    <w:p>
      <w:pPr>
        <w:ind w:left="216" w:hanging="216"/>
        <w:jc w:val="both"/>
      </w:pPr>
      <w:r>
        <w:rPr>
          <w:rFonts w:ascii="Liberation Serif" w:hAnsi="Liberation Serif" w:eastAsia="Liberation Serif"/>
          <w:sz w:val="21"/>
        </w:rPr>
        <w:t>Any exclusivity is limited to the exact category, event, media, territory, and term in Schedule 1. RTBO may maintain existing relationships and accept nonconflicting sponsors. Sponsor shall disclose conflicts, prohibited relationships, sanctions, and reputational risks. No arrangement may compromise competitive integrity or create an improper inducement.</w:t>
      </w:r>
    </w:p>
    <w:p>
      <w:pPr>
        <w:pStyle w:val="ClauseHeading"/>
        <w:keepNext/>
      </w:pPr>
      <w:r>
        <w:rPr>
          <w:rFonts w:ascii="Liberation Sans" w:hAnsi="Liberation Sans" w:eastAsia="Liberation Sans"/>
          <w:b/>
          <w:color w:val="1F1F1F"/>
          <w:sz w:val="23"/>
        </w:rPr>
        <w:t>5. Content; Publicity; Talent and Participant Rights</w:t>
      </w:r>
    </w:p>
    <w:p>
      <w:pPr>
        <w:ind w:left="216" w:hanging="216"/>
        <w:jc w:val="both"/>
      </w:pPr>
      <w:r>
        <w:rPr>
          <w:rFonts w:ascii="Liberation Serif" w:hAnsi="Liberation Serif" w:eastAsia="Liberation Serif"/>
          <w:sz w:val="21"/>
        </w:rPr>
        <w:t>No individual’s name, image, likeness, voice, testimonial, student information, or endorsement may be used without required permission. Sponsor is responsible for substantiating product claims and required disclosures. Alcohol, gambling, tobacco, cannabis, weapons, adult, political, and other sensitive categories require RTBO’s express written approval and may be prohibited.</w:t>
      </w:r>
    </w:p>
    <w:p>
      <w:pPr>
        <w:pStyle w:val="ClauseHeading"/>
        <w:keepNext/>
      </w:pPr>
      <w:r>
        <w:rPr>
          <w:rFonts w:ascii="Liberation Sans" w:hAnsi="Liberation Sans" w:eastAsia="Liberation Sans"/>
          <w:b/>
          <w:color w:val="1F1F1F"/>
          <w:sz w:val="23"/>
        </w:rPr>
        <w:t>6. Makegoods and Cancellation</w:t>
      </w:r>
    </w:p>
    <w:p>
      <w:pPr>
        <w:ind w:left="216" w:hanging="216"/>
        <w:jc w:val="both"/>
      </w:pPr>
      <w:r>
        <w:rPr>
          <w:rFonts w:ascii="Liberation Serif" w:hAnsi="Liberation Serif" w:eastAsia="Liberation Serif"/>
          <w:sz w:val="21"/>
        </w:rPr>
        <w:t>If a material sponsored benefit cannot be delivered, RTBO may provide a reasonably equivalent makegood, prorated credit, or refund as specified in Schedule 1. Sponsor has no remedy for changes required by law, safety, governing-body rule, or force majeure beyond the negotiated makegood or refund provisions.</w:t>
      </w:r>
    </w:p>
    <w:p>
      <w:pPr>
        <w:pStyle w:val="ClauseHeading"/>
        <w:keepNext/>
      </w:pPr>
      <w:r>
        <w:rPr>
          <w:rFonts w:ascii="Liberation Sans" w:hAnsi="Liberation Sans" w:eastAsia="Liberation Sans"/>
          <w:b/>
          <w:color w:val="1F1F1F"/>
          <w:sz w:val="23"/>
        </w:rPr>
        <w:t>7. Compliance With Laws and Governing-Body Rules</w:t>
      </w:r>
    </w:p>
    <w:p>
      <w:pPr>
        <w:ind w:left="216" w:hanging="216"/>
        <w:jc w:val="both"/>
      </w:pPr>
      <w:r>
        <w:rPr>
          <w:rFonts w:ascii="Liberation Serif" w:hAnsi="Liberation Serif" w:eastAsia="Liberation Serif"/>
          <w:sz w:val="21"/>
        </w:rPr>
        <w:t>Each party shall comply with all applicable federal, state, and local laws; tax, wage-hour, civil-rights, accessibility, safety, anti-harassment, anti-retaliation, and recordkeeping requirements; and the rules, policies, bylaws, and eligibility standards of the applicable athletic association, conference, league, school system, sanctioning body, or facility. No term requires conduct prohibited by law or governing-body rule.</w:t>
      </w:r>
    </w:p>
    <w:p>
      <w:pPr>
        <w:pStyle w:val="ClauseHeading"/>
        <w:keepNext/>
      </w:pPr>
      <w:r>
        <w:rPr>
          <w:rFonts w:ascii="Liberation Sans" w:hAnsi="Liberation Sans" w:eastAsia="Liberation Sans"/>
          <w:b/>
          <w:color w:val="1F1F1F"/>
          <w:sz w:val="23"/>
        </w:rPr>
        <w:t>8. Intellectual Property; Names and Marks</w:t>
      </w:r>
    </w:p>
    <w:p>
      <w:pPr>
        <w:ind w:left="216" w:hanging="216"/>
        <w:jc w:val="both"/>
      </w:pPr>
      <w:r>
        <w:rPr>
          <w:rFonts w:ascii="Liberation Serif" w:hAnsi="Liberation Serif" w:eastAsia="Liberation Serif"/>
          <w:sz w:val="21"/>
        </w:rPr>
        <w:t>Each party retains its pre-existing intellectual property, systems, content, marks, and know-how. No license is granted except the limited, revocable right reasonably necessary to perform this Agreement. Public use of the other party’s name, logo, likeness, testimonial, photos, audio, or video requires prior written approval unless expressly authorized in a signed schedule.</w:t>
      </w:r>
    </w:p>
    <w:p>
      <w:pPr>
        <w:pStyle w:val="ClauseHeading"/>
        <w:keepNext/>
      </w:pPr>
      <w:r>
        <w:rPr>
          <w:rFonts w:ascii="Liberation Sans" w:hAnsi="Liberation Sans" w:eastAsia="Liberation Sans"/>
          <w:b/>
          <w:color w:val="1F1F1F"/>
          <w:sz w:val="23"/>
        </w:rPr>
        <w:t>9. Insurance and Evidence of Coverage</w:t>
      </w:r>
    </w:p>
    <w:p>
      <w:pPr>
        <w:ind w:left="216" w:hanging="216"/>
        <w:jc w:val="both"/>
      </w:pPr>
      <w:r>
        <w:rPr>
          <w:rFonts w:ascii="Liberation Serif" w:hAnsi="Liberation Serif" w:eastAsia="Liberation Serif"/>
          <w:sz w:val="21"/>
        </w:rPr>
        <w:t>Each party shall maintain insurance reasonably appropriate to its obligations and risks, including commercial general liability, automobile liability when vehicles are used, workers’ compensation and employer’s liability when legally required, and professional, cyber, participant-accident, abuse/molestation, or umbrella coverage when the services create those exposures. Required limits, additional-insured status, primary/noncontributory wording, waivers of subrogation, and certificates shall be stated in Schedule 1. Insurance does not limit contractual liability.</w:t>
      </w:r>
    </w:p>
    <w:p>
      <w:pPr>
        <w:pStyle w:val="ClauseHeading"/>
        <w:keepNext/>
      </w:pPr>
      <w:r>
        <w:rPr>
          <w:rFonts w:ascii="Liberation Sans" w:hAnsi="Liberation Sans" w:eastAsia="Liberation Sans"/>
          <w:b/>
          <w:color w:val="1F1F1F"/>
          <w:sz w:val="23"/>
        </w:rPr>
        <w:t>10. Indemnification</w:t>
      </w:r>
    </w:p>
    <w:p>
      <w:pPr>
        <w:ind w:left="216" w:hanging="216"/>
        <w:jc w:val="both"/>
      </w:pPr>
      <w:r>
        <w:rPr>
          <w:rFonts w:ascii="Liberation Serif" w:hAnsi="Liberation Serif" w:eastAsia="Liberation Serif"/>
          <w:sz w:val="21"/>
        </w:rPr>
        <w:t>To the fullest extent permitted by law, each party shall defend, indemnify, and hold harmless the other party and its directors, officers, employees, and agents from third-party claims, damages, judgments, penalties, and reasonable attorneys’ fees to the extent caused by the indemnifying party’s negligence, willful misconduct, breach of this Agreement, infringement, or violation of law. An indemnified party shall give prompt notice, reasonable cooperation, and control of the defense, subject to consent before any settlement admitting fault or imposing nonmonetary obligations.</w:t>
      </w:r>
    </w:p>
    <w:p>
      <w:pPr>
        <w:pStyle w:val="ClauseHeading"/>
        <w:keepNext/>
      </w:pPr>
      <w:r>
        <w:rPr>
          <w:rFonts w:ascii="Liberation Sans" w:hAnsi="Liberation Sans" w:eastAsia="Liberation Sans"/>
          <w:b/>
          <w:color w:val="1F1F1F"/>
          <w:sz w:val="23"/>
        </w:rPr>
        <w:t>11. Limitation of Liability</w:t>
      </w:r>
    </w:p>
    <w:p>
      <w:pPr>
        <w:ind w:left="216" w:hanging="216"/>
        <w:jc w:val="both"/>
      </w:pPr>
      <w:r>
        <w:rPr>
          <w:rFonts w:ascii="Liberation Serif" w:hAnsi="Liberation Serif" w:eastAsia="Liberation Serif"/>
          <w:sz w:val="21"/>
        </w:rPr>
        <w:t>Except for payment obligations, bodily injury or death, property damage, fraud, willful misconduct, gross negligence, confidentiality or data-security breach, infringement, indemnification, or liabilities that cannot legally be limited, neither party is liable for consequential, incidental, special, exemplary, or punitive damages. Any negotiated aggregate cap appears in Schedule 1; absent an entered cap, no contractual cap applies.</w:t>
      </w:r>
    </w:p>
    <w:p>
      <w:pPr>
        <w:pStyle w:val="ClauseHeading"/>
        <w:keepNext/>
      </w:pPr>
      <w:r>
        <w:rPr>
          <w:rFonts w:ascii="Liberation Sans" w:hAnsi="Liberation Sans" w:eastAsia="Liberation Sans"/>
          <w:b/>
          <w:color w:val="1F1F1F"/>
          <w:sz w:val="23"/>
        </w:rPr>
        <w:t>12. Records; Taxes; Audit Support</w:t>
      </w:r>
    </w:p>
    <w:p>
      <w:pPr>
        <w:ind w:left="216" w:hanging="216"/>
        <w:jc w:val="both"/>
      </w:pPr>
      <w:r>
        <w:rPr>
          <w:rFonts w:ascii="Liberation Serif" w:hAnsi="Liberation Serif" w:eastAsia="Liberation Serif"/>
          <w:sz w:val="21"/>
        </w:rPr>
        <w:t>Each party shall maintain accurate performance, assignment, payment, incident, credential, insurance, and tax records for at least five (5) years after final payment, or longer when law, grant, audit, litigation hold, governing-body rule, or Schedule 1 requires. Each party is responsible for taxes legally imposed on it and shall provide required tax forms and supporting documentation.</w:t>
      </w:r>
    </w:p>
    <w:p>
      <w:pPr>
        <w:pStyle w:val="ClauseHeading"/>
        <w:keepNext/>
      </w:pPr>
      <w:r>
        <w:rPr>
          <w:rFonts w:ascii="Liberation Sans" w:hAnsi="Liberation Sans" w:eastAsia="Liberation Sans"/>
          <w:b/>
          <w:color w:val="1F1F1F"/>
          <w:sz w:val="23"/>
        </w:rPr>
        <w:t>13. Suspension; Termination; Effect</w:t>
      </w:r>
    </w:p>
    <w:p>
      <w:pPr>
        <w:ind w:left="216" w:hanging="216"/>
        <w:jc w:val="both"/>
      </w:pPr>
      <w:r>
        <w:rPr>
          <w:rFonts w:ascii="Liberation Serif" w:hAnsi="Liberation Serif" w:eastAsia="Liberation Serif"/>
          <w:sz w:val="21"/>
        </w:rPr>
        <w:t>Either party may terminate for convenience on the notice period in Schedule 1. Either party may terminate for a material breach not cured within ten (10) days after written notice, or immediately for illegality, fraud, violence, abuse or safeguarding concerns, loss of required license or insurance, insolvency, material data breach, or conduct creating a substantial safety or reputational risk. RTBO may suspend an assignment or access while investigating. Earned, undisputed amounts remain payable; property and Confidential Information must be returned or destroyed; and provisions intended by nature to survive shall survive.</w:t>
      </w:r>
    </w:p>
    <w:p>
      <w:pPr>
        <w:pStyle w:val="ClauseHeading"/>
        <w:keepNext/>
      </w:pPr>
      <w:r>
        <w:rPr>
          <w:rFonts w:ascii="Liberation Sans" w:hAnsi="Liberation Sans" w:eastAsia="Liberation Sans"/>
          <w:b/>
          <w:color w:val="1F1F1F"/>
          <w:sz w:val="23"/>
        </w:rPr>
        <w:t>14. Force Majeure; Cancellations</w:t>
      </w:r>
    </w:p>
    <w:p>
      <w:pPr>
        <w:ind w:left="216" w:hanging="216"/>
        <w:jc w:val="both"/>
      </w:pPr>
      <w:r>
        <w:rPr>
          <w:rFonts w:ascii="Liberation Serif" w:hAnsi="Liberation Serif" w:eastAsia="Liberation Serif"/>
          <w:sz w:val="21"/>
        </w:rPr>
        <w:t>Neither party is liable for delay or nonperformance caused by events beyond reasonable control, including severe weather, natural disaster, epidemic, labor disruption, governmental action, venue closure, utility or communications failure, transportation emergency, or governing-body cancellation. The affected party shall notify the other promptly and mitigate. Event-specific cancellation, postponement, rescheduling, travel, and minimum-fee terms are governed by Schedule 1.</w:t>
      </w:r>
    </w:p>
    <w:p>
      <w:pPr>
        <w:pStyle w:val="ClauseHeading"/>
        <w:keepNext/>
      </w:pPr>
      <w:r>
        <w:rPr>
          <w:rFonts w:ascii="Liberation Sans" w:hAnsi="Liberation Sans" w:eastAsia="Liberation Sans"/>
          <w:b/>
          <w:color w:val="1F1F1F"/>
          <w:sz w:val="23"/>
        </w:rPr>
        <w:t>15. Dispute Resolution; Governing Law</w:t>
      </w:r>
    </w:p>
    <w:p>
      <w:pPr>
        <w:ind w:left="216" w:hanging="216"/>
        <w:jc w:val="both"/>
      </w:pPr>
      <w:r>
        <w:rPr>
          <w:rFonts w:ascii="Liberation Serif" w:hAnsi="Liberation Serif" w:eastAsia="Liberation Serif"/>
          <w:sz w:val="21"/>
        </w:rPr>
        <w:t>The parties shall first attempt good-faith executive negotiation, followed by nonbinding mediation in Pulaski County, Arkansas, unless prohibited for a public entity. Any action not resolved by mediation shall be brought in a court of competent jurisdiction in Pulaski County, Arkansas, and governed by Arkansas law without regard to conflict-of-law rules, except that mandatory law of another jurisdiction controls when it cannot lawfully be waived. EACH PARTY KNOWINGLY WAIVES TRIAL BY JURY TO THE EXTENT PERMITTED BY LAW.</w:t>
      </w:r>
    </w:p>
    <w:p>
      <w:pPr>
        <w:pStyle w:val="ClauseHeading"/>
        <w:keepNext/>
      </w:pPr>
      <w:r>
        <w:rPr>
          <w:rFonts w:ascii="Liberation Sans" w:hAnsi="Liberation Sans" w:eastAsia="Liberation Sans"/>
          <w:b/>
          <w:color w:val="1F1F1F"/>
          <w:sz w:val="23"/>
        </w:rPr>
        <w:t>16. Notices</w:t>
      </w:r>
    </w:p>
    <w:p>
      <w:pPr>
        <w:ind w:left="216" w:hanging="216"/>
        <w:jc w:val="both"/>
      </w:pPr>
      <w:r>
        <w:rPr>
          <w:rFonts w:ascii="Liberation Serif" w:hAnsi="Liberation Serif" w:eastAsia="Liberation Serif"/>
          <w:sz w:val="21"/>
        </w:rPr>
        <w:t>Formal notices must be in writing and delivered by personal delivery, nationally recognized overnight courier, certified U.S. mail, or email with confirmation of receipt to the addresses in Schedule 1. Notice is effective on receipt, except a refusal or failed delivery caused by an unreported address change is deemed receipt.</w:t>
      </w:r>
    </w:p>
    <w:p>
      <w:pPr>
        <w:pStyle w:val="ClauseHeading"/>
        <w:keepNext/>
      </w:pPr>
      <w:r>
        <w:rPr>
          <w:rFonts w:ascii="Liberation Sans" w:hAnsi="Liberation Sans" w:eastAsia="Liberation Sans"/>
          <w:b/>
          <w:color w:val="1F1F1F"/>
          <w:sz w:val="23"/>
        </w:rPr>
        <w:t>17. General Terms; Electronic Signatures</w:t>
      </w:r>
    </w:p>
    <w:p>
      <w:pPr>
        <w:ind w:left="216" w:hanging="216"/>
        <w:jc w:val="both"/>
      </w:pPr>
      <w:r>
        <w:rPr>
          <w:rFonts w:ascii="Liberation Serif" w:hAnsi="Liberation Serif" w:eastAsia="Liberation Serif"/>
          <w:sz w:val="21"/>
        </w:rPr>
        <w:t>This Agreement, including signed schedules and incorporated attachments, is the entire agreement on its subject and supersedes prior discussions. Amendments and waivers must be in a writing signed by authorized representatives. Neither party may assign this Agreement without consent, except to a successor in a merger or sale of substantially all relevant assets that assumes the obligations. Invalid terms will be narrowed or severed while the remainder remains effective. No waiver is continuing. Headings are for convenience. Counterparts and electronic records and signatures are effective to the extent permitted by applicable law.</w:t>
      </w:r>
    </w:p>
    <w:p>
      <w:r>
        <w:br w:type="page"/>
      </w:r>
    </w:p>
    <w:p>
      <w:pPr>
        <w:pStyle w:val="Heading1"/>
        <w:jc w:val="center"/>
      </w:pPr>
      <w:r>
        <w:rPr>
          <w:rFonts w:ascii="Liberation Sans" w:hAnsi="Liberation Sans" w:eastAsia="Liberation Sans"/>
          <w:b/>
          <w:color w:val="1F1F1F"/>
          <w:sz w:val="28"/>
        </w:rPr>
        <w:t>SCHEDULE 1 - BUSINESS AND SERVICE TERMS</w:t>
      </w:r>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312"/>
        <w:gridCol w:w="6912"/>
      </w:tblGrid>
      <w:tr>
        <w:trPr>
          <w:tblHeader w:val="true"/>
        </w:trPr>
        <w:tc>
          <w:tcPr>
            <w:tcW w:type="dxa" w:w="5083"/>
            <w:shd w:fill="1F1F1F"/>
            <w:tcMar>
              <w:top w:w="110" w:type="dxa"/>
              <w:start w:w="120" w:type="dxa"/>
              <w:bottom w:w="110" w:type="dxa"/>
              <w:end w:w="120" w:type="dxa"/>
            </w:tcMar>
          </w:tcPr>
          <w:p>
            <w:pPr>
              <w:jc w:val="center"/>
            </w:pPr>
            <w:r>
              <w:rPr>
                <w:rFonts w:ascii="Liberation Sans" w:hAnsi="Liberation Sans" w:eastAsia="Liberation Sans"/>
                <w:b/>
                <w:color w:val="FFFFFF"/>
                <w:sz w:val="18"/>
              </w:rPr>
              <w:t>Item</w:t>
            </w:r>
          </w:p>
        </w:tc>
        <w:tc>
          <w:tcPr>
            <w:tcW w:type="dxa" w:w="5083"/>
            <w:shd w:fill="1F1F1F"/>
            <w:tcMar>
              <w:top w:w="110" w:type="dxa"/>
              <w:start w:w="120" w:type="dxa"/>
              <w:bottom w:w="110" w:type="dxa"/>
              <w:end w:w="120" w:type="dxa"/>
            </w:tcMar>
          </w:tcPr>
          <w:p>
            <w:pPr>
              <w:jc w:val="center"/>
            </w:pPr>
            <w:r>
              <w:rPr>
                <w:rFonts w:ascii="Liberation Sans" w:hAnsi="Liberation Sans" w:eastAsia="Liberation Sans"/>
                <w:b/>
                <w:color w:val="FFFFFF"/>
                <w:sz w:val="18"/>
              </w:rPr>
              <w:t>Agreed Terms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Sponsored Program / Event</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[NAME AND DATES]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Sponsorship Level / Category</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Territory / Exclusivity</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[EXACT CATEGORY, MEDIA, TERRITORY, TERM]</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Cash Sponsorship Fee</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[AMOUNT AND PAYMENT SCHEDULE]</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In-Kind Contribution / Value</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[ITEMS, DELIVERY, ACCEPTANCE, VALUE]</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Recognition / Signage / Naming</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[INVENTORY AND SPECIFICATIONS]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Digital / Content / Social Benefits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[CHANNELS, POSTS, PLACEMENTS]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Hospitality / Tickets / Activation</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Creative Submission / Approval Deadlines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Marks / Brand Guidelines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Talent / Participant / Endorsement Rights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 OR NONE]</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Estimated Reach / Guaranteed Minimums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 OR NONE]</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Makegoods / Credits / Refunds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Sensitive-Category Restrictions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Insurance / Permits / Taxes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Administrators / Notices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r>
        <w:tc>
          <w:tcPr>
            <w:tcW w:type="dxa" w:w="3312"/>
            <w:tcMar>
              <w:top w:w="75" w:type="dxa"/>
              <w:start w:w="120" w:type="dxa"/>
              <w:bottom w:w="75" w:type="dxa"/>
              <w:end w:w="120" w:type="dxa"/>
            </w:tcMar>
            <w:vAlign w:val="center"/>
            <w:shd w:fill="F3F3F3"/>
          </w:tcPr>
          <w:p>
            <w:pPr>
              <w:spacing w:after="0"/>
            </w:pPr>
            <w:r>
              <w:rPr>
                <w:rFonts w:ascii="Liberation Sans" w:hAnsi="Liberation Sans" w:eastAsia="Liberation Sans"/>
                <w:b/>
                <w:sz w:val="18"/>
              </w:rPr>
              <w:t>Special Terms</w:t>
            </w:r>
          </w:p>
        </w:tc>
        <w:tc>
          <w:tcPr>
            <w:tcW w:type="dxa" w:w="6912"/>
            <w:tcMar>
              <w:top w:w="75" w:type="dxa"/>
              <w:start w:w="120" w:type="dxa"/>
              <w:bottom w:w="75" w:type="dxa"/>
              <w:end w:w="120" w:type="dxa"/>
            </w:tcMar>
            <w:vAlign w:val="center"/>
          </w:tcPr>
          <w:p>
            <w:pPr>
              <w:spacing w:after="0"/>
            </w:pPr>
            <w:r>
              <w:rPr>
                <w:rFonts w:ascii="Liberation Serif" w:hAnsi="Liberation Serif" w:eastAsia="Liberation Serif"/>
                <w:b w:val="0"/>
                <w:sz w:val="18"/>
              </w:rPr>
              <w:t>[DETAILS]</w:t>
            </w:r>
          </w:p>
        </w:tc>
      </w:tr>
    </w:tbl>
    <w:p>
      <w:pPr>
        <w:pStyle w:val="Heading1"/>
        <w:spacing w:before="280"/>
        <w:jc w:val="center"/>
      </w:pPr>
      <w:r>
        <w:rPr>
          <w:rFonts w:ascii="Liberation Sans" w:hAnsi="Liberation Sans" w:eastAsia="Liberation Sans"/>
          <w:b/>
          <w:color w:val="1F1F1F"/>
          <w:sz w:val="26"/>
        </w:rPr>
        <w:t>SIGNATURES</w:t>
      </w:r>
    </w:p>
    <w:p>
      <w:pPr>
        <w:jc w:val="both"/>
      </w:pPr>
      <w:r>
        <w:rPr>
          <w:rFonts w:ascii="Liberation Serif" w:hAnsi="Liberation Serif" w:eastAsia="Liberation Serif"/>
          <w:sz w:val="21"/>
        </w:rPr>
        <w:t>The authorized signatories execute this Agreement as of the Effective Date. Each signer represents that the signer has authority to bind the identified party.</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68"/>
        <w:gridCol w:w="4968"/>
      </w:tblGrid>
      <w:tr>
        <w:tc>
          <w:tcPr>
            <w:tcW w:type="dxa" w:w="5083"/>
            <w:tcMar>
              <w:top w:w="48" w:type="dxa"/>
              <w:start w:w="90" w:type="dxa"/>
              <w:bottom w:w="48" w:type="dxa"/>
              <w:end w:w="90" w:type="dxa"/>
            </w:tcMar>
            <w:shd w:fill="F3F3F3"/>
          </w:tcPr>
          <w:p>
            <w:pPr>
              <w:spacing w:after="0"/>
            </w:pPr>
            <w:r>
              <w:rPr>
                <w:rFonts w:ascii="Liberation Sans" w:hAnsi="Liberation Sans" w:eastAsia="Liberation Sans"/>
                <w:b/>
                <w:color w:val="1F1F1F"/>
                <w:sz w:val="18"/>
              </w:rPr>
              <w:t>Raising The Bar Officiating Inc.</w:t>
            </w:r>
          </w:p>
        </w:tc>
        <w:tc>
          <w:tcPr>
            <w:tcW w:type="dxa" w:w="5083"/>
            <w:tcMar>
              <w:top w:w="48" w:type="dxa"/>
              <w:start w:w="90" w:type="dxa"/>
              <w:bottom w:w="48" w:type="dxa"/>
              <w:end w:w="90" w:type="dxa"/>
            </w:tcMar>
            <w:shd w:fill="F3F3F3"/>
          </w:tcPr>
          <w:p>
            <w:pPr>
              <w:spacing w:after="0"/>
            </w:pPr>
            <w:r>
              <w:rPr>
                <w:rFonts w:ascii="Liberation Sans" w:hAnsi="Liberation Sans" w:eastAsia="Liberation Sans"/>
                <w:b/>
                <w:color w:val="1F1F1F"/>
                <w:sz w:val="18"/>
              </w:rPr>
              <w:t>SPONSOR</w:t>
            </w:r>
          </w:p>
        </w:tc>
      </w:tr>
      <w:tr>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By: ______________________________</w:t>
            </w:r>
          </w:p>
        </w:tc>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By: ______________________________</w:t>
            </w:r>
          </w:p>
        </w:tc>
      </w:tr>
      <w:tr>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Name: [AUTHORIZED SIGNER]</w:t>
            </w:r>
          </w:p>
        </w:tc>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Name: [NAME]</w:t>
            </w:r>
          </w:p>
        </w:tc>
      </w:tr>
      <w:tr>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Title: [TITLE]</w:t>
            </w:r>
          </w:p>
        </w:tc>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Title: [TITLE]</w:t>
            </w:r>
          </w:p>
        </w:tc>
      </w:tr>
      <w:tr>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Date: ____________________________</w:t>
            </w:r>
          </w:p>
        </w:tc>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Date: ____________________________</w:t>
            </w:r>
          </w:p>
        </w:tc>
      </w:tr>
      <w:tr>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Email: [EMAIL]</w:t>
            </w:r>
          </w:p>
        </w:tc>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Email: [EMAIL]</w:t>
            </w:r>
          </w:p>
        </w:tc>
      </w:tr>
      <w:tr>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Address: [ADDRESS]</w:t>
            </w:r>
          </w:p>
        </w:tc>
        <w:tc>
          <w:tcPr>
            <w:tcW w:type="dxa" w:w="5083"/>
            <w:tcMar>
              <w:top w:w="48" w:type="dxa"/>
              <w:start w:w="90" w:type="dxa"/>
              <w:bottom w:w="48" w:type="dxa"/>
              <w:end w:w="90" w:type="dxa"/>
            </w:tcMar>
          </w:tcPr>
          <w:p>
            <w:pPr>
              <w:spacing w:after="0"/>
            </w:pPr>
            <w:r>
              <w:rPr>
                <w:rFonts w:ascii="Liberation Serif" w:hAnsi="Liberation Serif" w:eastAsia="Liberation Serif"/>
                <w:b w:val="0"/>
                <w:color w:val="1F1F1F"/>
                <w:sz w:val="18"/>
              </w:rPr>
              <w:t>Address: [ADDRESS]</w:t>
            </w:r>
          </w:p>
        </w:tc>
      </w:tr>
    </w:tbl>
    <w:sectPr w:rsidR="00FC693F" w:rsidRPr="0006063C" w:rsidSect="00034616">
      <w:headerReference w:type="default" r:id="rId9"/>
      <w:footerReference w:type="default" r:id="rId10"/>
      <w:headerReference w:type="first" r:id="rId11"/>
      <w:pgSz w:w="12240" w:h="15840"/>
      <w:pgMar w:top="1008" w:right="1037" w:bottom="936" w:left="1037" w:header="288"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olor w:val="666666"/>
        <w:sz w:val="16"/>
      </w:rPr>
      <w:t xml:space="preserve">Editable legal template - attorney review required before execution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Liberation Sans" w:hAnsi="Liberation Sans" w:eastAsia="Liberation Sans"/>
        <w:b/>
        <w:color w:val="666666"/>
        <w:sz w:val="17"/>
      </w:rPr>
      <w:t>Raising The Bar Officiating Inc.  |  Sponsor Agreement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3120"/>
      <w:gridCol w:w="3120"/>
      <w:gridCol w:w="3120"/>
    </w:tblGrid>
    <w:tr>
      <w:tc>
        <w:tcPr>
          <w:tcW w:type="dxa" w:w="3120"/>
          <w:tcMar>
            <w:top w:w="20" w:type="dxa"/>
            <w:start w:w="20" w:type="dxa"/>
            <w:bottom w:w="20" w:type="dxa"/>
            <w:end w:w="20" w:type="dxa"/>
          </w:tcMar>
          <w:vAlign w:val="center"/>
        </w:tcPr>
        <w:p>
          <w:pPr>
            <w:jc w:val="left"/>
          </w:pPr>
          <w:r>
            <w:drawing>
              <wp:inline xmlns:a="http://schemas.openxmlformats.org/drawingml/2006/main" xmlns:pic="http://schemas.openxmlformats.org/drawingml/2006/picture">
                <wp:extent cx="621792" cy="621792"/>
                <wp:docPr id="1" name="Picture 1"/>
                <wp:cNvGraphicFramePr>
                  <a:graphicFrameLocks noChangeAspect="1"/>
                </wp:cNvGraphicFramePr>
                <a:graphic>
                  <a:graphicData uri="http://schemas.openxmlformats.org/drawingml/2006/picture">
                    <pic:pic>
                      <pic:nvPicPr>
                        <pic:cNvPr id="0" name="approved-got-u-nex-ref-logo-docx.png"/>
                        <pic:cNvPicPr/>
                      </pic:nvPicPr>
                      <pic:blipFill>
                        <a:blip r:embed="rId1"/>
                        <a:stretch>
                          <a:fillRect/>
                        </a:stretch>
                      </pic:blipFill>
                      <pic:spPr>
                        <a:xfrm>
                          <a:off x="0" y="0"/>
                          <a:ext cx="621792" cy="621792"/>
                        </a:xfrm>
                        <a:prstGeom prst="rect"/>
                      </pic:spPr>
                    </pic:pic>
                  </a:graphicData>
                </a:graphic>
              </wp:inline>
            </w:drawing>
          </w:r>
        </w:p>
      </w:tc>
      <w:tc>
        <w:tcPr>
          <w:tcW w:type="dxa" w:w="3120"/>
          <w:tcMar>
            <w:top w:w="20" w:type="dxa"/>
            <w:start w:w="20" w:type="dxa"/>
            <w:bottom w:w="20" w:type="dxa"/>
            <w:end w:w="20" w:type="dxa"/>
          </w:tcMar>
          <w:vAlign w:val="center"/>
        </w:tcPr>
        <w:p>
          <w:pPr>
            <w:jc w:val="center"/>
          </w:pPr>
          <w:r>
            <w:rPr>
              <w:b/>
              <w:color w:val="505050"/>
              <w:sz w:val="18"/>
            </w:rPr>
            <w:t>RAISING THE BAR OFFICIATING INC.</w:t>
          </w:r>
        </w:p>
      </w:tc>
      <w:tc>
        <w:tcPr>
          <w:tcW w:type="dxa" w:w="3120"/>
          <w:tcMar>
            <w:top w:w="20" w:type="dxa"/>
            <w:start w:w="20" w:type="dxa"/>
            <w:bottom w:w="20" w:type="dxa"/>
            <w:end w:w="20" w:type="dxa"/>
          </w:tcMar>
          <w:vAlign w:val="center"/>
        </w:tcPr>
        <w:p>
          <w:pPr>
            <w:jc w:val="right"/>
          </w:pPr>
          <w:r>
            <w:drawing>
              <wp:inline xmlns:a="http://schemas.openxmlformats.org/drawingml/2006/main" xmlns:pic="http://schemas.openxmlformats.org/drawingml/2006/picture">
                <wp:extent cx="621792" cy="621792"/>
                <wp:docPr id="2" name="Picture 2"/>
                <wp:cNvGraphicFramePr>
                  <a:graphicFrameLocks noChangeAspect="1"/>
                </wp:cNvGraphicFramePr>
                <a:graphic>
                  <a:graphicData uri="http://schemas.openxmlformats.org/drawingml/2006/picture">
                    <pic:pic>
                      <pic:nvPicPr>
                        <pic:cNvPr id="0" name="approved-rtbo-logo-docx.png"/>
                        <pic:cNvPicPr/>
                      </pic:nvPicPr>
                      <pic:blipFill>
                        <a:blip r:embed="rId2"/>
                        <a:stretch>
                          <a:fillRect/>
                        </a:stretch>
                      </pic:blipFill>
                      <pic:spPr>
                        <a:xfrm>
                          <a:off x="0" y="0"/>
                          <a:ext cx="621792" cy="621792"/>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erif" w:hAnsi="Liberation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Liberation Sans" w:hAnsi="Liberation Sans"/>
      <w:b/>
      <w:bCs/>
      <w:color w:val="1F1F1F"/>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Liberation Sans" w:hAnsi="Liberation Sans"/>
      <w:b/>
      <w:bCs/>
      <w:color w:val="D95F0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b/>
      <w:color w:val="1F1F1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auseHeading">
    <w:name w:val="Clause Heading"/>
    <w:basedOn w:val="Heading1"/>
    <w:pPr>
      <w:keepNext/>
      <w:spacing w:before="180" w:after="60"/>
    </w:pPr>
    <w:rPr>
      <w:rFonts w:ascii="Liberation Sans" w:hAnsi="Liberation Sans"/>
      <w:b/>
      <w:color w:val="1F1F1F"/>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