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VENDOR SERVICES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Vendor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Attach a detailed statement of work. Vendors handling payments, student data, personal information, transportation, food, technology, or minors may require specialized security, licensing, insurance, and regulatory addenda.</w:t>
            </w:r>
          </w:p>
        </w:tc>
      </w:tr>
    </w:tbl>
    <w:p/>
    <w:p>
      <w:pPr>
        <w:spacing w:after="140"/>
        <w:jc w:val="both"/>
      </w:pPr>
      <w:r>
        <w:rPr>
          <w:rFonts w:ascii="Liberation Serif" w:hAnsi="Liberation Serif" w:eastAsia="Liberation Serif"/>
          <w:sz w:val="21"/>
        </w:rPr>
        <w:t>This Vendor Services Agreement is between Raising The Bar Officiating Inc. and Vendor for the goods, professional services, technology, staffing, logistics, production, equipment, transportation, food, merchandise, or other deliverables described in Schedule 1.</w:t>
      </w:r>
    </w:p>
    <w:p>
      <w:pPr>
        <w:pStyle w:val="ClauseHeading"/>
        <w:keepNext/>
      </w:pPr>
      <w:r>
        <w:rPr>
          <w:rFonts w:ascii="Liberation Sans" w:hAnsi="Liberation Sans" w:eastAsia="Liberation Sans"/>
          <w:b/>
          <w:color w:val="1F1F1F"/>
          <w:sz w:val="23"/>
        </w:rPr>
        <w:t>1. Orders, Deliverables, and Acceptance</w:t>
      </w:r>
    </w:p>
    <w:p>
      <w:pPr>
        <w:ind w:left="216" w:hanging="216"/>
        <w:jc w:val="both"/>
      </w:pPr>
      <w:r>
        <w:rPr>
          <w:rFonts w:ascii="Liberation Serif" w:hAnsi="Liberation Serif" w:eastAsia="Liberation Serif"/>
          <w:sz w:val="21"/>
        </w:rPr>
        <w:t>Vendor shall deliver the goods and services, milestones, specifications, quantities, staffing, locations, service levels, and documentation in Schedule 1. RTBO may inspect and test deliverables. Acceptance occurs only after written acceptance or use beyond the stated review period, and does not waive latent defects, warranties, fraud, or indemnity rights.</w:t>
      </w:r>
    </w:p>
    <w:p>
      <w:pPr>
        <w:pStyle w:val="ClauseHeading"/>
        <w:keepNext/>
      </w:pPr>
      <w:r>
        <w:rPr>
          <w:rFonts w:ascii="Liberation Sans" w:hAnsi="Liberation Sans" w:eastAsia="Liberation Sans"/>
          <w:b/>
          <w:color w:val="1F1F1F"/>
          <w:sz w:val="23"/>
        </w:rPr>
        <w:t>2. Pricing, Invoices, and No Unauthorized Charges</w:t>
      </w:r>
    </w:p>
    <w:p>
      <w:pPr>
        <w:ind w:left="216" w:hanging="216"/>
        <w:jc w:val="both"/>
      </w:pPr>
      <w:r>
        <w:rPr>
          <w:rFonts w:ascii="Liberation Serif" w:hAnsi="Liberation Serif" w:eastAsia="Liberation Serif"/>
          <w:sz w:val="21"/>
        </w:rPr>
        <w:t>Prices are firm unless Schedule 1 provides an adjustment method. Invoices must identify the agreement, purchase order if any, dates, units, approved expenses, taxes, and supporting records. RTBO may dispute charges in good faith and pay undisputed amounts. No fee, renewal, minimum, surcharge, expense, or subcontractor charge is authorized unless stated or preapproved in writing.</w:t>
      </w:r>
    </w:p>
    <w:p>
      <w:pPr>
        <w:pStyle w:val="ClauseHeading"/>
        <w:keepNext/>
      </w:pPr>
      <w:r>
        <w:rPr>
          <w:rFonts w:ascii="Liberation Sans" w:hAnsi="Liberation Sans" w:eastAsia="Liberation Sans"/>
          <w:b/>
          <w:color w:val="1F1F1F"/>
          <w:sz w:val="23"/>
        </w:rPr>
        <w:t>3. Vendor Personnel and Subcontractors</w:t>
      </w:r>
    </w:p>
    <w:p>
      <w:pPr>
        <w:ind w:left="216" w:hanging="216"/>
        <w:jc w:val="both"/>
      </w:pPr>
      <w:r>
        <w:rPr>
          <w:rFonts w:ascii="Liberation Serif" w:hAnsi="Liberation Serif" w:eastAsia="Liberation Serif"/>
          <w:sz w:val="21"/>
        </w:rPr>
        <w:t>Vendor is responsible for personnel qualifications, supervision, pay, taxes, safety, conduct, screening, licenses, and legal eligibility. Subcontracting requires prior written approval and does not release Vendor. Vendor shall flow down confidentiality, security, insurance, safeguarding, ownership, audit, and compliance obligations.</w:t>
      </w:r>
    </w:p>
    <w:p>
      <w:pPr>
        <w:pStyle w:val="ClauseHeading"/>
        <w:keepNext/>
      </w:pPr>
      <w:r>
        <w:rPr>
          <w:rFonts w:ascii="Liberation Sans" w:hAnsi="Liberation Sans" w:eastAsia="Liberation Sans"/>
          <w:b/>
          <w:color w:val="1F1F1F"/>
          <w:sz w:val="23"/>
        </w:rPr>
        <w:t>4. Warranties</w:t>
      </w:r>
    </w:p>
    <w:p>
      <w:pPr>
        <w:ind w:left="216" w:hanging="216"/>
        <w:jc w:val="both"/>
      </w:pPr>
      <w:r>
        <w:rPr>
          <w:rFonts w:ascii="Liberation Serif" w:hAnsi="Liberation Serif" w:eastAsia="Liberation Serif"/>
          <w:sz w:val="21"/>
        </w:rPr>
        <w:t>Vendor warrants that deliverables are professional, timely, conforming, safe, merchantable where applicable, fit for the disclosed purpose, free of liens and malicious code, noninfringing, and compliant with specifications and law. Vendor shall promptly repair, replace, reperformance, or refund defective deliverables, without limiting other remedies.</w:t>
      </w:r>
    </w:p>
    <w:p>
      <w:pPr>
        <w:pStyle w:val="ClauseHeading"/>
        <w:keepNext/>
      </w:pPr>
      <w:r>
        <w:rPr>
          <w:rFonts w:ascii="Liberation Sans" w:hAnsi="Liberation Sans" w:eastAsia="Liberation Sans"/>
          <w:b/>
          <w:color w:val="1F1F1F"/>
          <w:sz w:val="23"/>
        </w:rPr>
        <w:t>5. Technology, Accessibility, and Security</w:t>
      </w:r>
    </w:p>
    <w:p>
      <w:pPr>
        <w:ind w:left="216" w:hanging="216"/>
        <w:jc w:val="both"/>
      </w:pPr>
      <w:r>
        <w:rPr>
          <w:rFonts w:ascii="Liberation Serif" w:hAnsi="Liberation Serif" w:eastAsia="Liberation Serif"/>
          <w:sz w:val="21"/>
        </w:rPr>
        <w:t>Technology deliverables shall meet the service levels, backup, recovery, incident response, data location, deletion, interoperability, support, and accessibility requirements in Schedule 1. Vendor shall not use RTBO or customer data to train models, advertise, profile, sell, or develop unrelated products without express written consent.</w:t>
      </w:r>
    </w:p>
    <w:p>
      <w:pPr>
        <w:pStyle w:val="ClauseHeading"/>
        <w:keepNext/>
      </w:pPr>
      <w:r>
        <w:rPr>
          <w:rFonts w:ascii="Liberation Sans" w:hAnsi="Liberation Sans" w:eastAsia="Liberation Sans"/>
          <w:b/>
          <w:color w:val="1F1F1F"/>
          <w:sz w:val="23"/>
        </w:rPr>
        <w:t>6. Business Continuity and Transition</w:t>
      </w:r>
    </w:p>
    <w:p>
      <w:pPr>
        <w:ind w:left="216" w:hanging="216"/>
        <w:jc w:val="both"/>
      </w:pPr>
      <w:r>
        <w:rPr>
          <w:rFonts w:ascii="Liberation Serif" w:hAnsi="Liberation Serif" w:eastAsia="Liberation Serif"/>
          <w:sz w:val="21"/>
        </w:rPr>
        <w:t>Vendor shall maintain reasonable continuity and disaster-recovery plans. At expiration or termination, Vendor shall provide orderly transition assistance, return RTBO property and data in a usable format, certify deletion of remaining copies except lawful archives, and avoid service interruption.</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9.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10.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11.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12.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13.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14.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15.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16.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17.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18.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Statement of Work / Purchase Order</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[NUMBER / DATE]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Goods / Services / Specifications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Milestones / Delivery Locations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Price / Taxes / Expenses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Invoice / Payment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Acceptance Testing / Review Period</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Warranties / Remedies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Service Levels / Support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Vendor Personnel / Subcontractors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Licenses / Screening / Safeguarding</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Technology / Accessibility / Security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Data / Subprocessors / Retention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Ownership / License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Business Continuity / Transition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Administrators /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Term / Termination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VENDOR</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Vendor Services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