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INDEPENDENT CONTRACTOR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Contractor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Classification depends on the actual relationship under applicable law, not the title of this agreement. Before use, RTBO must evaluate control, opportunity for profit or loss, investment, permanence, skill, integration, outside business activity, tax treatment, and all other relevant factors. Use an employment agreement when required.</w:t>
            </w:r>
          </w:p>
        </w:tc>
      </w:tr>
    </w:tbl>
    <w:p/>
    <w:p>
      <w:pPr>
        <w:spacing w:after="140"/>
        <w:jc w:val="both"/>
      </w:pPr>
      <w:r>
        <w:rPr>
          <w:rFonts w:ascii="Liberation Serif" w:hAnsi="Liberation Serif" w:eastAsia="Liberation Serif"/>
          <w:sz w:val="21"/>
        </w:rPr>
        <w:t>This Independent Contractor Agreement is between Raising The Bar Officiating Inc. and Contractor for discrete professional or operational services described in Schedule 1.</w:t>
      </w:r>
    </w:p>
    <w:p>
      <w:pPr>
        <w:pStyle w:val="ClauseHeading"/>
        <w:keepNext/>
      </w:pPr>
      <w:r>
        <w:rPr>
          <w:rFonts w:ascii="Liberation Sans" w:hAnsi="Liberation Sans" w:eastAsia="Liberation Sans"/>
          <w:b/>
          <w:color w:val="1F1F1F"/>
          <w:sz w:val="23"/>
        </w:rPr>
        <w:t>1. Services and Results</w:t>
      </w:r>
    </w:p>
    <w:p>
      <w:pPr>
        <w:ind w:left="216" w:hanging="216"/>
        <w:jc w:val="both"/>
      </w:pPr>
      <w:r>
        <w:rPr>
          <w:rFonts w:ascii="Liberation Serif" w:hAnsi="Liberation Serif" w:eastAsia="Liberation Serif"/>
          <w:sz w:val="21"/>
        </w:rPr>
        <w:t>Contractor shall produce the defined results and deliverables in Schedule 1 using Contractor’s independent skill and judgment. RTBO may define desired outcomes, deadlines, legal and safety requirements, interfaces, acceptance criteria, and customer commitments, but will not control Contractor’s lawful day-to-day manner and means except as necessary to protect people, property, confidential information, and compliance.</w:t>
      </w:r>
    </w:p>
    <w:p>
      <w:pPr>
        <w:pStyle w:val="ClauseHeading"/>
        <w:keepNext/>
      </w:pPr>
      <w:r>
        <w:rPr>
          <w:rFonts w:ascii="Liberation Sans" w:hAnsi="Liberation Sans" w:eastAsia="Liberation Sans"/>
          <w:b/>
          <w:color w:val="1F1F1F"/>
          <w:sz w:val="23"/>
        </w:rPr>
        <w:t>2. Independent Enterprise and Nonexclusivity</w:t>
      </w:r>
    </w:p>
    <w:p>
      <w:pPr>
        <w:ind w:left="216" w:hanging="216"/>
        <w:jc w:val="both"/>
      </w:pPr>
      <w:r>
        <w:rPr>
          <w:rFonts w:ascii="Liberation Serif" w:hAnsi="Liberation Serif" w:eastAsia="Liberation Serif"/>
          <w:sz w:val="21"/>
        </w:rPr>
        <w:t>Contractor represents that Contractor is customarily engaged in an independently established business, may market and provide services to others, may accept or reject proposed projects, and is not economically dependent on a guaranteed flow of RTBO work. No minimum work, exclusivity, tenure, seniority, or continued engagement is promised.</w:t>
      </w:r>
    </w:p>
    <w:p>
      <w:pPr>
        <w:pStyle w:val="ClauseHeading"/>
        <w:keepNext/>
      </w:pPr>
      <w:r>
        <w:rPr>
          <w:rFonts w:ascii="Liberation Sans" w:hAnsi="Liberation Sans" w:eastAsia="Liberation Sans"/>
          <w:b/>
          <w:color w:val="1F1F1F"/>
          <w:sz w:val="23"/>
        </w:rPr>
        <w:t>3. Personnel, Tools, Place, and Schedule</w:t>
      </w:r>
    </w:p>
    <w:p>
      <w:pPr>
        <w:ind w:left="216" w:hanging="216"/>
        <w:jc w:val="both"/>
      </w:pPr>
      <w:r>
        <w:rPr>
          <w:rFonts w:ascii="Liberation Serif" w:hAnsi="Liberation Serif" w:eastAsia="Liberation Serif"/>
          <w:sz w:val="21"/>
        </w:rPr>
        <w:t>Except as Schedule 1 states, Contractor selects and pays qualified personnel, supplies ordinary tools and equipment, chooses work location and sequence, and controls schedule while meeting milestones and coordination needs. Any approved substitute remains subject to credentials, confidentiality, security, and safety requirements, and Contractor remains responsible for performance.</w:t>
      </w:r>
    </w:p>
    <w:p>
      <w:pPr>
        <w:pStyle w:val="ClauseHeading"/>
        <w:keepNext/>
      </w:pPr>
      <w:r>
        <w:rPr>
          <w:rFonts w:ascii="Liberation Sans" w:hAnsi="Liberation Sans" w:eastAsia="Liberation Sans"/>
          <w:b/>
          <w:color w:val="1F1F1F"/>
          <w:sz w:val="23"/>
        </w:rPr>
        <w:t>4. Compensation, Expenses, and Business Risk</w:t>
      </w:r>
    </w:p>
    <w:p>
      <w:pPr>
        <w:ind w:left="216" w:hanging="216"/>
        <w:jc w:val="both"/>
      </w:pPr>
      <w:r>
        <w:rPr>
          <w:rFonts w:ascii="Liberation Serif" w:hAnsi="Liberation Serif" w:eastAsia="Liberation Serif"/>
          <w:sz w:val="21"/>
        </w:rPr>
        <w:t>Contractor is paid by project, deliverable, assignment, unit, or other method in Schedule 1 and bears ordinary business expenses and risk of efficient performance. Approved reimbursable expenses require documentation. Contractor may realize profit or loss through managerial skill, investment, staffing, and cost control, subject to law.</w:t>
      </w:r>
    </w:p>
    <w:p>
      <w:pPr>
        <w:pStyle w:val="ClauseHeading"/>
        <w:keepNext/>
      </w:pPr>
      <w:r>
        <w:rPr>
          <w:rFonts w:ascii="Liberation Sans" w:hAnsi="Liberation Sans" w:eastAsia="Liberation Sans"/>
          <w:b/>
          <w:color w:val="1F1F1F"/>
          <w:sz w:val="23"/>
        </w:rPr>
        <w:t>5. Taxes, Benefits, and Legal Reclassification</w:t>
      </w:r>
    </w:p>
    <w:p>
      <w:pPr>
        <w:ind w:left="216" w:hanging="216"/>
        <w:jc w:val="both"/>
      </w:pPr>
      <w:r>
        <w:rPr>
          <w:rFonts w:ascii="Liberation Serif" w:hAnsi="Liberation Serif" w:eastAsia="Liberation Serif"/>
          <w:sz w:val="21"/>
        </w:rPr>
        <w:t>Contractor is responsible for required tax filings, estimated taxes, permits, licenses, insurance, and benefits for Contractor and personnel. Contractor is not eligible for employee benefits unless required by law. If an agency or court determines reclassification is required, the parties shall cooperate in lawful correction; no waiver releases nonwaivable rights or obligations.</w:t>
      </w:r>
    </w:p>
    <w:p>
      <w:pPr>
        <w:pStyle w:val="ClauseHeading"/>
        <w:keepNext/>
      </w:pPr>
      <w:r>
        <w:rPr>
          <w:rFonts w:ascii="Liberation Sans" w:hAnsi="Liberation Sans" w:eastAsia="Liberation Sans"/>
          <w:b/>
          <w:color w:val="1F1F1F"/>
          <w:sz w:val="23"/>
        </w:rPr>
        <w:t>6. No Authority; No Holding Out</w:t>
      </w:r>
    </w:p>
    <w:p>
      <w:pPr>
        <w:ind w:left="216" w:hanging="216"/>
        <w:jc w:val="both"/>
      </w:pPr>
      <w:r>
        <w:rPr>
          <w:rFonts w:ascii="Liberation Serif" w:hAnsi="Liberation Serif" w:eastAsia="Liberation Serif"/>
          <w:sz w:val="21"/>
        </w:rPr>
        <w:t>Contractor is not an agent and may not bind RTBO, sign contracts, incur debt, make warranties, hire on RTBO’s behalf, or represent authority unless a separate written authorization expressly grants it.</w:t>
      </w:r>
    </w:p>
    <w:p>
      <w:pPr>
        <w:pStyle w:val="ClauseHeading"/>
        <w:keepNext/>
      </w:pPr>
      <w:r>
        <w:rPr>
          <w:rFonts w:ascii="Liberation Sans" w:hAnsi="Liberation Sans" w:eastAsia="Liberation Sans"/>
          <w:b/>
          <w:color w:val="1F1F1F"/>
          <w:sz w:val="23"/>
        </w:rPr>
        <w:t>7. Work Product</w:t>
      </w:r>
    </w:p>
    <w:p>
      <w:pPr>
        <w:ind w:left="216" w:hanging="216"/>
        <w:jc w:val="both"/>
      </w:pPr>
      <w:r>
        <w:rPr>
          <w:rFonts w:ascii="Liberation Serif" w:hAnsi="Liberation Serif" w:eastAsia="Liberation Serif"/>
          <w:sz w:val="21"/>
        </w:rPr>
        <w:t>Upon full payment, specifically commissioned work product identified as deliverable in Schedule 1 is assigned to RTBO to the extent legally assignable, excluding Contractor’s pre-existing tools and general know-how. Contractor grants RTBO a perpetual license to embedded pre-existing materials necessary to use the deliverables and shall secure equivalent rights from approved personnel.</w:t>
      </w:r>
    </w:p>
    <w:p>
      <w:pPr>
        <w:pStyle w:val="ClauseHeading"/>
        <w:keepNext/>
      </w:pPr>
      <w:r>
        <w:rPr>
          <w:rFonts w:ascii="Liberation Sans" w:hAnsi="Liberation Sans" w:eastAsia="Liberation Sans"/>
          <w:b/>
          <w:color w:val="1F1F1F"/>
          <w:sz w:val="23"/>
        </w:rPr>
        <w:t>8.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13.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16.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17.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18.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19.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Services / Deliverables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[DETAILED DESCRIPTION]</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Locations / Events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[VENUES, GAMES, DATES, TIMES]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Fees and Payment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[RATES, INVOICING, DUE DATE, LATE CHARGES IF LAWFUL]</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Expenses / Travel</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[AUTHORIZED EXPENSES, MILEAGE, LODGING, PER DIEM]</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Cancellation / Rescheduling</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[NOTICE WINDOWS AND FEES]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Insurance Requirements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[TYPES, LIMITS, CERTIFICATES, ADDITIONAL INSUREDS]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Contract Administrators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RTBO: [NAME/EMAIL/PHONE] | Counterparty: [NAME/EMAIL/PHONE]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Notices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RTBO: [ADDRESS/EMAIL] | Counterparty: [ADDRESS/EMAIL]</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Convenience Termination Notice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[NUMBER] days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Liability Cap, if any</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[NONE unless a specific dollar amount is entered]</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[ADDITIONAL NEGOTIATED TERMS]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CONTRACTOR</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Capacity: Individual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Independent Contractor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