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CUSTOMER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Customer</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Consumer, automatic-renewal, refund, privacy, accessibility, tax, and online-contract rules vary by jurisdiction. Do not use business-to-business limitations against consumers where prohibited, and clearly present recurring charges before enrollment.</w:t>
            </w:r>
          </w:p>
        </w:tc>
      </w:tr>
    </w:tbl>
    <w:p/>
    <w:p>
      <w:pPr>
        <w:spacing w:after="140"/>
        <w:jc w:val="both"/>
      </w:pPr>
      <w:r>
        <w:rPr>
          <w:rFonts w:ascii="Liberation Serif" w:hAnsi="Liberation Serif" w:eastAsia="Liberation Serif"/>
          <w:sz w:val="21"/>
        </w:rPr>
        <w:t>This Customer Agreement is between Raising The Bar Officiating Inc. and Customer for the purchase or use of the products, subscriptions, registrations, consulting, officiating, assigning, training, media, technology, or other services in Schedule 1.</w:t>
      </w:r>
    </w:p>
    <w:p>
      <w:pPr>
        <w:pStyle w:val="ClauseHeading"/>
        <w:keepNext/>
      </w:pPr>
      <w:r>
        <w:rPr>
          <w:rFonts w:ascii="Liberation Sans" w:hAnsi="Liberation Sans" w:eastAsia="Liberation Sans"/>
          <w:b/>
          <w:color w:val="1F1F1F"/>
          <w:sz w:val="23"/>
        </w:rPr>
        <w:t>1. Order and Services</w:t>
      </w:r>
    </w:p>
    <w:p>
      <w:pPr>
        <w:ind w:left="216" w:hanging="216"/>
        <w:jc w:val="both"/>
      </w:pPr>
      <w:r>
        <w:rPr>
          <w:rFonts w:ascii="Liberation Serif" w:hAnsi="Liberation Serif" w:eastAsia="Liberation Serif"/>
          <w:sz w:val="21"/>
        </w:rPr>
        <w:t>Customer purchases only the items, services, quantities, term, users, events, and deliverables stated in Schedule 1 or an accepted order. Customer shall provide accurate information, timely cooperation, authorized access, and a safe and lawful environment. RTBO may rely on instructions from Customer’s designated administrator.</w:t>
      </w:r>
    </w:p>
    <w:p>
      <w:pPr>
        <w:pStyle w:val="ClauseHeading"/>
        <w:keepNext/>
      </w:pPr>
      <w:r>
        <w:rPr>
          <w:rFonts w:ascii="Liberation Sans" w:hAnsi="Liberation Sans" w:eastAsia="Liberation Sans"/>
          <w:b/>
          <w:color w:val="1F1F1F"/>
          <w:sz w:val="23"/>
        </w:rPr>
        <w:t>2. Accounts and Authorized Users</w:t>
      </w:r>
    </w:p>
    <w:p>
      <w:pPr>
        <w:ind w:left="216" w:hanging="216"/>
        <w:jc w:val="both"/>
      </w:pPr>
      <w:r>
        <w:rPr>
          <w:rFonts w:ascii="Liberation Serif" w:hAnsi="Liberation Serif" w:eastAsia="Liberation Serif"/>
          <w:sz w:val="21"/>
        </w:rPr>
        <w:t>Customer is responsible for authorized-user access, credentials, permissions, and activity, except to the extent caused by RTBO’s security failure. Customer shall promptly report suspected compromise. Users must comply with applicable terms, codes of conduct, acceptable-use rules, and age or consent requirements.</w:t>
      </w:r>
    </w:p>
    <w:p>
      <w:pPr>
        <w:pStyle w:val="ClauseHeading"/>
        <w:keepNext/>
      </w:pPr>
      <w:r>
        <w:rPr>
          <w:rFonts w:ascii="Liberation Sans" w:hAnsi="Liberation Sans" w:eastAsia="Liberation Sans"/>
          <w:b/>
          <w:color w:val="1F1F1F"/>
          <w:sz w:val="23"/>
        </w:rPr>
        <w:t>3. Charges, Billing, Taxes, and Renewal</w:t>
      </w:r>
    </w:p>
    <w:p>
      <w:pPr>
        <w:ind w:left="216" w:hanging="216"/>
        <w:jc w:val="both"/>
      </w:pPr>
      <w:r>
        <w:rPr>
          <w:rFonts w:ascii="Liberation Serif" w:hAnsi="Liberation Serif" w:eastAsia="Liberation Serif"/>
          <w:sz w:val="21"/>
        </w:rPr>
        <w:t>Customer shall pay stated charges and applicable taxes by the due date. Recurring services renew only as disclosed in Schedule 1 and applicable checkout terms. RTBO shall provide required renewal notices and cancellation methods. Failed payments may result in suspension after legally required notice. Chargebacks do not replace the dispute process.</w:t>
      </w:r>
    </w:p>
    <w:p>
      <w:pPr>
        <w:pStyle w:val="ClauseHeading"/>
        <w:keepNext/>
      </w:pPr>
      <w:r>
        <w:rPr>
          <w:rFonts w:ascii="Liberation Sans" w:hAnsi="Liberation Sans" w:eastAsia="Liberation Sans"/>
          <w:b/>
          <w:color w:val="1F1F1F"/>
          <w:sz w:val="23"/>
        </w:rPr>
        <w:t>4. Cancellation, Refunds, Credits, and Changes</w:t>
      </w:r>
    </w:p>
    <w:p>
      <w:pPr>
        <w:ind w:left="216" w:hanging="216"/>
        <w:jc w:val="both"/>
      </w:pPr>
      <w:r>
        <w:rPr>
          <w:rFonts w:ascii="Liberation Serif" w:hAnsi="Liberation Serif" w:eastAsia="Liberation Serif"/>
          <w:sz w:val="21"/>
        </w:rPr>
        <w:t>The cancellation and refund policy appears in Schedule 1 and does not limit nonwaivable rights. Event, roster, seat, subscription, or service changes may affect pricing and availability. RTBO may cancel or modify for safety, legality, insufficient enrollment, venue, staffing, or force majeure and will provide the stated remedy.</w:t>
      </w:r>
    </w:p>
    <w:p>
      <w:pPr>
        <w:pStyle w:val="ClauseHeading"/>
        <w:keepNext/>
      </w:pPr>
      <w:r>
        <w:rPr>
          <w:rFonts w:ascii="Liberation Sans" w:hAnsi="Liberation Sans" w:eastAsia="Liberation Sans"/>
          <w:b/>
          <w:color w:val="1F1F1F"/>
          <w:sz w:val="23"/>
        </w:rPr>
        <w:t>5. Acceptable Use and Conduct</w:t>
      </w:r>
    </w:p>
    <w:p>
      <w:pPr>
        <w:ind w:left="216" w:hanging="216"/>
        <w:jc w:val="both"/>
      </w:pPr>
      <w:r>
        <w:rPr>
          <w:rFonts w:ascii="Liberation Serif" w:hAnsi="Liberation Serif" w:eastAsia="Liberation Serif"/>
          <w:sz w:val="21"/>
        </w:rPr>
        <w:t>Customer shall not misuse systems, scrape or resell content, infringe rights, upload unlawful or harmful material, bypass security, impersonate others, harass participants, interfere with officiating, or use services for gambling manipulation, discrimination, fraud, or unsafe conduct. RTBO may suspend access to address a credible risk.</w:t>
      </w:r>
    </w:p>
    <w:p>
      <w:pPr>
        <w:pStyle w:val="ClauseHeading"/>
        <w:keepNext/>
      </w:pPr>
      <w:r>
        <w:rPr>
          <w:rFonts w:ascii="Liberation Sans" w:hAnsi="Liberation Sans" w:eastAsia="Liberation Sans"/>
          <w:b/>
          <w:color w:val="1F1F1F"/>
          <w:sz w:val="23"/>
        </w:rPr>
        <w:t>6. Service Disclaimer</w:t>
      </w:r>
    </w:p>
    <w:p>
      <w:pPr>
        <w:ind w:left="216" w:hanging="216"/>
        <w:jc w:val="both"/>
      </w:pPr>
      <w:r>
        <w:rPr>
          <w:rFonts w:ascii="Liberation Serif" w:hAnsi="Liberation Serif" w:eastAsia="Liberation Serif"/>
          <w:sz w:val="21"/>
        </w:rPr>
        <w:t>RTBO will perform services professionally but does not guarantee a specific assignment, officiating result, game outcome, rating, placement, credential, scholarship, employment, admission, athletic performance, revenue, or third-party decision unless Schedule 1 expressly provides an objective guarantee and remedy.</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9.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10.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11.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12.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13.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14.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15.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16.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17.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18.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Order / Registration / Subscription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Customer Type / Authorized Users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[BUSINESS / CONSUMER; USERS]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Services / Deliverables / Access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Term / Start Date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Price / Taxes / Billing Method</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Recurring Charge / Renewal</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[NONE OR FULL DISCLOSURE]</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Renewal Notice / Cancellation Method</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Refund / Credit / Transfer Policy</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Event Change / Force Majeure Remedy</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Customer Responsibilities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Account / Acceptable-Use Rules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Data / Privacy / Media</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Support / Service Level</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Insurance, if applicable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Administrators / Notices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CUSTOMER</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Customer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