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MASTER OFFICIATING AND ASSIGNING SERVICES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Client</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Use this agreement for recurring or multi-program relationships. Each Statement of Work must identify the sport, governing rules, coverage obligations, payment structure, operational responsibilities, and order of precedence.</w:t>
            </w:r>
          </w:p>
        </w:tc>
      </w:tr>
    </w:tbl>
    <w:p/>
    <w:p>
      <w:pPr>
        <w:spacing w:after="140"/>
        <w:jc w:val="both"/>
      </w:pPr>
      <w:r>
        <w:rPr>
          <w:rFonts w:ascii="Liberation Serif" w:hAnsi="Liberation Serif" w:eastAsia="Liberation Serif"/>
          <w:sz w:val="21"/>
        </w:rPr>
        <w:t>This Master Officiating and Assigning Services Agreement is between Raising The Bar Officiating Inc. and Client and establishes the complete legal framework for recurring sports-officiating and assignment-management services. Each season, league, event, or workstream may be documented in a signed Statement of Work.</w:t>
      </w:r>
    </w:p>
    <w:p>
      <w:pPr>
        <w:pStyle w:val="ClauseHeading"/>
        <w:keepNext/>
      </w:pPr>
      <w:r>
        <w:rPr>
          <w:rFonts w:ascii="Liberation Sans" w:hAnsi="Liberation Sans" w:eastAsia="Liberation Sans"/>
          <w:b/>
          <w:color w:val="1F1F1F"/>
          <w:sz w:val="23"/>
        </w:rPr>
        <w:t>1. Statements of Work and Order of Precedence</w:t>
      </w:r>
    </w:p>
    <w:p>
      <w:pPr>
        <w:ind w:left="216" w:hanging="216"/>
        <w:jc w:val="both"/>
      </w:pPr>
      <w:r>
        <w:rPr>
          <w:rFonts w:ascii="Liberation Serif" w:hAnsi="Liberation Serif" w:eastAsia="Liberation Serif"/>
          <w:sz w:val="21"/>
        </w:rPr>
        <w:t>No service is required until authorized in a signed Statement of Work or documented order. A Statement of Work may add detail but changes this Agreement only when it identifies the provision changed and is signed by authorized representatives. Conflicts are resolved in this order: signed amendment, Statement of Work special terms, this Agreement, then referenced operational documents.</w:t>
      </w:r>
    </w:p>
    <w:p>
      <w:pPr>
        <w:pStyle w:val="ClauseHeading"/>
        <w:keepNext/>
      </w:pPr>
      <w:r>
        <w:rPr>
          <w:rFonts w:ascii="Liberation Sans" w:hAnsi="Liberation Sans" w:eastAsia="Liberation Sans"/>
          <w:b/>
          <w:color w:val="1F1F1F"/>
          <w:sz w:val="23"/>
        </w:rPr>
        <w:t>2. Assignment Administration</w:t>
      </w:r>
    </w:p>
    <w:p>
      <w:pPr>
        <w:ind w:left="216" w:hanging="216"/>
        <w:jc w:val="both"/>
      </w:pPr>
      <w:r>
        <w:rPr>
          <w:rFonts w:ascii="Liberation Serif" w:hAnsi="Liberation Serif" w:eastAsia="Liberation Serif"/>
          <w:sz w:val="21"/>
        </w:rPr>
        <w:t>RTBO may recruit, credential, classify, schedule, notify, replace, evaluate, and communicate with officials and may use a technology platform. RTBO shall apply disclosed eligibility, availability, conflict, travel, workload, and competency standards in good faith. Client shall provide complete schedules, contacts, venue data, game requirements, and changes by agreed deadlines.</w:t>
      </w:r>
    </w:p>
    <w:p>
      <w:pPr>
        <w:pStyle w:val="ClauseHeading"/>
        <w:keepNext/>
      </w:pPr>
      <w:r>
        <w:rPr>
          <w:rFonts w:ascii="Liberation Sans" w:hAnsi="Liberation Sans" w:eastAsia="Liberation Sans"/>
          <w:b/>
          <w:color w:val="1F1F1F"/>
          <w:sz w:val="23"/>
        </w:rPr>
        <w:t>3. Coverage Standard and Limits</w:t>
      </w:r>
    </w:p>
    <w:p>
      <w:pPr>
        <w:ind w:left="216" w:hanging="216"/>
        <w:jc w:val="both"/>
      </w:pPr>
      <w:r>
        <w:rPr>
          <w:rFonts w:ascii="Liberation Serif" w:hAnsi="Liberation Serif" w:eastAsia="Liberation Serif"/>
          <w:sz w:val="21"/>
        </w:rPr>
        <w:t>RTBO shall use commercially reasonable efforts to fill covered contests with qualified personnel. Unless a Statement of Work states an express service level and remedy, RTBO does not guarantee uninterrupted coverage where shortages, late changes, emergencies, refusals, weather, transportation, illness, safety conditions, or force majeure interfere. RTBO shall promptly communicate known material coverage risks.</w:t>
      </w:r>
    </w:p>
    <w:p>
      <w:pPr>
        <w:pStyle w:val="ClauseHeading"/>
        <w:keepNext/>
      </w:pPr>
      <w:r>
        <w:rPr>
          <w:rFonts w:ascii="Liberation Sans" w:hAnsi="Liberation Sans" w:eastAsia="Liberation Sans"/>
          <w:b/>
          <w:color w:val="1F1F1F"/>
          <w:sz w:val="23"/>
        </w:rPr>
        <w:t>4. Official Status and Payment Model</w:t>
      </w:r>
    </w:p>
    <w:p>
      <w:pPr>
        <w:ind w:left="216" w:hanging="216"/>
        <w:jc w:val="both"/>
      </w:pPr>
      <w:r>
        <w:rPr>
          <w:rFonts w:ascii="Liberation Serif" w:hAnsi="Liberation Serif" w:eastAsia="Liberation Serif"/>
          <w:sz w:val="21"/>
        </w:rPr>
        <w:t>Each Statement of Work shall identify who contracts with, controls, pays, insures, and reports compensation for officials and whether RTBO acts as principal, disclosed payment administrator, platform provider, or assignor. The parties shall not structure or administer the relationship to evade employment, tax, wage, benefit, or reporting law.</w:t>
      </w:r>
    </w:p>
    <w:p>
      <w:pPr>
        <w:pStyle w:val="ClauseHeading"/>
        <w:keepNext/>
      </w:pPr>
      <w:r>
        <w:rPr>
          <w:rFonts w:ascii="Liberation Sans" w:hAnsi="Liberation Sans" w:eastAsia="Liberation Sans"/>
          <w:b/>
          <w:color w:val="1F1F1F"/>
          <w:sz w:val="23"/>
        </w:rPr>
        <w:t>5. Client Event Responsibilities</w:t>
      </w:r>
    </w:p>
    <w:p>
      <w:pPr>
        <w:ind w:left="216" w:hanging="216"/>
        <w:jc w:val="both"/>
      </w:pPr>
      <w:r>
        <w:rPr>
          <w:rFonts w:ascii="Liberation Serif" w:hAnsi="Liberation Serif" w:eastAsia="Liberation Serif"/>
          <w:sz w:val="21"/>
        </w:rPr>
        <w:t>Client controls the event, venue, teams, schedule, admission, coaches, participants, spectators, table crew, security, medical response, and premises. Client shall prevent harassment and retaliation against officials, provide safe access and departure, and investigate site or participant misconduct. RTBO may withdraw personnel from unsafe or materially noncompliant conditions.</w:t>
      </w:r>
    </w:p>
    <w:p>
      <w:pPr>
        <w:pStyle w:val="ClauseHeading"/>
        <w:keepNext/>
      </w:pPr>
      <w:r>
        <w:rPr>
          <w:rFonts w:ascii="Liberation Sans" w:hAnsi="Liberation Sans" w:eastAsia="Liberation Sans"/>
          <w:b/>
          <w:color w:val="1F1F1F"/>
          <w:sz w:val="23"/>
        </w:rPr>
        <w:t>6. Fees, Deposits, Reserves, and Reconciliation</w:t>
      </w:r>
    </w:p>
    <w:p>
      <w:pPr>
        <w:ind w:left="216" w:hanging="216"/>
        <w:jc w:val="both"/>
      </w:pPr>
      <w:r>
        <w:rPr>
          <w:rFonts w:ascii="Liberation Serif" w:hAnsi="Liberation Serif" w:eastAsia="Liberation Serif"/>
          <w:sz w:val="21"/>
        </w:rPr>
        <w:t>The Statement of Work shall separate assignment fees, official fees, platform or administration fees, expenses, taxes, deposits, reserves, late changes, cancellation charges, and payment processing. When RTBO distributes funds to officials, Client shall fund on the stated schedule and RTBO may suspend new assignments for delinquency after notice.</w:t>
      </w:r>
    </w:p>
    <w:p>
      <w:pPr>
        <w:pStyle w:val="ClauseHeading"/>
        <w:keepNext/>
      </w:pPr>
      <w:r>
        <w:rPr>
          <w:rFonts w:ascii="Liberation Sans" w:hAnsi="Liberation Sans" w:eastAsia="Liberation Sans"/>
          <w:b/>
          <w:color w:val="1F1F1F"/>
          <w:sz w:val="23"/>
        </w:rPr>
        <w:t>7. Performance Management and Complaints</w:t>
      </w:r>
    </w:p>
    <w:p>
      <w:pPr>
        <w:ind w:left="216" w:hanging="216"/>
        <w:jc w:val="both"/>
      </w:pPr>
      <w:r>
        <w:rPr>
          <w:rFonts w:ascii="Liberation Serif" w:hAnsi="Liberation Serif" w:eastAsia="Liberation Serif"/>
          <w:sz w:val="21"/>
        </w:rPr>
        <w:t>Client may submit timely, fact-based feedback through the designated process. RTBO controls personnel and assignment decisions consistent with its role and law. Complaints involving discrimination, harassment, abuse, retaliation, fraud, safety, or integrity shall be escalated promptly. Neither party shall publish knowingly false or retaliatory statements.</w:t>
      </w:r>
    </w:p>
    <w:p>
      <w:pPr>
        <w:pStyle w:val="ClauseHeading"/>
        <w:keepNext/>
      </w:pPr>
      <w:r>
        <w:rPr>
          <w:rFonts w:ascii="Liberation Sans" w:hAnsi="Liberation Sans" w:eastAsia="Liberation Sans"/>
          <w:b/>
          <w:color w:val="1F1F1F"/>
          <w:sz w:val="23"/>
        </w:rPr>
        <w:t>8.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9.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10.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11.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12.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13.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14.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15.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16.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17.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18.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19.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Statement of Work / Season</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[NAME AND DATES]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Sports / Divisions / Levels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Covered Contests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[ESTIMATED NUMBER, SCHEDULE SOURCE]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Crew Model</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[POSITIONS, CREW SIZE, ALTERNATES]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Assignment Services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[RECRUIT, CREDENTIAL, ASSIGN, REPLACE, EVALUATE]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Coverage Service Level / Remedy</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[IF NEGOTIATED]</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Official Contracting / Payor Model</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[CLIENT / RTBO / DIRECT / ADMINISTRATOR]</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Fees and Funding</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[ALL COMPONENTS AND DUE DATES]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Schedule Change / Cancellation</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Venue / Security / Medical</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[CLIENT DUTIES]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Reports and Data</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[DELIVERABLES, ACCESS, RETENTION]</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Insurance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[REQUIREMENTS]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Administrators / Notices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[CONTACTS]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Term / Termination</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[TERMS]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CLIENT</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Master Officiating and Assigning Services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