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Liberation Sans" w:hAnsi="Liberation Sans" w:eastAsia="Liberation Sans"/>
          <w:b/>
          <w:color w:val="D95F02"/>
          <w:sz w:val="22"/>
        </w:rPr>
        <w:t>RTBO</w:t>
      </w:r>
    </w:p>
    <w:p>
      <w:pPr>
        <w:pStyle w:val="Title"/>
        <w:jc w:val="center"/>
      </w:pPr>
      <w:r>
        <w:rPr>
          <w:rFonts w:ascii="Liberation Sans" w:hAnsi="Liberation Sans" w:eastAsia="Liberation Sans"/>
          <w:b/>
          <w:color w:val="1F1F1F"/>
          <w:sz w:val="44"/>
        </w:rPr>
        <w:t>LEAGUE AND CONFERENCE ASSIGNING AGREEMENT</w:t>
      </w:r>
    </w:p>
    <w:p>
      <w:pPr>
        <w:spacing w:after="200"/>
        <w:jc w:val="center"/>
      </w:pPr>
      <w:r>
        <w:rPr>
          <w:rFonts w:ascii="Liberation Sans" w:hAnsi="Liberation Sans" w:eastAsia="Liberation Sans"/>
          <w:b w:val="0"/>
          <w:i/>
          <w:color w:val="666666"/>
          <w:sz w:val="21"/>
        </w:rPr>
        <w:t>Standalone Agreement Template</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5112"/>
        <w:gridCol w:w="5112"/>
      </w:tblGrid>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Effective Date</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[MONTH DAY, YEAR]</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Raising The Bar Officiating Inc.</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[STATE OF FORMATION] corporation | [ADDRESS]</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League / Conference</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[LEGAL NAME] | [ENTITY TYPE/STATE] | [ADDRESS]</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Agreement Term</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[START DATE] through [END DATE], unless earlier terminated</w:t>
            </w:r>
          </w:p>
        </w:tc>
      </w:tr>
    </w:tbl>
    <w:p/>
    <w:tbl>
      <w:tblPr>
        <w:tblW w:type="auto" w:w="0"/>
        <w:jc w:val="center"/>
        <w:tblLayout w:type="fixed"/>
        <w:tblLook w:firstColumn="1" w:firstRow="1" w:lastColumn="0" w:lastRow="0" w:noHBand="0" w:noVBand="1" w:val="04A0"/>
        <w:tblBorders>
          <w:top w:val="single" w:sz="8" w:space="0" w:color="E8A15B"/>
          <w:left w:val="single" w:sz="8" w:space="0" w:color="E8A15B"/>
          <w:bottom w:val="single" w:sz="8" w:space="0" w:color="E8A15B"/>
          <w:right w:val="single" w:sz="8" w:space="0" w:color="E8A15B"/>
          <w:insideH w:val="single" w:sz="8" w:space="0" w:color="E8A15B"/>
          <w:insideV w:val="single" w:sz="8" w:space="0" w:color="E8A15B"/>
        </w:tblBorders>
      </w:tblPr>
      <w:tblGrid>
        <w:gridCol w:w="10152"/>
      </w:tblGrid>
      <w:tr>
        <w:tc>
          <w:tcPr>
            <w:tcW w:type="dxa" w:w="10166"/>
            <w:shd w:fill="FFF3E8"/>
            <w:tcMar>
              <w:top w:w="120" w:type="dxa"/>
              <w:start w:w="150" w:type="dxa"/>
              <w:bottom w:w="120" w:type="dxa"/>
              <w:end w:w="150" w:type="dxa"/>
            </w:tcMar>
          </w:tcPr>
          <w:p>
            <w:pPr>
              <w:spacing w:after="0"/>
            </w:pPr>
            <w:r>
              <w:rPr>
                <w:rFonts w:ascii="Liberation Sans" w:hAnsi="Liberation Sans" w:eastAsia="Liberation Sans"/>
                <w:b/>
                <w:color w:val="D95F02"/>
                <w:sz w:val="18"/>
              </w:rPr>
              <w:t xml:space="preserve">IMPORTANT USE NOTICE. </w:t>
            </w:r>
            <w:r>
              <w:rPr>
                <w:rFonts w:ascii="Liberation Serif" w:hAnsi="Liberation Serif" w:eastAsia="Liberation Serif"/>
                <w:b w:val="0"/>
                <w:color w:val="1F1F1F"/>
                <w:sz w:val="18"/>
              </w:rPr>
              <w:t>Attach and approve the competition calendar, bylaws, assignment authority, conflict rules, fee schedule, disciplinary roles, appeals process, and member-school obligations. Public member institutions may require separate approvals or joinders.</w:t>
            </w:r>
          </w:p>
        </w:tc>
      </w:tr>
    </w:tbl>
    <w:p/>
    <w:p>
      <w:pPr>
        <w:spacing w:after="140"/>
        <w:jc w:val="both"/>
      </w:pPr>
      <w:r>
        <w:rPr>
          <w:rFonts w:ascii="Liberation Serif" w:hAnsi="Liberation Serif" w:eastAsia="Liberation Serif"/>
          <w:sz w:val="21"/>
        </w:rPr>
        <w:t>This League and Conference Assigning Agreement is between Raising The Bar Officiating Inc. and the identified league, conference, association, district, or governing organization for centralized assignment and related officiating administration.</w:t>
      </w:r>
    </w:p>
    <w:p>
      <w:pPr>
        <w:pStyle w:val="ClauseHeading"/>
        <w:keepNext/>
      </w:pPr>
      <w:r>
        <w:rPr>
          <w:rFonts w:ascii="Liberation Sans" w:hAnsi="Liberation Sans" w:eastAsia="Liberation Sans"/>
          <w:b/>
          <w:color w:val="1F1F1F"/>
          <w:sz w:val="23"/>
        </w:rPr>
        <w:t>1. Appointment and Authority</w:t>
      </w:r>
    </w:p>
    <w:p>
      <w:pPr>
        <w:ind w:left="216" w:hanging="216"/>
        <w:jc w:val="both"/>
      </w:pPr>
      <w:r>
        <w:rPr>
          <w:rFonts w:ascii="Liberation Serif" w:hAnsi="Liberation Serif" w:eastAsia="Liberation Serif"/>
          <w:sz w:val="21"/>
        </w:rPr>
        <w:t>League appoints RTBO as [exclusive/nonexclusive] assignor for the competitions in Schedule 1. RTBO’s authority is limited to recruiting, credential review, assignment, replacement, evaluation, communications, payment administration, and other listed functions. League retains governance, eligibility, competition policy, sanctions, championships, and member oversight unless expressly delegated.</w:t>
      </w:r>
    </w:p>
    <w:p>
      <w:pPr>
        <w:pStyle w:val="ClauseHeading"/>
        <w:keepNext/>
      </w:pPr>
      <w:r>
        <w:rPr>
          <w:rFonts w:ascii="Liberation Sans" w:hAnsi="Liberation Sans" w:eastAsia="Liberation Sans"/>
          <w:b/>
          <w:color w:val="1F1F1F"/>
          <w:sz w:val="23"/>
        </w:rPr>
        <w:t>2. Assignment Criteria and Integrity</w:t>
      </w:r>
    </w:p>
    <w:p>
      <w:pPr>
        <w:ind w:left="216" w:hanging="216"/>
        <w:jc w:val="both"/>
      </w:pPr>
      <w:r>
        <w:rPr>
          <w:rFonts w:ascii="Liberation Serif" w:hAnsi="Liberation Serif" w:eastAsia="Liberation Serif"/>
          <w:sz w:val="21"/>
        </w:rPr>
        <w:t>RTBO shall use good-faith criteria including qualifications, rules proficiency, performance, availability, travel, workload, crew balance, development, conflicts, and governing-body requirements. League shall not require assignments based on unlawful discrimination, favoritism, retaliation, gambling interest, or improper influence. Material conflicts and integrity concerns must be disclosed.</w:t>
      </w:r>
    </w:p>
    <w:p>
      <w:pPr>
        <w:pStyle w:val="ClauseHeading"/>
        <w:keepNext/>
      </w:pPr>
      <w:r>
        <w:rPr>
          <w:rFonts w:ascii="Liberation Sans" w:hAnsi="Liberation Sans" w:eastAsia="Liberation Sans"/>
          <w:b/>
          <w:color w:val="1F1F1F"/>
          <w:sz w:val="23"/>
        </w:rPr>
        <w:t>3. Member Organization Obligations</w:t>
      </w:r>
    </w:p>
    <w:p>
      <w:pPr>
        <w:ind w:left="216" w:hanging="216"/>
        <w:jc w:val="both"/>
      </w:pPr>
      <w:r>
        <w:rPr>
          <w:rFonts w:ascii="Liberation Serif" w:hAnsi="Liberation Serif" w:eastAsia="Liberation Serif"/>
          <w:sz w:val="21"/>
        </w:rPr>
        <w:t>League shall bind or obtain written acknowledgment from covered members regarding schedules, deadlines, fees, security, facility standards, conduct, change notices, complaint procedures, and payment. League remains responsible for obligations it assumes and for communicating enforceable requirements to members.</w:t>
      </w:r>
    </w:p>
    <w:p>
      <w:pPr>
        <w:pStyle w:val="ClauseHeading"/>
        <w:keepNext/>
      </w:pPr>
      <w:r>
        <w:rPr>
          <w:rFonts w:ascii="Liberation Sans" w:hAnsi="Liberation Sans" w:eastAsia="Liberation Sans"/>
          <w:b/>
          <w:color w:val="1F1F1F"/>
          <w:sz w:val="23"/>
        </w:rPr>
        <w:t>4. Rules, Mechanics, Training, and Evaluations</w:t>
      </w:r>
    </w:p>
    <w:p>
      <w:pPr>
        <w:ind w:left="216" w:hanging="216"/>
        <w:jc w:val="both"/>
      </w:pPr>
      <w:r>
        <w:rPr>
          <w:rFonts w:ascii="Liberation Serif" w:hAnsi="Liberation Serif" w:eastAsia="Liberation Serif"/>
          <w:sz w:val="21"/>
        </w:rPr>
        <w:t>League shall identify the applicable rules, bulletins, mechanics, points of emphasis, replay or challenge protocols, and required training. RTBO may conduct clinics, testing, observations, ratings, mentoring, and development as stated in Schedule 1. Evaluation data access and appeals shall follow published policy and applicable privacy law.</w:t>
      </w:r>
    </w:p>
    <w:p>
      <w:pPr>
        <w:pStyle w:val="ClauseHeading"/>
        <w:keepNext/>
      </w:pPr>
      <w:r>
        <w:rPr>
          <w:rFonts w:ascii="Liberation Sans" w:hAnsi="Liberation Sans" w:eastAsia="Liberation Sans"/>
          <w:b/>
          <w:color w:val="1F1F1F"/>
          <w:sz w:val="23"/>
        </w:rPr>
        <w:t>5. Postseason and High-Impact Assignments</w:t>
      </w:r>
    </w:p>
    <w:p>
      <w:pPr>
        <w:ind w:left="216" w:hanging="216"/>
        <w:jc w:val="both"/>
      </w:pPr>
      <w:r>
        <w:rPr>
          <w:rFonts w:ascii="Liberation Serif" w:hAnsi="Liberation Serif" w:eastAsia="Liberation Serif"/>
          <w:sz w:val="21"/>
        </w:rPr>
        <w:t>Selection authority, criteria, approval rights, recusals, alternates, confidentiality, and announcement timing for postseason, championship, televised, rivalry, or high-risk contests must be documented in Schedule 1. No person is guaranteed selection.</w:t>
      </w:r>
    </w:p>
    <w:p>
      <w:pPr>
        <w:pStyle w:val="ClauseHeading"/>
        <w:keepNext/>
      </w:pPr>
      <w:r>
        <w:rPr>
          <w:rFonts w:ascii="Liberation Sans" w:hAnsi="Liberation Sans" w:eastAsia="Liberation Sans"/>
          <w:b/>
          <w:color w:val="1F1F1F"/>
          <w:sz w:val="23"/>
        </w:rPr>
        <w:t>6. Discipline, Complaints, and Appeals</w:t>
      </w:r>
    </w:p>
    <w:p>
      <w:pPr>
        <w:ind w:left="216" w:hanging="216"/>
        <w:jc w:val="both"/>
      </w:pPr>
      <w:r>
        <w:rPr>
          <w:rFonts w:ascii="Liberation Serif" w:hAnsi="Liberation Serif" w:eastAsia="Liberation Serif"/>
          <w:sz w:val="21"/>
        </w:rPr>
        <w:t>The parties shall allocate investigation and decision authority for officiating performance, conduct, eligibility, safeguarding, and member complaints. Immediate interim action may be taken for safety or integrity. Any promised notice, response, review, or appeal process must be stated in policy and applied consistently, subject to law.</w:t>
      </w:r>
    </w:p>
    <w:p>
      <w:pPr>
        <w:pStyle w:val="ClauseHeading"/>
        <w:keepNext/>
      </w:pPr>
      <w:r>
        <w:rPr>
          <w:rFonts w:ascii="Liberation Sans" w:hAnsi="Liberation Sans" w:eastAsia="Liberation Sans"/>
          <w:b/>
          <w:color w:val="1F1F1F"/>
          <w:sz w:val="23"/>
        </w:rPr>
        <w:t>7. Compliance With Laws and Governing-Body Rules</w:t>
      </w:r>
    </w:p>
    <w:p>
      <w:pPr>
        <w:ind w:left="216" w:hanging="216"/>
        <w:jc w:val="both"/>
      </w:pPr>
      <w:r>
        <w:rPr>
          <w:rFonts w:ascii="Liberation Serif" w:hAnsi="Liberation Serif" w:eastAsia="Liberation Serif"/>
          <w:sz w:val="21"/>
        </w:rPr>
        <w:t>Each party shall comply with all applicable federal, state, and local laws; tax, wage-hour, civil-rights, accessibility, safety, anti-harassment, anti-retaliation, and recordkeeping requirements; and the rules, policies, bylaws, and eligibility standards of the applicable athletic association, conference, league, school system, sanctioning body, or facility. No term requires conduct prohibited by law or governing-body rule.</w:t>
      </w:r>
    </w:p>
    <w:p>
      <w:pPr>
        <w:pStyle w:val="ClauseHeading"/>
        <w:keepNext/>
      </w:pPr>
      <w:r>
        <w:rPr>
          <w:rFonts w:ascii="Liberation Sans" w:hAnsi="Liberation Sans" w:eastAsia="Liberation Sans"/>
          <w:b/>
          <w:color w:val="1F1F1F"/>
          <w:sz w:val="23"/>
        </w:rPr>
        <w:t>8. Confidentiality; Privacy; Information Security</w:t>
      </w:r>
    </w:p>
    <w:p>
      <w:pPr>
        <w:ind w:left="216" w:hanging="216"/>
        <w:jc w:val="both"/>
      </w:pPr>
      <w:r>
        <w:rPr>
          <w:rFonts w:ascii="Liberation Serif" w:hAnsi="Liberation Serif" w:eastAsia="Liberation Serif"/>
          <w:sz w:val="21"/>
        </w:rPr>
        <w:t>Each recipient shall use Confidential Information only to perform this Agreement, restrict access to personnel with a need to know, and protect it using reasonable administrative, technical, and physical safeguards. Student education records may be accessed only when the educational agency has determined the recipient performs an institutional service, is under the agency’s direct control regarding use and maintenance, meets the agency’s legitimate-interest criteria, uses records only for the disclosed purpose, and does not redisclose them except as legally permitted. A party discovering unauthorized access, loss, or disclosure shall contain it, preserve evidence, and notify the data owner without unreasonable delay and, where feasible, within twenty-four (24) hours.</w:t>
      </w:r>
    </w:p>
    <w:p>
      <w:pPr>
        <w:pStyle w:val="ClauseHeading"/>
        <w:keepNext/>
      </w:pPr>
      <w:r>
        <w:rPr>
          <w:rFonts w:ascii="Liberation Sans" w:hAnsi="Liberation Sans" w:eastAsia="Liberation Sans"/>
          <w:b/>
          <w:color w:val="1F1F1F"/>
          <w:sz w:val="23"/>
        </w:rPr>
        <w:t>9. Intellectual Property; Names and Marks</w:t>
      </w:r>
    </w:p>
    <w:p>
      <w:pPr>
        <w:ind w:left="216" w:hanging="216"/>
        <w:jc w:val="both"/>
      </w:pPr>
      <w:r>
        <w:rPr>
          <w:rFonts w:ascii="Liberation Serif" w:hAnsi="Liberation Serif" w:eastAsia="Liberation Serif"/>
          <w:sz w:val="21"/>
        </w:rPr>
        <w:t>Each party retains its pre-existing intellectual property, systems, content, marks, and know-how. No license is granted except the limited, revocable right reasonably necessary to perform this Agreement. Public use of the other party’s name, logo, likeness, testimonial, photos, audio, or video requires prior written approval unless expressly authorized in a signed schedule.</w:t>
      </w:r>
    </w:p>
    <w:p>
      <w:pPr>
        <w:pStyle w:val="ClauseHeading"/>
        <w:keepNext/>
      </w:pPr>
      <w:r>
        <w:rPr>
          <w:rFonts w:ascii="Liberation Sans" w:hAnsi="Liberation Sans" w:eastAsia="Liberation Sans"/>
          <w:b/>
          <w:color w:val="1F1F1F"/>
          <w:sz w:val="23"/>
        </w:rPr>
        <w:t>10. Insurance and Evidence of Coverage</w:t>
      </w:r>
    </w:p>
    <w:p>
      <w:pPr>
        <w:ind w:left="216" w:hanging="216"/>
        <w:jc w:val="both"/>
      </w:pPr>
      <w:r>
        <w:rPr>
          <w:rFonts w:ascii="Liberation Serif" w:hAnsi="Liberation Serif" w:eastAsia="Liberation Serif"/>
          <w:sz w:val="21"/>
        </w:rPr>
        <w:t>Each party shall maintain insurance reasonably appropriate to its obligations and risks, including commercial general liability, automobile liability when vehicles are used, workers’ compensation and employer’s liability when legally required, and professional, cyber, participant-accident, abuse/molestation, or umbrella coverage when the services create those exposures. Required limits, additional-insured status, primary/noncontributory wording, waivers of subrogation, and certificates shall be stated in Schedule 1. Insurance does not limit contractual liability.</w:t>
      </w:r>
    </w:p>
    <w:p>
      <w:pPr>
        <w:pStyle w:val="ClauseHeading"/>
        <w:keepNext/>
      </w:pPr>
      <w:r>
        <w:rPr>
          <w:rFonts w:ascii="Liberation Sans" w:hAnsi="Liberation Sans" w:eastAsia="Liberation Sans"/>
          <w:b/>
          <w:color w:val="1F1F1F"/>
          <w:sz w:val="23"/>
        </w:rPr>
        <w:t>11. Indemnification</w:t>
      </w:r>
    </w:p>
    <w:p>
      <w:pPr>
        <w:ind w:left="216" w:hanging="216"/>
        <w:jc w:val="both"/>
      </w:pPr>
      <w:r>
        <w:rPr>
          <w:rFonts w:ascii="Liberation Serif" w:hAnsi="Liberation Serif" w:eastAsia="Liberation Serif"/>
          <w:sz w:val="21"/>
        </w:rPr>
        <w:t>To the fullest extent permitted by law, each party shall defend, indemnify, and hold harmless the other party and its directors, officers, employees, and agents from third-party claims, damages, judgments, penalties, and reasonable attorneys’ fees to the extent caused by the indemnifying party’s negligence, willful misconduct, breach of this Agreement, infringement, or violation of law. An indemnified party shall give prompt notice, reasonable cooperation, and control of the defense, subject to consent before any settlement admitting fault or imposing nonmonetary obligations.</w:t>
      </w:r>
    </w:p>
    <w:p>
      <w:pPr>
        <w:pStyle w:val="ClauseHeading"/>
        <w:keepNext/>
      </w:pPr>
      <w:r>
        <w:rPr>
          <w:rFonts w:ascii="Liberation Sans" w:hAnsi="Liberation Sans" w:eastAsia="Liberation Sans"/>
          <w:b/>
          <w:color w:val="1F1F1F"/>
          <w:sz w:val="23"/>
        </w:rPr>
        <w:t>12. Limitation of Liability</w:t>
      </w:r>
    </w:p>
    <w:p>
      <w:pPr>
        <w:ind w:left="216" w:hanging="216"/>
        <w:jc w:val="both"/>
      </w:pPr>
      <w:r>
        <w:rPr>
          <w:rFonts w:ascii="Liberation Serif" w:hAnsi="Liberation Serif" w:eastAsia="Liberation Serif"/>
          <w:sz w:val="21"/>
        </w:rPr>
        <w:t>Except for payment obligations, bodily injury or death, property damage, fraud, willful misconduct, gross negligence, confidentiality or data-security breach, infringement, indemnification, or liabilities that cannot legally be limited, neither party is liable for consequential, incidental, special, exemplary, or punitive damages. Any negotiated aggregate cap appears in Schedule 1; absent an entered cap, no contractual cap applies.</w:t>
      </w:r>
    </w:p>
    <w:p>
      <w:pPr>
        <w:pStyle w:val="ClauseHeading"/>
        <w:keepNext/>
      </w:pPr>
      <w:r>
        <w:rPr>
          <w:rFonts w:ascii="Liberation Sans" w:hAnsi="Liberation Sans" w:eastAsia="Liberation Sans"/>
          <w:b/>
          <w:color w:val="1F1F1F"/>
          <w:sz w:val="23"/>
        </w:rPr>
        <w:t>13. Records; Taxes; Audit Support</w:t>
      </w:r>
    </w:p>
    <w:p>
      <w:pPr>
        <w:ind w:left="216" w:hanging="216"/>
        <w:jc w:val="both"/>
      </w:pPr>
      <w:r>
        <w:rPr>
          <w:rFonts w:ascii="Liberation Serif" w:hAnsi="Liberation Serif" w:eastAsia="Liberation Serif"/>
          <w:sz w:val="21"/>
        </w:rPr>
        <w:t>Each party shall maintain accurate performance, assignment, payment, incident, credential, insurance, and tax records for at least five (5) years after final payment, or longer when law, grant, audit, litigation hold, governing-body rule, or Schedule 1 requires. Each party is responsible for taxes legally imposed on it and shall provide required tax forms and supporting documentation.</w:t>
      </w:r>
    </w:p>
    <w:p>
      <w:pPr>
        <w:pStyle w:val="ClauseHeading"/>
        <w:keepNext/>
      </w:pPr>
      <w:r>
        <w:rPr>
          <w:rFonts w:ascii="Liberation Sans" w:hAnsi="Liberation Sans" w:eastAsia="Liberation Sans"/>
          <w:b/>
          <w:color w:val="1F1F1F"/>
          <w:sz w:val="23"/>
        </w:rPr>
        <w:t>14. Suspension; Termination; Effect</w:t>
      </w:r>
    </w:p>
    <w:p>
      <w:pPr>
        <w:ind w:left="216" w:hanging="216"/>
        <w:jc w:val="both"/>
      </w:pPr>
      <w:r>
        <w:rPr>
          <w:rFonts w:ascii="Liberation Serif" w:hAnsi="Liberation Serif" w:eastAsia="Liberation Serif"/>
          <w:sz w:val="21"/>
        </w:rPr>
        <w:t>Either party may terminate for convenience on the notice period in Schedule 1. Either party may terminate for a material breach not cured within ten (10) days after written notice, or immediately for illegality, fraud, violence, abuse or safeguarding concerns, loss of required license or insurance, insolvency, material data breach, or conduct creating a substantial safety or reputational risk. RTBO may suspend an assignment or access while investigating. Earned, undisputed amounts remain payable; property and Confidential Information must be returned or destroyed; and provisions intended by nature to survive shall survive.</w:t>
      </w:r>
    </w:p>
    <w:p>
      <w:pPr>
        <w:pStyle w:val="ClauseHeading"/>
        <w:keepNext/>
      </w:pPr>
      <w:r>
        <w:rPr>
          <w:rFonts w:ascii="Liberation Sans" w:hAnsi="Liberation Sans" w:eastAsia="Liberation Sans"/>
          <w:b/>
          <w:color w:val="1F1F1F"/>
          <w:sz w:val="23"/>
        </w:rPr>
        <w:t>15. Force Majeure; Cancellations</w:t>
      </w:r>
    </w:p>
    <w:p>
      <w:pPr>
        <w:ind w:left="216" w:hanging="216"/>
        <w:jc w:val="both"/>
      </w:pPr>
      <w:r>
        <w:rPr>
          <w:rFonts w:ascii="Liberation Serif" w:hAnsi="Liberation Serif" w:eastAsia="Liberation Serif"/>
          <w:sz w:val="21"/>
        </w:rPr>
        <w:t>Neither party is liable for delay or nonperformance caused by events beyond reasonable control, including severe weather, natural disaster, epidemic, labor disruption, governmental action, venue closure, utility or communications failure, transportation emergency, or governing-body cancellation. The affected party shall notify the other promptly and mitigate. Event-specific cancellation, postponement, rescheduling, travel, and minimum-fee terms are governed by Schedule 1.</w:t>
      </w:r>
    </w:p>
    <w:p>
      <w:pPr>
        <w:pStyle w:val="ClauseHeading"/>
        <w:keepNext/>
      </w:pPr>
      <w:r>
        <w:rPr>
          <w:rFonts w:ascii="Liberation Sans" w:hAnsi="Liberation Sans" w:eastAsia="Liberation Sans"/>
          <w:b/>
          <w:color w:val="1F1F1F"/>
          <w:sz w:val="23"/>
        </w:rPr>
        <w:t>16. Dispute Resolution; Governing Law</w:t>
      </w:r>
    </w:p>
    <w:p>
      <w:pPr>
        <w:ind w:left="216" w:hanging="216"/>
        <w:jc w:val="both"/>
      </w:pPr>
      <w:r>
        <w:rPr>
          <w:rFonts w:ascii="Liberation Serif" w:hAnsi="Liberation Serif" w:eastAsia="Liberation Serif"/>
          <w:sz w:val="21"/>
        </w:rPr>
        <w:t>The parties shall first attempt good-faith executive negotiation, followed by nonbinding mediation in Pulaski County, Arkansas, unless prohibited for a public entity. Any action not resolved by mediation shall be brought in a court of competent jurisdiction in Pulaski County, Arkansas, and governed by Arkansas law without regard to conflict-of-law rules, except that mandatory law of another jurisdiction controls when it cannot lawfully be waived. EACH PARTY KNOWINGLY WAIVES TRIAL BY JURY TO THE EXTENT PERMITTED BY LAW.</w:t>
      </w:r>
    </w:p>
    <w:p>
      <w:pPr>
        <w:pStyle w:val="ClauseHeading"/>
        <w:keepNext/>
      </w:pPr>
      <w:r>
        <w:rPr>
          <w:rFonts w:ascii="Liberation Sans" w:hAnsi="Liberation Sans" w:eastAsia="Liberation Sans"/>
          <w:b/>
          <w:color w:val="1F1F1F"/>
          <w:sz w:val="23"/>
        </w:rPr>
        <w:t>17. Notices</w:t>
      </w:r>
    </w:p>
    <w:p>
      <w:pPr>
        <w:ind w:left="216" w:hanging="216"/>
        <w:jc w:val="both"/>
      </w:pPr>
      <w:r>
        <w:rPr>
          <w:rFonts w:ascii="Liberation Serif" w:hAnsi="Liberation Serif" w:eastAsia="Liberation Serif"/>
          <w:sz w:val="21"/>
        </w:rPr>
        <w:t>Formal notices must be in writing and delivered by personal delivery, nationally recognized overnight courier, certified U.S. mail, or email with confirmation of receipt to the addresses in Schedule 1. Notice is effective on receipt, except a refusal or failed delivery caused by an unreported address change is deemed receipt.</w:t>
      </w:r>
    </w:p>
    <w:p>
      <w:pPr>
        <w:pStyle w:val="ClauseHeading"/>
        <w:keepNext/>
      </w:pPr>
      <w:r>
        <w:rPr>
          <w:rFonts w:ascii="Liberation Sans" w:hAnsi="Liberation Sans" w:eastAsia="Liberation Sans"/>
          <w:b/>
          <w:color w:val="1F1F1F"/>
          <w:sz w:val="23"/>
        </w:rPr>
        <w:t>18. General Terms; Electronic Signatures</w:t>
      </w:r>
    </w:p>
    <w:p>
      <w:pPr>
        <w:ind w:left="216" w:hanging="216"/>
        <w:jc w:val="both"/>
      </w:pPr>
      <w:r>
        <w:rPr>
          <w:rFonts w:ascii="Liberation Serif" w:hAnsi="Liberation Serif" w:eastAsia="Liberation Serif"/>
          <w:sz w:val="21"/>
        </w:rPr>
        <w:t>This Agreement, including signed schedules and incorporated attachments, is the entire agreement on its subject and supersedes prior discussions. Amendments and waivers must be in a writing signed by authorized representatives. Neither party may assign this Agreement without consent, except to a successor in a merger or sale of substantially all relevant assets that assumes the obligations. Invalid terms will be narrowed or severed while the remainder remains effective. No waiver is continuing. Headings are for convenience. Counterparts and electronic records and signatures are effective to the extent permitted by applicable law.</w:t>
      </w:r>
    </w:p>
    <w:p>
      <w:r>
        <w:br w:type="page"/>
      </w:r>
    </w:p>
    <w:p>
      <w:pPr>
        <w:pStyle w:val="Heading1"/>
        <w:jc w:val="center"/>
      </w:pPr>
      <w:r>
        <w:rPr>
          <w:rFonts w:ascii="Liberation Sans" w:hAnsi="Liberation Sans" w:eastAsia="Liberation Sans"/>
          <w:b/>
          <w:color w:val="1F1F1F"/>
          <w:sz w:val="28"/>
        </w:rPr>
        <w:t>SCHEDULE 1 - BUSINESS AND SERVICE TERMS</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312"/>
        <w:gridCol w:w="6912"/>
      </w:tblGrid>
      <w:tr>
        <w:trPr>
          <w:tblHeader w:val="true"/>
        </w:trPr>
        <w:tc>
          <w:tcPr>
            <w:tcW w:type="dxa" w:w="5083"/>
            <w:shd w:fill="1F1F1F"/>
            <w:tcMar>
              <w:top w:w="110" w:type="dxa"/>
              <w:start w:w="120" w:type="dxa"/>
              <w:bottom w:w="110" w:type="dxa"/>
              <w:end w:w="120" w:type="dxa"/>
            </w:tcMar>
          </w:tcPr>
          <w:p>
            <w:pPr>
              <w:jc w:val="center"/>
            </w:pPr>
            <w:r>
              <w:rPr>
                <w:rFonts w:ascii="Liberation Sans" w:hAnsi="Liberation Sans" w:eastAsia="Liberation Sans"/>
                <w:b/>
                <w:color w:val="FFFFFF"/>
                <w:sz w:val="18"/>
              </w:rPr>
              <w:t>Item</w:t>
            </w:r>
          </w:p>
        </w:tc>
        <w:tc>
          <w:tcPr>
            <w:tcW w:type="dxa" w:w="5083"/>
            <w:shd w:fill="1F1F1F"/>
            <w:tcMar>
              <w:top w:w="110" w:type="dxa"/>
              <w:start w:w="120" w:type="dxa"/>
              <w:bottom w:w="110" w:type="dxa"/>
              <w:end w:w="120" w:type="dxa"/>
            </w:tcMar>
          </w:tcPr>
          <w:p>
            <w:pPr>
              <w:jc w:val="center"/>
            </w:pPr>
            <w:r>
              <w:rPr>
                <w:rFonts w:ascii="Liberation Sans" w:hAnsi="Liberation Sans" w:eastAsia="Liberation Sans"/>
                <w:b/>
                <w:color w:val="FFFFFF"/>
                <w:sz w:val="18"/>
              </w:rPr>
              <w:t>Agreed Terms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League / Conference / Season</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Appointment</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[EXCLUSIVE / NONEXCLUSIVE; TERM]</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Sports / Divisions / Governing Rules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Member Organizations / Joinders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[LIST / PROCESS]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Covered Contests / Schedule Source</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Crew Model / Credentials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Assignment Criteria / Conflict Rules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Training / Testing / Mechanics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Evaluation / Ratings / Data Access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Postseason Selection / Approval</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Discipline / Complaints / Appeals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Official Contracting / Payment Model</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Fees / Member Funding / Reconciliation</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Schedule Changes / Cancellations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Security / Medical / Member Duties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Insurance</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Administrators / Notices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Special Terms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bl>
    <w:p>
      <w:pPr>
        <w:pStyle w:val="Heading1"/>
        <w:spacing w:before="280"/>
        <w:jc w:val="center"/>
      </w:pPr>
      <w:r>
        <w:rPr>
          <w:rFonts w:ascii="Liberation Sans" w:hAnsi="Liberation Sans" w:eastAsia="Liberation Sans"/>
          <w:b/>
          <w:color w:val="1F1F1F"/>
          <w:sz w:val="26"/>
        </w:rPr>
        <w:t>SIGNATURES</w:t>
      </w:r>
    </w:p>
    <w:p>
      <w:pPr>
        <w:jc w:val="both"/>
      </w:pPr>
      <w:r>
        <w:rPr>
          <w:rFonts w:ascii="Liberation Serif" w:hAnsi="Liberation Serif" w:eastAsia="Liberation Serif"/>
          <w:sz w:val="21"/>
        </w:rPr>
        <w:t>The authorized signatories execute this Agreement as of the Effective Date. Each signer represents that the signer has authority to bind the identified party.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68"/>
        <w:gridCol w:w="4968"/>
      </w:tblGrid>
      <w:tr>
        <w:tc>
          <w:tcPr>
            <w:tcW w:type="dxa" w:w="5083"/>
            <w:tcMar>
              <w:top w:w="48" w:type="dxa"/>
              <w:start w:w="90" w:type="dxa"/>
              <w:bottom w:w="48" w:type="dxa"/>
              <w:end w:w="90" w:type="dxa"/>
            </w:tcMar>
            <w:shd w:fill="F3F3F3"/>
          </w:tcPr>
          <w:p>
            <w:pPr>
              <w:spacing w:after="0"/>
            </w:pPr>
            <w:r>
              <w:rPr>
                <w:rFonts w:ascii="Liberation Sans" w:hAnsi="Liberation Sans" w:eastAsia="Liberation Sans"/>
                <w:b/>
                <w:color w:val="1F1F1F"/>
                <w:sz w:val="18"/>
              </w:rPr>
              <w:t>Raising The Bar Officiating Inc.</w:t>
            </w:r>
          </w:p>
        </w:tc>
        <w:tc>
          <w:tcPr>
            <w:tcW w:type="dxa" w:w="5083"/>
            <w:tcMar>
              <w:top w:w="48" w:type="dxa"/>
              <w:start w:w="90" w:type="dxa"/>
              <w:bottom w:w="48" w:type="dxa"/>
              <w:end w:w="90" w:type="dxa"/>
            </w:tcMar>
            <w:shd w:fill="F3F3F3"/>
          </w:tcPr>
          <w:p>
            <w:pPr>
              <w:spacing w:after="0"/>
            </w:pPr>
            <w:r>
              <w:rPr>
                <w:rFonts w:ascii="Liberation Sans" w:hAnsi="Liberation Sans" w:eastAsia="Liberation Sans"/>
                <w:b/>
                <w:color w:val="1F1F1F"/>
                <w:sz w:val="18"/>
              </w:rPr>
              <w:t>LEAGUE / CONFERENCE</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By: ______________________________</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By: ______________________________</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Name: [AUTHORIZED SIGNER]</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Name: [NAME]</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Title: [TITLE]</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Title: [TITLE]</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Date: ____________________________</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Date: ____________________________</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Email: [EMAIL]</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Email: [EMAIL]</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Address: [ADDRESS]</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Address: [ADDRESS]</w:t>
            </w:r>
          </w:p>
        </w:tc>
      </w:tr>
    </w:tbl>
    <w:sectPr w:rsidR="00FC693F" w:rsidRPr="0006063C" w:rsidSect="00034616">
      <w:headerReference w:type="default" r:id="rId9"/>
      <w:footerReference w:type="default" r:id="rId10"/>
      <w:headerReference w:type="first" r:id="rId11"/>
      <w:pgSz w:w="12240" w:h="15840"/>
      <w:pgMar w:top="1008" w:right="1037" w:bottom="936" w:left="1037" w:header="288"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666666"/>
        <w:sz w:val="16"/>
      </w:rPr>
      <w:t xml:space="preserve">Editable legal template - attorney review required before execution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eastAsia="Liberation Sans"/>
        <w:b/>
        <w:color w:val="666666"/>
        <w:sz w:val="17"/>
      </w:rPr>
      <w:t>Raising The Bar Officiating Inc.  |  League and Conference Assigning Agreement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120"/>
      <w:gridCol w:w="3120"/>
      <w:gridCol w:w="3120"/>
    </w:tblGrid>
    <w:tr>
      <w:tc>
        <w:tcPr>
          <w:tcW w:type="dxa" w:w="3120"/>
          <w:tcMar>
            <w:top w:w="20" w:type="dxa"/>
            <w:start w:w="20" w:type="dxa"/>
            <w:bottom w:w="20" w:type="dxa"/>
            <w:end w:w="20" w:type="dxa"/>
          </w:tcMar>
          <w:vAlign w:val="center"/>
        </w:tcPr>
        <w:p>
          <w:pPr>
            <w:jc w:val="left"/>
          </w:pPr>
          <w:r>
            <w:drawing>
              <wp:inline xmlns:a="http://schemas.openxmlformats.org/drawingml/2006/main" xmlns:pic="http://schemas.openxmlformats.org/drawingml/2006/picture">
                <wp:extent cx="621792" cy="621792"/>
                <wp:docPr id="1" name="Picture 1"/>
                <wp:cNvGraphicFramePr>
                  <a:graphicFrameLocks noChangeAspect="1"/>
                </wp:cNvGraphicFramePr>
                <a:graphic>
                  <a:graphicData uri="http://schemas.openxmlformats.org/drawingml/2006/picture">
                    <pic:pic>
                      <pic:nvPicPr>
                        <pic:cNvPr id="0" name="approved-got-u-nex-ref-logo-docx.png"/>
                        <pic:cNvPicPr/>
                      </pic:nvPicPr>
                      <pic:blipFill>
                        <a:blip r:embed="rId1"/>
                        <a:stretch>
                          <a:fillRect/>
                        </a:stretch>
                      </pic:blipFill>
                      <pic:spPr>
                        <a:xfrm>
                          <a:off x="0" y="0"/>
                          <a:ext cx="621792" cy="621792"/>
                        </a:xfrm>
                        <a:prstGeom prst="rect"/>
                      </pic:spPr>
                    </pic:pic>
                  </a:graphicData>
                </a:graphic>
              </wp:inline>
            </w:drawing>
          </w:r>
        </w:p>
      </w:tc>
      <w:tc>
        <w:tcPr>
          <w:tcW w:type="dxa" w:w="3120"/>
          <w:tcMar>
            <w:top w:w="20" w:type="dxa"/>
            <w:start w:w="20" w:type="dxa"/>
            <w:bottom w:w="20" w:type="dxa"/>
            <w:end w:w="20" w:type="dxa"/>
          </w:tcMar>
          <w:vAlign w:val="center"/>
        </w:tcPr>
        <w:p>
          <w:pPr>
            <w:jc w:val="center"/>
          </w:pPr>
          <w:r>
            <w:rPr>
              <w:b/>
              <w:color w:val="505050"/>
              <w:sz w:val="18"/>
            </w:rPr>
            <w:t>RAISING THE BAR OFFICIATING INC.</w:t>
          </w:r>
        </w:p>
      </w:tc>
      <w:tc>
        <w:tcPr>
          <w:tcW w:type="dxa" w:w="3120"/>
          <w:tcMar>
            <w:top w:w="20" w:type="dxa"/>
            <w:start w:w="20" w:type="dxa"/>
            <w:bottom w:w="20" w:type="dxa"/>
            <w:end w:w="20" w:type="dxa"/>
          </w:tcMar>
          <w:vAlign w:val="center"/>
        </w:tcPr>
        <w:p>
          <w:pPr>
            <w:jc w:val="right"/>
          </w:pPr>
          <w:r>
            <w:drawing>
              <wp:inline xmlns:a="http://schemas.openxmlformats.org/drawingml/2006/main" xmlns:pic="http://schemas.openxmlformats.org/drawingml/2006/picture">
                <wp:extent cx="621792" cy="621792"/>
                <wp:docPr id="2" name="Picture 2"/>
                <wp:cNvGraphicFramePr>
                  <a:graphicFrameLocks noChangeAspect="1"/>
                </wp:cNvGraphicFramePr>
                <a:graphic>
                  <a:graphicData uri="http://schemas.openxmlformats.org/drawingml/2006/picture">
                    <pic:pic>
                      <pic:nvPicPr>
                        <pic:cNvPr id="0" name="approved-rtbo-logo-docx.png"/>
                        <pic:cNvPicPr/>
                      </pic:nvPicPr>
                      <pic:blipFill>
                        <a:blip r:embed="rId2"/>
                        <a:stretch>
                          <a:fillRect/>
                        </a:stretch>
                      </pic:blipFill>
                      <pic:spPr>
                        <a:xfrm>
                          <a:off x="0" y="0"/>
                          <a:ext cx="621792" cy="621792"/>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erif" w:hAnsi="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b/>
      <w:bCs/>
      <w:color w:val="1F1F1F"/>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Liberation Sans" w:hAnsi="Liberation Sans"/>
      <w:b/>
      <w:bCs/>
      <w:color w:val="D95F0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1F1F1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useHeading">
    <w:name w:val="Clause Heading"/>
    <w:basedOn w:val="Heading1"/>
    <w:pPr>
      <w:keepNext/>
      <w:spacing w:before="180" w:after="60"/>
    </w:pPr>
    <w:rPr>
      <w:rFonts w:ascii="Liberation Sans" w:hAnsi="Liberation Sans"/>
      <w:b/>
      <w:color w:val="1F1F1F"/>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