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TOURNAMENT, SHOWCASE, AND SPECIAL EVENT OFFICIATING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Event Operator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Multi-court and compressed events require precise schedules, rest rules, staffing assumptions, emergency contacts, lodging, transportation, payment funding, and cancellation terms. Attach the final event grid and operating plan.</w:t>
            </w:r>
          </w:p>
        </w:tc>
      </w:tr>
    </w:tbl>
    <w:p/>
    <w:p>
      <w:pPr>
        <w:spacing w:after="140"/>
        <w:jc w:val="both"/>
      </w:pPr>
      <w:r>
        <w:rPr>
          <w:rFonts w:ascii="Liberation Serif" w:hAnsi="Liberation Serif" w:eastAsia="Liberation Serif"/>
          <w:sz w:val="21"/>
        </w:rPr>
        <w:t>This Tournament, Showcase, and Special Event Officiating Agreement is between Raising The Bar Officiating Inc. and Event Operator for officiating and assignment services for the event described in Schedule 1.</w:t>
      </w:r>
    </w:p>
    <w:p>
      <w:pPr>
        <w:pStyle w:val="ClauseHeading"/>
        <w:keepNext/>
      </w:pPr>
      <w:r>
        <w:rPr>
          <w:rFonts w:ascii="Liberation Sans" w:hAnsi="Liberation Sans" w:eastAsia="Liberation Sans"/>
          <w:b/>
          <w:color w:val="1F1F1F"/>
          <w:sz w:val="23"/>
        </w:rPr>
        <w:t>1. Event Services and Staffing Plan</w:t>
      </w:r>
    </w:p>
    <w:p>
      <w:pPr>
        <w:ind w:left="216" w:hanging="216"/>
        <w:jc w:val="both"/>
      </w:pPr>
      <w:r>
        <w:rPr>
          <w:rFonts w:ascii="Liberation Serif" w:hAnsi="Liberation Serif" w:eastAsia="Liberation Serif"/>
          <w:sz w:val="21"/>
        </w:rPr>
        <w:t>RTBO shall recruit and assign the crew count, positions, supervisors, evaluators, alternates, and administrative staff in Schedule 1. Event Operator shall provide a complete schedule, divisions, playing rules, court map, venue access, check-in plan, contacts, and change authority by the stated deadline.</w:t>
      </w:r>
    </w:p>
    <w:p>
      <w:pPr>
        <w:pStyle w:val="ClauseHeading"/>
        <w:keepNext/>
      </w:pPr>
      <w:r>
        <w:rPr>
          <w:rFonts w:ascii="Liberation Sans" w:hAnsi="Liberation Sans" w:eastAsia="Liberation Sans"/>
          <w:b/>
          <w:color w:val="1F1F1F"/>
          <w:sz w:val="23"/>
        </w:rPr>
        <w:t>2. Workload, Rest, and Assignment Safeguards</w:t>
      </w:r>
    </w:p>
    <w:p>
      <w:pPr>
        <w:ind w:left="216" w:hanging="216"/>
        <w:jc w:val="both"/>
      </w:pPr>
      <w:r>
        <w:rPr>
          <w:rFonts w:ascii="Liberation Serif" w:hAnsi="Liberation Serif" w:eastAsia="Liberation Serif"/>
          <w:sz w:val="21"/>
        </w:rPr>
        <w:t>The parties shall follow stated limits on consecutive games, daily games, rest, travel, and high-risk assignments. RTBO may adjust crews to address fatigue, heat, illness, injury, performance, safety, conflicts, or schedule disruption. No official is required to continue when conditions present an unreasonable safety risk.</w:t>
      </w:r>
    </w:p>
    <w:p>
      <w:pPr>
        <w:pStyle w:val="ClauseHeading"/>
        <w:keepNext/>
      </w:pPr>
      <w:r>
        <w:rPr>
          <w:rFonts w:ascii="Liberation Sans" w:hAnsi="Liberation Sans" w:eastAsia="Liberation Sans"/>
          <w:b/>
          <w:color w:val="1F1F1F"/>
          <w:sz w:val="23"/>
        </w:rPr>
        <w:t>3. Event Operations</w:t>
      </w:r>
    </w:p>
    <w:p>
      <w:pPr>
        <w:ind w:left="216" w:hanging="216"/>
        <w:jc w:val="both"/>
      </w:pPr>
      <w:r>
        <w:rPr>
          <w:rFonts w:ascii="Liberation Serif" w:hAnsi="Liberation Serif" w:eastAsia="Liberation Serif"/>
          <w:sz w:val="21"/>
        </w:rPr>
        <w:t>Event Operator is responsible for facility readiness, court equipment, scorekeepers and timers, security, emergency medical response, participant eligibility, crowd and team conduct, parking, credentials, hospitality, and a continuously available command contact. RTBO may pause or withdraw services from an unsafe court or venue after reasonable notice when circumstances permit.</w:t>
      </w:r>
    </w:p>
    <w:p>
      <w:pPr>
        <w:pStyle w:val="ClauseHeading"/>
        <w:keepNext/>
      </w:pPr>
      <w:r>
        <w:rPr>
          <w:rFonts w:ascii="Liberation Sans" w:hAnsi="Liberation Sans" w:eastAsia="Liberation Sans"/>
          <w:b/>
          <w:color w:val="1F1F1F"/>
          <w:sz w:val="23"/>
        </w:rPr>
        <w:t>4. Schedule Lock and Change Control</w:t>
      </w:r>
    </w:p>
    <w:p>
      <w:pPr>
        <w:ind w:left="216" w:hanging="216"/>
        <w:jc w:val="both"/>
      </w:pPr>
      <w:r>
        <w:rPr>
          <w:rFonts w:ascii="Liberation Serif" w:hAnsi="Liberation Serif" w:eastAsia="Liberation Serif"/>
          <w:sz w:val="21"/>
        </w:rPr>
        <w:t>The schedule-lock date and authorized change method appear in Schedule 1. Added games, shortened turnarounds, venue changes, or material time shifts after lock are subject to availability and adjustment fees. Only designated contacts may authorize changes that affect costs or staffing.</w:t>
      </w:r>
    </w:p>
    <w:p>
      <w:pPr>
        <w:pStyle w:val="ClauseHeading"/>
        <w:keepNext/>
      </w:pPr>
      <w:r>
        <w:rPr>
          <w:rFonts w:ascii="Liberation Sans" w:hAnsi="Liberation Sans" w:eastAsia="Liberation Sans"/>
          <w:b/>
          <w:color w:val="1F1F1F"/>
          <w:sz w:val="23"/>
        </w:rPr>
        <w:t>5. Funding and Payment</w:t>
      </w:r>
    </w:p>
    <w:p>
      <w:pPr>
        <w:ind w:left="216" w:hanging="216"/>
        <w:jc w:val="both"/>
      </w:pPr>
      <w:r>
        <w:rPr>
          <w:rFonts w:ascii="Liberation Serif" w:hAnsi="Liberation Serif" w:eastAsia="Liberation Serif"/>
          <w:sz w:val="21"/>
        </w:rPr>
        <w:t>Event Operator shall fund deposits, official game fees, assignment and administration fees, travel, lodging, per diem, and reserves on the schedule stated. RTBO may withhold publication or suspend coverage if required funding is not received. Final reconciliation shall account for completed, cancelled, added, and compensable minimum assignments.</w:t>
      </w:r>
    </w:p>
    <w:p>
      <w:pPr>
        <w:pStyle w:val="ClauseHeading"/>
        <w:keepNext/>
      </w:pPr>
      <w:r>
        <w:rPr>
          <w:rFonts w:ascii="Liberation Sans" w:hAnsi="Liberation Sans" w:eastAsia="Liberation Sans"/>
          <w:b/>
          <w:color w:val="1F1F1F"/>
          <w:sz w:val="23"/>
        </w:rPr>
        <w:t>6. Cancellation, Weather, and Abandonment</w:t>
      </w:r>
    </w:p>
    <w:p>
      <w:pPr>
        <w:ind w:left="216" w:hanging="216"/>
        <w:jc w:val="both"/>
      </w:pPr>
      <w:r>
        <w:rPr>
          <w:rFonts w:ascii="Liberation Serif" w:hAnsi="Liberation Serif" w:eastAsia="Liberation Serif"/>
          <w:sz w:val="21"/>
        </w:rPr>
        <w:t>Schedule 1 shall specify refund and fee treatment for full cancellation, partial cancellation, delayed start, shortened games, venue closure, weather, team withdrawal, and abandonment. Officials who report or begin travel may be entitled to minimum or travel compensation even if play does not occur.</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Event / Operator / Sanctioning Body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Dates / Venues / Courts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Sports / Divisions / Rules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Game Grid / Schedule-Lock Date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[ATTACHMENT / DEADLINE]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Crew Positions / Officials / Alternates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Supervisors / Evaluators / Administrators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Workload / Consecutive-Game / Rest Limits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Report / Check-In / Change Process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Official Fees / Assignment Fees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Deposit / Funding / Reserve / Reconciliation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Travel / Lodging / Per Diem</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Cancellation / Weather / Minimum Fees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Security / Medical / Site Operations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Participant / Minor Safeguarding</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 / Permits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Command Contacts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EVENT OPERATOR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Tournament, Showcase, and Special Event Officiating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