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VENUE AND FACILITY USE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Facility Owner / Operator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A venue agreement should be supported by inspection, occupancy and permit review, emergency planning, insurance certificates, accessibility review, and clear allocation of security, medical, cleaning, equipment, and property responsibilities.</w:t>
            </w:r>
          </w:p>
        </w:tc>
      </w:tr>
    </w:tbl>
    <w:p/>
    <w:p>
      <w:pPr>
        <w:spacing w:after="140"/>
        <w:jc w:val="both"/>
      </w:pPr>
      <w:r>
        <w:rPr>
          <w:rFonts w:ascii="Liberation Serif" w:hAnsi="Liberation Serif" w:eastAsia="Liberation Serif"/>
          <w:sz w:val="21"/>
        </w:rPr>
        <w:t>This Venue and Facility Use Agreement is between Raising The Bar Officiating Inc. and Facility Owner or Operator for temporary use of the facility identified in Schedule 1 for games, training, events, meetings, media, or related activities.</w:t>
      </w:r>
    </w:p>
    <w:p>
      <w:pPr>
        <w:pStyle w:val="ClauseHeading"/>
        <w:keepNext/>
      </w:pPr>
      <w:r>
        <w:rPr>
          <w:rFonts w:ascii="Liberation Sans" w:hAnsi="Liberation Sans" w:eastAsia="Liberation Sans"/>
          <w:b/>
          <w:color w:val="1F1F1F"/>
          <w:sz w:val="23"/>
        </w:rPr>
        <w:t>1. License to Use Facility</w:t>
      </w:r>
    </w:p>
    <w:p>
      <w:pPr>
        <w:ind w:left="216" w:hanging="216"/>
        <w:jc w:val="both"/>
      </w:pPr>
      <w:r>
        <w:rPr>
          <w:rFonts w:ascii="Liberation Serif" w:hAnsi="Liberation Serif" w:eastAsia="Liberation Serif"/>
          <w:sz w:val="21"/>
        </w:rPr>
        <w:t>Facility grants RTBO a limited, nonexclusive, revocable license to use only the spaces, dates, hours, entrances, parking, storage, utilities, equipment, and ancillary areas stated in Schedule 1. No leasehold or property interest is created. Access for setup and teardown must be included.</w:t>
      </w:r>
    </w:p>
    <w:p>
      <w:pPr>
        <w:pStyle w:val="ClauseHeading"/>
        <w:keepNext/>
      </w:pPr>
      <w:r>
        <w:rPr>
          <w:rFonts w:ascii="Liberation Sans" w:hAnsi="Liberation Sans" w:eastAsia="Liberation Sans"/>
          <w:b/>
          <w:color w:val="1F1F1F"/>
          <w:sz w:val="23"/>
        </w:rPr>
        <w:t>2. Facility Condition and Legal Compliance</w:t>
      </w:r>
    </w:p>
    <w:p>
      <w:pPr>
        <w:ind w:left="216" w:hanging="216"/>
        <w:jc w:val="both"/>
      </w:pPr>
      <w:r>
        <w:rPr>
          <w:rFonts w:ascii="Liberation Serif" w:hAnsi="Liberation Serif" w:eastAsia="Liberation Serif"/>
          <w:sz w:val="21"/>
        </w:rPr>
        <w:t>Facility represents that it has authority to grant use and will maintain premises, systems, courts, seating, exits, lighting, restrooms, accessibility features, fire protection, and provided equipment in safe and legally compliant condition. Facility shall disclose known hazards, restrictions, construction, shared use, and emergency procedures.</w:t>
      </w:r>
    </w:p>
    <w:p>
      <w:pPr>
        <w:pStyle w:val="ClauseHeading"/>
        <w:keepNext/>
      </w:pPr>
      <w:r>
        <w:rPr>
          <w:rFonts w:ascii="Liberation Sans" w:hAnsi="Liberation Sans" w:eastAsia="Liberation Sans"/>
          <w:b/>
          <w:color w:val="1F1F1F"/>
          <w:sz w:val="23"/>
        </w:rPr>
        <w:t>3. Operational Responsibilities</w:t>
      </w:r>
    </w:p>
    <w:p>
      <w:pPr>
        <w:ind w:left="216" w:hanging="216"/>
        <w:jc w:val="both"/>
      </w:pPr>
      <w:r>
        <w:rPr>
          <w:rFonts w:ascii="Liberation Serif" w:hAnsi="Liberation Serif" w:eastAsia="Liberation Serif"/>
          <w:sz w:val="21"/>
        </w:rPr>
        <w:t>Schedule 1 allocates security, crowd control, medical coverage, custodial service, trash, concessions, scoreboards, tables, chairs, audiovisual equipment, locker or dressing areas, keys, parking, signage, internet, utilities, and event staffing. Each party is responsible for the areas and personnel under its control.</w:t>
      </w:r>
    </w:p>
    <w:p>
      <w:pPr>
        <w:pStyle w:val="ClauseHeading"/>
        <w:keepNext/>
      </w:pPr>
      <w:r>
        <w:rPr>
          <w:rFonts w:ascii="Liberation Sans" w:hAnsi="Liberation Sans" w:eastAsia="Liberation Sans"/>
          <w:b/>
          <w:color w:val="1F1F1F"/>
          <w:sz w:val="23"/>
        </w:rPr>
        <w:t>4. Capacity, Conduct, and Restricted Activities</w:t>
      </w:r>
    </w:p>
    <w:p>
      <w:pPr>
        <w:ind w:left="216" w:hanging="216"/>
        <w:jc w:val="both"/>
      </w:pPr>
      <w:r>
        <w:rPr>
          <w:rFonts w:ascii="Liberation Serif" w:hAnsi="Liberation Serif" w:eastAsia="Liberation Serif"/>
          <w:sz w:val="21"/>
        </w:rPr>
        <w:t>RTBO shall observe lawful capacity, access, food, alcohol, tobacco, weapons, animals, decoration, noise, floor-protection, and vendor restrictions disclosed before execution. Facility may remove a person presenting a safety or legal risk, but shall not interfere with officiating or discriminate unlawfully.</w:t>
      </w:r>
    </w:p>
    <w:p>
      <w:pPr>
        <w:pStyle w:val="ClauseHeading"/>
        <w:keepNext/>
      </w:pPr>
      <w:r>
        <w:rPr>
          <w:rFonts w:ascii="Liberation Sans" w:hAnsi="Liberation Sans" w:eastAsia="Liberation Sans"/>
          <w:b/>
          <w:color w:val="1F1F1F"/>
          <w:sz w:val="23"/>
        </w:rPr>
        <w:t>5. Property; Damage; Inspection</w:t>
      </w:r>
    </w:p>
    <w:p>
      <w:pPr>
        <w:ind w:left="216" w:hanging="216"/>
        <w:jc w:val="both"/>
      </w:pPr>
      <w:r>
        <w:rPr>
          <w:rFonts w:ascii="Liberation Serif" w:hAnsi="Liberation Serif" w:eastAsia="Liberation Serif"/>
          <w:sz w:val="21"/>
        </w:rPr>
        <w:t>The parties shall conduct pre- and post-use inspections when practical. RTBO is responsible for physical damage to Facility property to the extent caused by RTBO or persons under its control, ordinary wear excepted. Facility shall document damage and reasonable repair costs. Lost property procedures are stated in Schedule 1.</w:t>
      </w:r>
    </w:p>
    <w:p>
      <w:pPr>
        <w:pStyle w:val="ClauseHeading"/>
        <w:keepNext/>
      </w:pPr>
      <w:r>
        <w:rPr>
          <w:rFonts w:ascii="Liberation Sans" w:hAnsi="Liberation Sans" w:eastAsia="Liberation Sans"/>
          <w:b/>
          <w:color w:val="1F1F1F"/>
          <w:sz w:val="23"/>
        </w:rPr>
        <w:t>6. Cancellation and Unavailability</w:t>
      </w:r>
    </w:p>
    <w:p>
      <w:pPr>
        <w:ind w:left="216" w:hanging="216"/>
        <w:jc w:val="both"/>
      </w:pPr>
      <w:r>
        <w:rPr>
          <w:rFonts w:ascii="Liberation Serif" w:hAnsi="Liberation Serif" w:eastAsia="Liberation Serif"/>
          <w:sz w:val="21"/>
        </w:rPr>
        <w:t>Facility shall promptly notify RTBO of closures or conditions affecting use. Schedule 1 shall state deposits, cancellation windows, refunds, substitute space, weather, utility failure, and remedies. Facility remains responsible for refunds or agreed alternatives when it cannot provide substantially conforming space, except as stated for force majeure.</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9.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10.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11.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12.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13.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14.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15.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16.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17.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18.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Facility / Address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Licensed Spaces / Capacity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Use / Event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Access / Setup / Event / Teardown Times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Rental Fee / Deposit / Payment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Cancellation / Closure / Substitute Space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Provided Equipment / Utilities / Internet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Security / Crowd Control</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[RESPONSIBLE PARTY / LEVEL]</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Medical / Emergency / Fire Plan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Custodial / Trash / Damage Inspection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Parking / Entrances / Credentials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Accessibility / Accommodations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Food / Concessions / Vendors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Restricted Activities / Floor Protection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Permits / Licenses / Taxes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 / Additional Insured</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Facility / RTBO Contacts and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FACILITY OWNER / OPERATOR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Venue and Facility Use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