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Liberation Sans" w:hAnsi="Liberation Sans" w:eastAsia="Liberation Sans"/>
          <w:b/>
          <w:color w:val="D95F02"/>
          <w:sz w:val="22"/>
        </w:rPr>
        <w:t>RTBO</w:t>
      </w:r>
    </w:p>
    <w:p>
      <w:pPr>
        <w:pStyle w:val="Title"/>
        <w:jc w:val="center"/>
      </w:pPr>
      <w:r>
        <w:rPr>
          <w:rFonts w:ascii="Liberation Sans" w:hAnsi="Liberation Sans" w:eastAsia="Liberation Sans"/>
          <w:b/>
          <w:color w:val="1F1F1F"/>
          <w:sz w:val="44"/>
        </w:rPr>
        <w:t>DATA PRIVACY, CONFIDENTIALITY, AND SECURITY AGREEMENT</w:t>
      </w:r>
    </w:p>
    <w:p>
      <w:pPr>
        <w:spacing w:after="200"/>
        <w:jc w:val="center"/>
      </w:pPr>
      <w:r>
        <w:rPr>
          <w:rFonts w:ascii="Liberation Sans" w:hAnsi="Liberation Sans" w:eastAsia="Liberation Sans"/>
          <w:b w:val="0"/>
          <w:i/>
          <w:color w:val="666666"/>
          <w:sz w:val="21"/>
        </w:rPr>
        <w:t>Standalone Agreement Template</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5112"/>
        <w:gridCol w:w="5112"/>
      </w:tblGrid>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Effective Date</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[MONTH DAY, YEAR]</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Raising The Bar Officiating Inc.</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[STATE OF FORMATION] corporation | [ADDRESS]</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Data Recipient / Service Provider</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[LEGAL NAME] | [ENTITY TYPE/STATE] | [ADDRESS]</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Agreement Term</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[START DATE] through [END DATE], unless earlier terminated</w:t>
            </w:r>
          </w:p>
        </w:tc>
      </w:tr>
    </w:tbl>
    <w:p/>
    <w:tbl>
      <w:tblPr>
        <w:tblW w:type="auto" w:w="0"/>
        <w:jc w:val="center"/>
        <w:tblLayout w:type="fixed"/>
        <w:tblLook w:firstColumn="1" w:firstRow="1" w:lastColumn="0" w:lastRow="0" w:noHBand="0" w:noVBand="1" w:val="04A0"/>
        <w:tblBorders>
          <w:top w:val="single" w:sz="8" w:space="0" w:color="E8A15B"/>
          <w:left w:val="single" w:sz="8" w:space="0" w:color="E8A15B"/>
          <w:bottom w:val="single" w:sz="8" w:space="0" w:color="E8A15B"/>
          <w:right w:val="single" w:sz="8" w:space="0" w:color="E8A15B"/>
          <w:insideH w:val="single" w:sz="8" w:space="0" w:color="E8A15B"/>
          <w:insideV w:val="single" w:sz="8" w:space="0" w:color="E8A15B"/>
        </w:tblBorders>
      </w:tblPr>
      <w:tblGrid>
        <w:gridCol w:w="10152"/>
      </w:tblGrid>
      <w:tr>
        <w:tc>
          <w:tcPr>
            <w:tcW w:type="dxa" w:w="10166"/>
            <w:shd w:fill="FFF3E8"/>
            <w:tcMar>
              <w:top w:w="120" w:type="dxa"/>
              <w:start w:w="150" w:type="dxa"/>
              <w:bottom w:w="120" w:type="dxa"/>
              <w:end w:w="150" w:type="dxa"/>
            </w:tcMar>
          </w:tcPr>
          <w:p>
            <w:pPr>
              <w:spacing w:after="0"/>
            </w:pPr>
            <w:r>
              <w:rPr>
                <w:rFonts w:ascii="Liberation Sans" w:hAnsi="Liberation Sans" w:eastAsia="Liberation Sans"/>
                <w:b/>
                <w:color w:val="D95F02"/>
                <w:sz w:val="18"/>
              </w:rPr>
              <w:t xml:space="preserve">IMPORTANT USE NOTICE. </w:t>
            </w:r>
            <w:r>
              <w:rPr>
                <w:rFonts w:ascii="Liberation Serif" w:hAnsi="Liberation Serif" w:eastAsia="Liberation Serif"/>
                <w:b w:val="0"/>
                <w:color w:val="1F1F1F"/>
                <w:sz w:val="18"/>
              </w:rPr>
              <w:t>Complete the data inventory, role allocation, approved purposes, systems, retention, subprocessors, cross-border locations, incident contacts, and education-record terms before any protected data is shared. This agreement is not a substitute for any legally required HIPAA, payment-card, state privacy, or international data-processing addendum.</w:t>
            </w:r>
          </w:p>
        </w:tc>
      </w:tr>
    </w:tbl>
    <w:p/>
    <w:p>
      <w:pPr>
        <w:spacing w:after="140"/>
        <w:jc w:val="both"/>
      </w:pPr>
      <w:r>
        <w:rPr>
          <w:rFonts w:ascii="Liberation Serif" w:hAnsi="Liberation Serif" w:eastAsia="Liberation Serif"/>
          <w:sz w:val="21"/>
        </w:rPr>
        <w:t>This Data Privacy, Confidentiality, and Security Agreement is between Raising The Bar Officiating Inc. and the identified party and governs personal information, education records, credentials, payment data, assignment data, evaluations, media, system data, and other protected information exchanged or processed in connection with sports, education, and business services.</w:t>
      </w:r>
    </w:p>
    <w:p>
      <w:pPr>
        <w:pStyle w:val="ClauseHeading"/>
        <w:keepNext/>
      </w:pPr>
      <w:r>
        <w:rPr>
          <w:rFonts w:ascii="Liberation Sans" w:hAnsi="Liberation Sans" w:eastAsia="Liberation Sans"/>
          <w:b/>
          <w:color w:val="1F1F1F"/>
          <w:sz w:val="23"/>
        </w:rPr>
        <w:t>1. Data Roles; Instructions; Purpose Limitation</w:t>
      </w:r>
    </w:p>
    <w:p>
      <w:pPr>
        <w:ind w:left="216" w:hanging="216"/>
        <w:jc w:val="both"/>
      </w:pPr>
      <w:r>
        <w:rPr>
          <w:rFonts w:ascii="Liberation Serif" w:hAnsi="Liberation Serif" w:eastAsia="Liberation Serif"/>
          <w:sz w:val="21"/>
        </w:rPr>
        <w:t>Schedule 1 identifies each data category, data subject, source, system, party role, authorized purpose, and lawful basis or permission. Recipient shall process data only on documented instructions and only to perform the authorized services, unless law requires otherwise. Recipient shall notify the owner if an instruction appears unlawful.</w:t>
      </w:r>
    </w:p>
    <w:p>
      <w:pPr>
        <w:pStyle w:val="ClauseHeading"/>
        <w:keepNext/>
      </w:pPr>
      <w:r>
        <w:rPr>
          <w:rFonts w:ascii="Liberation Sans" w:hAnsi="Liberation Sans" w:eastAsia="Liberation Sans"/>
          <w:b/>
          <w:color w:val="1F1F1F"/>
          <w:sz w:val="23"/>
        </w:rPr>
        <w:t>2. Minimum Necessary Access and Accuracy</w:t>
      </w:r>
    </w:p>
    <w:p>
      <w:pPr>
        <w:ind w:left="216" w:hanging="216"/>
        <w:jc w:val="both"/>
      </w:pPr>
      <w:r>
        <w:rPr>
          <w:rFonts w:ascii="Liberation Serif" w:hAnsi="Liberation Serif" w:eastAsia="Liberation Serif"/>
          <w:sz w:val="21"/>
        </w:rPr>
        <w:t>The parties shall minimize collection, fields, users, exports, and retention. Recipient shall implement role-based access, unique accounts, strong authentication, least privilege, logging, periodic access review, and procedures to correct or annotate inaccurate information when required.</w:t>
      </w:r>
    </w:p>
    <w:p>
      <w:pPr>
        <w:pStyle w:val="ClauseHeading"/>
        <w:keepNext/>
      </w:pPr>
      <w:r>
        <w:rPr>
          <w:rFonts w:ascii="Liberation Sans" w:hAnsi="Liberation Sans" w:eastAsia="Liberation Sans"/>
          <w:b/>
          <w:color w:val="1F1F1F"/>
          <w:sz w:val="23"/>
        </w:rPr>
        <w:t>3. Security Program</w:t>
      </w:r>
    </w:p>
    <w:p>
      <w:pPr>
        <w:ind w:left="216" w:hanging="216"/>
        <w:jc w:val="both"/>
      </w:pPr>
      <w:r>
        <w:rPr>
          <w:rFonts w:ascii="Liberation Serif" w:hAnsi="Liberation Serif" w:eastAsia="Liberation Serif"/>
          <w:sz w:val="21"/>
        </w:rPr>
        <w:t>Recipient shall maintain a written, risk-based security program appropriate to data sensitivity and volume, including workforce training, confidentiality commitments, secure configuration, encryption in transit and at rest where reasonable, vulnerability and patch management, malware protection, backup, recovery testing, vendor risk management, secure development, physical safeguards, and verified destruction.</w:t>
      </w:r>
    </w:p>
    <w:p>
      <w:pPr>
        <w:pStyle w:val="ClauseHeading"/>
        <w:keepNext/>
      </w:pPr>
      <w:r>
        <w:rPr>
          <w:rFonts w:ascii="Liberation Sans" w:hAnsi="Liberation Sans" w:eastAsia="Liberation Sans"/>
          <w:b/>
          <w:color w:val="1F1F1F"/>
          <w:sz w:val="23"/>
        </w:rPr>
        <w:t>4. Education Records</w:t>
      </w:r>
    </w:p>
    <w:p>
      <w:pPr>
        <w:ind w:left="216" w:hanging="216"/>
        <w:jc w:val="both"/>
      </w:pPr>
      <w:r>
        <w:rPr>
          <w:rFonts w:ascii="Liberation Serif" w:hAnsi="Liberation Serif" w:eastAsia="Liberation Serif"/>
          <w:sz w:val="21"/>
        </w:rPr>
        <w:t>When Recipient handles education records under a school-official exception, Recipient is under the educational agency’s direct control regarding use and maintenance, performs the defined institutional service, accesses only records for legitimate educational interests, and shall not redisclose or use them for another purpose except as legally permitted. The agency controls annual-notice and record-disclosure obligations.</w:t>
      </w:r>
    </w:p>
    <w:p>
      <w:pPr>
        <w:pStyle w:val="ClauseHeading"/>
        <w:keepNext/>
      </w:pPr>
      <w:r>
        <w:rPr>
          <w:rFonts w:ascii="Liberation Sans" w:hAnsi="Liberation Sans" w:eastAsia="Liberation Sans"/>
          <w:b/>
          <w:color w:val="1F1F1F"/>
          <w:sz w:val="23"/>
        </w:rPr>
        <w:t>5. Security Incident and Breach Response</w:t>
      </w:r>
    </w:p>
    <w:p>
      <w:pPr>
        <w:ind w:left="216" w:hanging="216"/>
        <w:jc w:val="both"/>
      </w:pPr>
      <w:r>
        <w:rPr>
          <w:rFonts w:ascii="Liberation Serif" w:hAnsi="Liberation Serif" w:eastAsia="Liberation Serif"/>
          <w:sz w:val="21"/>
        </w:rPr>
        <w:t>Recipient shall immediately investigate suspected unauthorized access, acquisition, use, alteration, loss, destruction, or disclosure; contain and mitigate harm; preserve logs and evidence; and notify the owner without unreasonable delay and, where feasible, within twenty-four hours. Notices shall include known facts, affected data and systems, dates, containment, risks, law-enforcement constraints, and remediation. The parties shall coordinate legally required notices without delaying mandatory deadlines.</w:t>
      </w:r>
    </w:p>
    <w:p>
      <w:pPr>
        <w:pStyle w:val="ClauseHeading"/>
        <w:keepNext/>
      </w:pPr>
      <w:r>
        <w:rPr>
          <w:rFonts w:ascii="Liberation Sans" w:hAnsi="Liberation Sans" w:eastAsia="Liberation Sans"/>
          <w:b/>
          <w:color w:val="1F1F1F"/>
          <w:sz w:val="23"/>
        </w:rPr>
        <w:t>6. Subprocessors and Data Location</w:t>
      </w:r>
    </w:p>
    <w:p>
      <w:pPr>
        <w:ind w:left="216" w:hanging="216"/>
        <w:jc w:val="both"/>
      </w:pPr>
      <w:r>
        <w:rPr>
          <w:rFonts w:ascii="Liberation Serif" w:hAnsi="Liberation Serif" w:eastAsia="Liberation Serif"/>
          <w:sz w:val="21"/>
        </w:rPr>
        <w:t>Recipient shall not permit a subprocessor to access protected data without written authorization and a contract imposing equivalent duties. Schedule 1 lists approved subprocessors and storage or access locations. Recipient remains responsible for subprocessor performance and shall provide notice of material changes.</w:t>
      </w:r>
    </w:p>
    <w:p>
      <w:pPr>
        <w:pStyle w:val="ClauseHeading"/>
        <w:keepNext/>
      </w:pPr>
      <w:r>
        <w:rPr>
          <w:rFonts w:ascii="Liberation Sans" w:hAnsi="Liberation Sans" w:eastAsia="Liberation Sans"/>
          <w:b/>
          <w:color w:val="1F1F1F"/>
          <w:sz w:val="23"/>
        </w:rPr>
        <w:t>7. Requests, Legal Process, Audit, and Cooperation</w:t>
      </w:r>
    </w:p>
    <w:p>
      <w:pPr>
        <w:ind w:left="216" w:hanging="216"/>
        <w:jc w:val="both"/>
      </w:pPr>
      <w:r>
        <w:rPr>
          <w:rFonts w:ascii="Liberation Serif" w:hAnsi="Liberation Serif" w:eastAsia="Liberation Serif"/>
          <w:sz w:val="21"/>
        </w:rPr>
        <w:t>Recipient shall promptly forward data-subject, parent, student, regulator, school, discovery, or legal-process requests and shall not respond except as authorized or legally required. Recipient shall provide reasonable compliance information, independent assessments, remediation evidence, and audit cooperation, subject to security and confidentiality safeguards.</w:t>
      </w:r>
    </w:p>
    <w:p>
      <w:pPr>
        <w:pStyle w:val="ClauseHeading"/>
        <w:keepNext/>
      </w:pPr>
      <w:r>
        <w:rPr>
          <w:rFonts w:ascii="Liberation Sans" w:hAnsi="Liberation Sans" w:eastAsia="Liberation Sans"/>
          <w:b/>
          <w:color w:val="1F1F1F"/>
          <w:sz w:val="23"/>
        </w:rPr>
        <w:t>8. Return, Deletion, and Retention</w:t>
      </w:r>
    </w:p>
    <w:p>
      <w:pPr>
        <w:ind w:left="216" w:hanging="216"/>
        <w:jc w:val="both"/>
      </w:pPr>
      <w:r>
        <w:rPr>
          <w:rFonts w:ascii="Liberation Serif" w:hAnsi="Liberation Serif" w:eastAsia="Liberation Serif"/>
          <w:sz w:val="21"/>
        </w:rPr>
        <w:t>At termination or request, Recipient shall return data in an agreed usable format and securely delete remaining copies, including backups as they cycle, unless law requires retention. Any retained data remains protected and may be used only for the retention purpose. Recipient shall certify deletion on request.</w:t>
      </w:r>
    </w:p>
    <w:p>
      <w:pPr>
        <w:pStyle w:val="ClauseHeading"/>
        <w:keepNext/>
      </w:pPr>
      <w:r>
        <w:rPr>
          <w:rFonts w:ascii="Liberation Sans" w:hAnsi="Liberation Sans" w:eastAsia="Liberation Sans"/>
          <w:b/>
          <w:color w:val="1F1F1F"/>
          <w:sz w:val="23"/>
        </w:rPr>
        <w:t>9. Compliance With Laws and Governing-Body Rules</w:t>
      </w:r>
    </w:p>
    <w:p>
      <w:pPr>
        <w:ind w:left="216" w:hanging="216"/>
        <w:jc w:val="both"/>
      </w:pPr>
      <w:r>
        <w:rPr>
          <w:rFonts w:ascii="Liberation Serif" w:hAnsi="Liberation Serif" w:eastAsia="Liberation Serif"/>
          <w:sz w:val="21"/>
        </w:rPr>
        <w:t>Each party shall comply with all applicable federal, state, and local laws; tax, wage-hour, civil-rights, accessibility, safety, anti-harassment, anti-retaliation, and recordkeeping requirements; and the rules, policies, bylaws, and eligibility standards of the applicable athletic association, conference, league, school system, sanctioning body, or facility. No term requires conduct prohibited by law or governing-body rule.</w:t>
      </w:r>
    </w:p>
    <w:p>
      <w:pPr>
        <w:pStyle w:val="ClauseHeading"/>
        <w:keepNext/>
      </w:pPr>
      <w:r>
        <w:rPr>
          <w:rFonts w:ascii="Liberation Sans" w:hAnsi="Liberation Sans" w:eastAsia="Liberation Sans"/>
          <w:b/>
          <w:color w:val="1F1F1F"/>
          <w:sz w:val="23"/>
        </w:rPr>
        <w:t>10. Confidentiality; Privacy; Information Security</w:t>
      </w:r>
    </w:p>
    <w:p>
      <w:pPr>
        <w:ind w:left="216" w:hanging="216"/>
        <w:jc w:val="both"/>
      </w:pPr>
      <w:r>
        <w:rPr>
          <w:rFonts w:ascii="Liberation Serif" w:hAnsi="Liberation Serif" w:eastAsia="Liberation Serif"/>
          <w:sz w:val="21"/>
        </w:rPr>
        <w:t>Each recipient shall use Confidential Information only to perform this Agreement, restrict access to personnel with a need to know, and protect it using reasonable administrative, technical, and physical safeguards. Student education records may be accessed only when the educational agency has determined the recipient performs an institutional service, is under the agency’s direct control regarding use and maintenance, meets the agency’s legitimate-interest criteria, uses records only for the disclosed purpose, and does not redisclose them except as legally permitted. A party discovering unauthorized access, loss, or disclosure shall contain it, preserve evidence, and notify the data owner without unreasonable delay and, where feasible, within twenty-four (24) hours.</w:t>
      </w:r>
    </w:p>
    <w:p>
      <w:pPr>
        <w:pStyle w:val="ClauseHeading"/>
        <w:keepNext/>
      </w:pPr>
      <w:r>
        <w:rPr>
          <w:rFonts w:ascii="Liberation Sans" w:hAnsi="Liberation Sans" w:eastAsia="Liberation Sans"/>
          <w:b/>
          <w:color w:val="1F1F1F"/>
          <w:sz w:val="23"/>
        </w:rPr>
        <w:t>11. Intellectual Property; Names and Marks</w:t>
      </w:r>
    </w:p>
    <w:p>
      <w:pPr>
        <w:ind w:left="216" w:hanging="216"/>
        <w:jc w:val="both"/>
      </w:pPr>
      <w:r>
        <w:rPr>
          <w:rFonts w:ascii="Liberation Serif" w:hAnsi="Liberation Serif" w:eastAsia="Liberation Serif"/>
          <w:sz w:val="21"/>
        </w:rPr>
        <w:t>Each party retains its pre-existing intellectual property, systems, content, marks, and know-how. No license is granted except the limited, revocable right reasonably necessary to perform this Agreement. Public use of the other party’s name, logo, likeness, testimonial, photos, audio, or video requires prior written approval unless expressly authorized in a signed schedule.</w:t>
      </w:r>
    </w:p>
    <w:p>
      <w:pPr>
        <w:pStyle w:val="ClauseHeading"/>
        <w:keepNext/>
      </w:pPr>
      <w:r>
        <w:rPr>
          <w:rFonts w:ascii="Liberation Sans" w:hAnsi="Liberation Sans" w:eastAsia="Liberation Sans"/>
          <w:b/>
          <w:color w:val="1F1F1F"/>
          <w:sz w:val="23"/>
        </w:rPr>
        <w:t>12. Insurance and Evidence of Coverage</w:t>
      </w:r>
    </w:p>
    <w:p>
      <w:pPr>
        <w:ind w:left="216" w:hanging="216"/>
        <w:jc w:val="both"/>
      </w:pPr>
      <w:r>
        <w:rPr>
          <w:rFonts w:ascii="Liberation Serif" w:hAnsi="Liberation Serif" w:eastAsia="Liberation Serif"/>
          <w:sz w:val="21"/>
        </w:rPr>
        <w:t>Each party shall maintain insurance reasonably appropriate to its obligations and risks, including commercial general liability, automobile liability when vehicles are used, workers’ compensation and employer’s liability when legally required, and professional, cyber, participant-accident, abuse/molestation, or umbrella coverage when the services create those exposures. Required limits, additional-insured status, primary/noncontributory wording, waivers of subrogation, and certificates shall be stated in Schedule 1. Insurance does not limit contractual liability.</w:t>
      </w:r>
    </w:p>
    <w:p>
      <w:pPr>
        <w:pStyle w:val="ClauseHeading"/>
        <w:keepNext/>
      </w:pPr>
      <w:r>
        <w:rPr>
          <w:rFonts w:ascii="Liberation Sans" w:hAnsi="Liberation Sans" w:eastAsia="Liberation Sans"/>
          <w:b/>
          <w:color w:val="1F1F1F"/>
          <w:sz w:val="23"/>
        </w:rPr>
        <w:t>13. Indemnification</w:t>
      </w:r>
    </w:p>
    <w:p>
      <w:pPr>
        <w:ind w:left="216" w:hanging="216"/>
        <w:jc w:val="both"/>
      </w:pPr>
      <w:r>
        <w:rPr>
          <w:rFonts w:ascii="Liberation Serif" w:hAnsi="Liberation Serif" w:eastAsia="Liberation Serif"/>
          <w:sz w:val="21"/>
        </w:rPr>
        <w:t>To the fullest extent permitted by law, each party shall defend, indemnify, and hold harmless the other party and its directors, officers, employees, and agents from third-party claims, damages, judgments, penalties, and reasonable attorneys’ fees to the extent caused by the indemnifying party’s negligence, willful misconduct, breach of this Agreement, infringement, or violation of law. An indemnified party shall give prompt notice, reasonable cooperation, and control of the defense, subject to consent before any settlement admitting fault or imposing nonmonetary obligations.</w:t>
      </w:r>
    </w:p>
    <w:p>
      <w:pPr>
        <w:pStyle w:val="ClauseHeading"/>
        <w:keepNext/>
      </w:pPr>
      <w:r>
        <w:rPr>
          <w:rFonts w:ascii="Liberation Sans" w:hAnsi="Liberation Sans" w:eastAsia="Liberation Sans"/>
          <w:b/>
          <w:color w:val="1F1F1F"/>
          <w:sz w:val="23"/>
        </w:rPr>
        <w:t>14. Limitation of Liability</w:t>
      </w:r>
    </w:p>
    <w:p>
      <w:pPr>
        <w:ind w:left="216" w:hanging="216"/>
        <w:jc w:val="both"/>
      </w:pPr>
      <w:r>
        <w:rPr>
          <w:rFonts w:ascii="Liberation Serif" w:hAnsi="Liberation Serif" w:eastAsia="Liberation Serif"/>
          <w:sz w:val="21"/>
        </w:rPr>
        <w:t>Except for payment obligations, bodily injury or death, property damage, fraud, willful misconduct, gross negligence, confidentiality or data-security breach, infringement, indemnification, or liabilities that cannot legally be limited, neither party is liable for consequential, incidental, special, exemplary, or punitive damages. Any negotiated aggregate cap appears in Schedule 1; absent an entered cap, no contractual cap applies.</w:t>
      </w:r>
    </w:p>
    <w:p>
      <w:pPr>
        <w:pStyle w:val="ClauseHeading"/>
        <w:keepNext/>
      </w:pPr>
      <w:r>
        <w:rPr>
          <w:rFonts w:ascii="Liberation Sans" w:hAnsi="Liberation Sans" w:eastAsia="Liberation Sans"/>
          <w:b/>
          <w:color w:val="1F1F1F"/>
          <w:sz w:val="23"/>
        </w:rPr>
        <w:t>15. Records; Taxes; Audit Support</w:t>
      </w:r>
    </w:p>
    <w:p>
      <w:pPr>
        <w:ind w:left="216" w:hanging="216"/>
        <w:jc w:val="both"/>
      </w:pPr>
      <w:r>
        <w:rPr>
          <w:rFonts w:ascii="Liberation Serif" w:hAnsi="Liberation Serif" w:eastAsia="Liberation Serif"/>
          <w:sz w:val="21"/>
        </w:rPr>
        <w:t>Each party shall maintain accurate performance, assignment, payment, incident, credential, insurance, and tax records for at least five (5) years after final payment, or longer when law, grant, audit, litigation hold, governing-body rule, or Schedule 1 requires. Each party is responsible for taxes legally imposed on it and shall provide required tax forms and supporting documentation.</w:t>
      </w:r>
    </w:p>
    <w:p>
      <w:pPr>
        <w:pStyle w:val="ClauseHeading"/>
        <w:keepNext/>
      </w:pPr>
      <w:r>
        <w:rPr>
          <w:rFonts w:ascii="Liberation Sans" w:hAnsi="Liberation Sans" w:eastAsia="Liberation Sans"/>
          <w:b/>
          <w:color w:val="1F1F1F"/>
          <w:sz w:val="23"/>
        </w:rPr>
        <w:t>16. Suspension; Termination; Effect</w:t>
      </w:r>
    </w:p>
    <w:p>
      <w:pPr>
        <w:ind w:left="216" w:hanging="216"/>
        <w:jc w:val="both"/>
      </w:pPr>
      <w:r>
        <w:rPr>
          <w:rFonts w:ascii="Liberation Serif" w:hAnsi="Liberation Serif" w:eastAsia="Liberation Serif"/>
          <w:sz w:val="21"/>
        </w:rPr>
        <w:t>Either party may terminate for convenience on the notice period in Schedule 1. Either party may terminate for a material breach not cured within ten (10) days after written notice, or immediately for illegality, fraud, violence, abuse or safeguarding concerns, loss of required license or insurance, insolvency, material data breach, or conduct creating a substantial safety or reputational risk. RTBO may suspend an assignment or access while investigating. Earned, undisputed amounts remain payable; property and Confidential Information must be returned or destroyed; and provisions intended by nature to survive shall survive.</w:t>
      </w:r>
    </w:p>
    <w:p>
      <w:pPr>
        <w:pStyle w:val="ClauseHeading"/>
        <w:keepNext/>
      </w:pPr>
      <w:r>
        <w:rPr>
          <w:rFonts w:ascii="Liberation Sans" w:hAnsi="Liberation Sans" w:eastAsia="Liberation Sans"/>
          <w:b/>
          <w:color w:val="1F1F1F"/>
          <w:sz w:val="23"/>
        </w:rPr>
        <w:t>17. Force Majeure; Cancellations</w:t>
      </w:r>
    </w:p>
    <w:p>
      <w:pPr>
        <w:ind w:left="216" w:hanging="216"/>
        <w:jc w:val="both"/>
      </w:pPr>
      <w:r>
        <w:rPr>
          <w:rFonts w:ascii="Liberation Serif" w:hAnsi="Liberation Serif" w:eastAsia="Liberation Serif"/>
          <w:sz w:val="21"/>
        </w:rPr>
        <w:t>Neither party is liable for delay or nonperformance caused by events beyond reasonable control, including severe weather, natural disaster, epidemic, labor disruption, governmental action, venue closure, utility or communications failure, transportation emergency, or governing-body cancellation. The affected party shall notify the other promptly and mitigate. Event-specific cancellation, postponement, rescheduling, travel, and minimum-fee terms are governed by Schedule 1.</w:t>
      </w:r>
    </w:p>
    <w:p>
      <w:pPr>
        <w:pStyle w:val="ClauseHeading"/>
        <w:keepNext/>
      </w:pPr>
      <w:r>
        <w:rPr>
          <w:rFonts w:ascii="Liberation Sans" w:hAnsi="Liberation Sans" w:eastAsia="Liberation Sans"/>
          <w:b/>
          <w:color w:val="1F1F1F"/>
          <w:sz w:val="23"/>
        </w:rPr>
        <w:t>18. Dispute Resolution; Governing Law</w:t>
      </w:r>
    </w:p>
    <w:p>
      <w:pPr>
        <w:ind w:left="216" w:hanging="216"/>
        <w:jc w:val="both"/>
      </w:pPr>
      <w:r>
        <w:rPr>
          <w:rFonts w:ascii="Liberation Serif" w:hAnsi="Liberation Serif" w:eastAsia="Liberation Serif"/>
          <w:sz w:val="21"/>
        </w:rPr>
        <w:t>The parties shall first attempt good-faith executive negotiation, followed by nonbinding mediation in Pulaski County, Arkansas, unless prohibited for a public entity. Any action not resolved by mediation shall be brought in a court of competent jurisdiction in Pulaski County, Arkansas, and governed by Arkansas law without regard to conflict-of-law rules, except that mandatory law of another jurisdiction controls when it cannot lawfully be waived. EACH PARTY KNOWINGLY WAIVES TRIAL BY JURY TO THE EXTENT PERMITTED BY LAW.</w:t>
      </w:r>
    </w:p>
    <w:p>
      <w:pPr>
        <w:pStyle w:val="ClauseHeading"/>
        <w:keepNext/>
      </w:pPr>
      <w:r>
        <w:rPr>
          <w:rFonts w:ascii="Liberation Sans" w:hAnsi="Liberation Sans" w:eastAsia="Liberation Sans"/>
          <w:b/>
          <w:color w:val="1F1F1F"/>
          <w:sz w:val="23"/>
        </w:rPr>
        <w:t>19. Notices</w:t>
      </w:r>
    </w:p>
    <w:p>
      <w:pPr>
        <w:ind w:left="216" w:hanging="216"/>
        <w:jc w:val="both"/>
      </w:pPr>
      <w:r>
        <w:rPr>
          <w:rFonts w:ascii="Liberation Serif" w:hAnsi="Liberation Serif" w:eastAsia="Liberation Serif"/>
          <w:sz w:val="21"/>
        </w:rPr>
        <w:t>Formal notices must be in writing and delivered by personal delivery, nationally recognized overnight courier, certified U.S. mail, or email with confirmation of receipt to the addresses in Schedule 1. Notice is effective on receipt, except a refusal or failed delivery caused by an unreported address change is deemed receipt.</w:t>
      </w:r>
    </w:p>
    <w:p>
      <w:pPr>
        <w:pStyle w:val="ClauseHeading"/>
        <w:keepNext/>
      </w:pPr>
      <w:r>
        <w:rPr>
          <w:rFonts w:ascii="Liberation Sans" w:hAnsi="Liberation Sans" w:eastAsia="Liberation Sans"/>
          <w:b/>
          <w:color w:val="1F1F1F"/>
          <w:sz w:val="23"/>
        </w:rPr>
        <w:t>20. General Terms; Electronic Signatures</w:t>
      </w:r>
    </w:p>
    <w:p>
      <w:pPr>
        <w:ind w:left="216" w:hanging="216"/>
        <w:jc w:val="both"/>
      </w:pPr>
      <w:r>
        <w:rPr>
          <w:rFonts w:ascii="Liberation Serif" w:hAnsi="Liberation Serif" w:eastAsia="Liberation Serif"/>
          <w:sz w:val="21"/>
        </w:rPr>
        <w:t>This Agreement, including signed schedules and incorporated attachments, is the entire agreement on its subject and supersedes prior discussions. Amendments and waivers must be in a writing signed by authorized representatives. Neither party may assign this Agreement without consent, except to a successor in a merger or sale of substantially all relevant assets that assumes the obligations. Invalid terms will be narrowed or severed while the remainder remains effective. No waiver is continuing. Headings are for convenience. Counterparts and electronic records and signatures are effective to the extent permitted by applicable law.</w:t>
      </w:r>
    </w:p>
    <w:p>
      <w:r>
        <w:br w:type="page"/>
      </w:r>
    </w:p>
    <w:p>
      <w:pPr>
        <w:pStyle w:val="Heading1"/>
        <w:jc w:val="center"/>
      </w:pPr>
      <w:r>
        <w:rPr>
          <w:rFonts w:ascii="Liberation Sans" w:hAnsi="Liberation Sans" w:eastAsia="Liberation Sans"/>
          <w:b/>
          <w:color w:val="1F1F1F"/>
          <w:sz w:val="28"/>
        </w:rPr>
        <w:t>SCHEDULE 1 - BUSINESS AND SERVICE TERMS</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312"/>
        <w:gridCol w:w="6912"/>
      </w:tblGrid>
      <w:tr>
        <w:trPr>
          <w:tblHeader w:val="true"/>
        </w:trPr>
        <w:tc>
          <w:tcPr>
            <w:tcW w:type="dxa" w:w="5083"/>
            <w:shd w:fill="1F1F1F"/>
            <w:tcMar>
              <w:top w:w="110" w:type="dxa"/>
              <w:start w:w="120" w:type="dxa"/>
              <w:bottom w:w="110" w:type="dxa"/>
              <w:end w:w="120" w:type="dxa"/>
            </w:tcMar>
          </w:tcPr>
          <w:p>
            <w:pPr>
              <w:jc w:val="center"/>
            </w:pPr>
            <w:r>
              <w:rPr>
                <w:rFonts w:ascii="Liberation Sans" w:hAnsi="Liberation Sans" w:eastAsia="Liberation Sans"/>
                <w:b/>
                <w:color w:val="FFFFFF"/>
                <w:sz w:val="18"/>
              </w:rPr>
              <w:t>Item</w:t>
            </w:r>
          </w:p>
        </w:tc>
        <w:tc>
          <w:tcPr>
            <w:tcW w:type="dxa" w:w="5083"/>
            <w:shd w:fill="1F1F1F"/>
            <w:tcMar>
              <w:top w:w="110" w:type="dxa"/>
              <w:start w:w="120" w:type="dxa"/>
              <w:bottom w:w="110" w:type="dxa"/>
              <w:end w:w="120" w:type="dxa"/>
            </w:tcMar>
          </w:tcPr>
          <w:p>
            <w:pPr>
              <w:jc w:val="center"/>
            </w:pPr>
            <w:r>
              <w:rPr>
                <w:rFonts w:ascii="Liberation Sans" w:hAnsi="Liberation Sans" w:eastAsia="Liberation Sans"/>
                <w:b/>
                <w:color w:val="FFFFFF"/>
                <w:sz w:val="18"/>
              </w:rPr>
              <w:t>Agreed Terms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Data Owner / Controller</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[PARTY]</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Recipient / Processor</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[PARTY]</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Services / Purpose</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Data Subjects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[OFFICIALS, STUDENTS, PARENTS, STAFF, CUSTOMERS, ETC.]</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Data Categories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[IDENTIFIERS, CONTACT, EDUCATION, PAYMENT, EVALUATION, MEDIA, ETC.]</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Sensitive Data</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 OR NONE]</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Systems / Transfer Methods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Authorized Users / Access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Education Records / Direct Control</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 OR NOT APPLICABLE]</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Retention / Deletion</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[PER CATEGORY]</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Approved Subprocessors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[LIST]</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Data Locations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[LIST]</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Security Requirements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[SPECIFIC CONTROLS / STANDARDS]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Incident Contacts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[24/7 CONTACTS]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Notification Cooperation / Costs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[ALLOCATION]</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Audit Evidence</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[SOC 2, PEN TEST, QUESTIONNAIRE, ETC.]</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Special Terms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bl>
    <w:p>
      <w:pPr>
        <w:pStyle w:val="Heading1"/>
        <w:spacing w:before="280"/>
        <w:jc w:val="center"/>
      </w:pPr>
      <w:r>
        <w:rPr>
          <w:rFonts w:ascii="Liberation Sans" w:hAnsi="Liberation Sans" w:eastAsia="Liberation Sans"/>
          <w:b/>
          <w:color w:val="1F1F1F"/>
          <w:sz w:val="26"/>
        </w:rPr>
        <w:t>SIGNATURES</w:t>
      </w:r>
    </w:p>
    <w:p>
      <w:pPr>
        <w:jc w:val="both"/>
      </w:pPr>
      <w:r>
        <w:rPr>
          <w:rFonts w:ascii="Liberation Serif" w:hAnsi="Liberation Serif" w:eastAsia="Liberation Serif"/>
          <w:sz w:val="21"/>
        </w:rPr>
        <w:t>The authorized signatories execute this Agreement as of the Effective Date. Each signer represents that the signer has authority to bind the identified party.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68"/>
        <w:gridCol w:w="4968"/>
      </w:tblGrid>
      <w:tr>
        <w:tc>
          <w:tcPr>
            <w:tcW w:type="dxa" w:w="5083"/>
            <w:tcMar>
              <w:top w:w="80" w:type="dxa"/>
              <w:start w:w="90" w:type="dxa"/>
              <w:bottom w:w="80" w:type="dxa"/>
              <w:end w:w="90" w:type="dxa"/>
            </w:tcMar>
            <w:shd w:fill="F3F3F3"/>
          </w:tcPr>
          <w:p>
            <w:pPr>
              <w:spacing w:after="0"/>
            </w:pPr>
            <w:r>
              <w:rPr>
                <w:rFonts w:ascii="Liberation Sans" w:hAnsi="Liberation Sans" w:eastAsia="Liberation Sans"/>
                <w:b/>
                <w:color w:val="1F1F1F"/>
                <w:sz w:val="18"/>
              </w:rPr>
              <w:t>Raising The Bar Officiating Inc.</w:t>
            </w:r>
          </w:p>
        </w:tc>
        <w:tc>
          <w:tcPr>
            <w:tcW w:type="dxa" w:w="5083"/>
            <w:tcMar>
              <w:top w:w="80" w:type="dxa"/>
              <w:start w:w="90" w:type="dxa"/>
              <w:bottom w:w="80" w:type="dxa"/>
              <w:end w:w="90" w:type="dxa"/>
            </w:tcMar>
            <w:shd w:fill="F3F3F3"/>
          </w:tcPr>
          <w:p>
            <w:pPr>
              <w:spacing w:after="0"/>
            </w:pPr>
            <w:r>
              <w:rPr>
                <w:rFonts w:ascii="Liberation Sans" w:hAnsi="Liberation Sans" w:eastAsia="Liberation Sans"/>
                <w:b/>
                <w:color w:val="1F1F1F"/>
                <w:sz w:val="18"/>
              </w:rPr>
              <w:t>DATA RECIPIENT / SERVICE PROVIDER</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By: ______________________________</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By: ______________________________</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Name: [AUTHORIZED SIGNER]</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Name: [NAME]</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Title: [TITLE]</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Title: [TITLE]</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Date: ____________________________</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Date: ____________________________</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Email: [EMAIL]</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Email: [EMAIL]</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Address: [ADDRESS]</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Address: [ADDRESS]</w:t>
            </w:r>
          </w:p>
        </w:tc>
      </w:tr>
    </w:tbl>
    <w:sectPr w:rsidR="00FC693F" w:rsidRPr="0006063C" w:rsidSect="00034616">
      <w:headerReference w:type="default" r:id="rId9"/>
      <w:footerReference w:type="default" r:id="rId10"/>
      <w:headerReference w:type="first" r:id="rId11"/>
      <w:pgSz w:w="12240" w:h="15840"/>
      <w:pgMar w:top="1008" w:right="1037" w:bottom="936" w:left="1037" w:header="288"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66666"/>
        <w:sz w:val="16"/>
      </w:rPr>
      <w:t xml:space="preserve">Editable legal template - attorney review required before execution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eastAsia="Liberation Sans"/>
        <w:b/>
        <w:color w:val="666666"/>
        <w:sz w:val="17"/>
      </w:rPr>
      <w:t>Raising The Bar Officiating Inc.  |  Data Privacy, Confidentiality, and Security Agreement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120"/>
      <w:gridCol w:w="3120"/>
      <w:gridCol w:w="3120"/>
    </w:tblGrid>
    <w:tr>
      <w:tc>
        <w:tcPr>
          <w:tcW w:type="dxa" w:w="3120"/>
          <w:tcMar>
            <w:top w:w="20" w:type="dxa"/>
            <w:start w:w="20" w:type="dxa"/>
            <w:bottom w:w="20" w:type="dxa"/>
            <w:end w:w="20" w:type="dxa"/>
          </w:tcMar>
          <w:vAlign w:val="center"/>
        </w:tcPr>
        <w:p>
          <w:pPr>
            <w:jc w:val="left"/>
          </w:pPr>
          <w:r>
            <w:drawing>
              <wp:inline xmlns:a="http://schemas.openxmlformats.org/drawingml/2006/main" xmlns:pic="http://schemas.openxmlformats.org/drawingml/2006/picture">
                <wp:extent cx="621792" cy="621792"/>
                <wp:docPr id="1" name="Picture 1"/>
                <wp:cNvGraphicFramePr>
                  <a:graphicFrameLocks noChangeAspect="1"/>
                </wp:cNvGraphicFramePr>
                <a:graphic>
                  <a:graphicData uri="http://schemas.openxmlformats.org/drawingml/2006/picture">
                    <pic:pic>
                      <pic:nvPicPr>
                        <pic:cNvPr id="0" name="approved-got-u-nex-ref-logo-docx.png"/>
                        <pic:cNvPicPr/>
                      </pic:nvPicPr>
                      <pic:blipFill>
                        <a:blip r:embed="rId1"/>
                        <a:stretch>
                          <a:fillRect/>
                        </a:stretch>
                      </pic:blipFill>
                      <pic:spPr>
                        <a:xfrm>
                          <a:off x="0" y="0"/>
                          <a:ext cx="621792" cy="621792"/>
                        </a:xfrm>
                        <a:prstGeom prst="rect"/>
                      </pic:spPr>
                    </pic:pic>
                  </a:graphicData>
                </a:graphic>
              </wp:inline>
            </w:drawing>
          </w:r>
        </w:p>
      </w:tc>
      <w:tc>
        <w:tcPr>
          <w:tcW w:type="dxa" w:w="3120"/>
          <w:tcMar>
            <w:top w:w="20" w:type="dxa"/>
            <w:start w:w="20" w:type="dxa"/>
            <w:bottom w:w="20" w:type="dxa"/>
            <w:end w:w="20" w:type="dxa"/>
          </w:tcMar>
          <w:vAlign w:val="center"/>
        </w:tcPr>
        <w:p>
          <w:pPr>
            <w:jc w:val="center"/>
          </w:pPr>
          <w:r>
            <w:rPr>
              <w:b/>
              <w:color w:val="505050"/>
              <w:sz w:val="18"/>
            </w:rPr>
            <w:t>RAISING THE BAR OFFICIATING INC.</w:t>
          </w:r>
        </w:p>
      </w:tc>
      <w:tc>
        <w:tcPr>
          <w:tcW w:type="dxa" w:w="3120"/>
          <w:tcMar>
            <w:top w:w="20" w:type="dxa"/>
            <w:start w:w="20" w:type="dxa"/>
            <w:bottom w:w="20" w:type="dxa"/>
            <w:end w:w="20" w:type="dxa"/>
          </w:tcMar>
          <w:vAlign w:val="center"/>
        </w:tcPr>
        <w:p>
          <w:pPr>
            <w:jc w:val="right"/>
          </w:pPr>
          <w:r>
            <w:drawing>
              <wp:inline xmlns:a="http://schemas.openxmlformats.org/drawingml/2006/main" xmlns:pic="http://schemas.openxmlformats.org/drawingml/2006/picture">
                <wp:extent cx="621792" cy="621792"/>
                <wp:docPr id="2" name="Picture 2"/>
                <wp:cNvGraphicFramePr>
                  <a:graphicFrameLocks noChangeAspect="1"/>
                </wp:cNvGraphicFramePr>
                <a:graphic>
                  <a:graphicData uri="http://schemas.openxmlformats.org/drawingml/2006/picture">
                    <pic:pic>
                      <pic:nvPicPr>
                        <pic:cNvPr id="0" name="approved-rtbo-logo-docx.png"/>
                        <pic:cNvPicPr/>
                      </pic:nvPicPr>
                      <pic:blipFill>
                        <a:blip r:embed="rId2"/>
                        <a:stretch>
                          <a:fillRect/>
                        </a:stretch>
                      </pic:blipFill>
                      <pic:spPr>
                        <a:xfrm>
                          <a:off x="0" y="0"/>
                          <a:ext cx="621792" cy="621792"/>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F1F1F"/>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Liberation Sans" w:hAnsi="Liberation Sans"/>
      <w:b/>
      <w:bCs/>
      <w:color w:val="D95F0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F1F1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Heading">
    <w:name w:val="Clause Heading"/>
    <w:basedOn w:val="Heading1"/>
    <w:pPr>
      <w:keepNext/>
      <w:spacing w:before="180" w:after="60"/>
    </w:pPr>
    <w:rPr>
      <w:rFonts w:ascii="Liberation Sans" w:hAnsi="Liberation Sans"/>
      <w:b/>
      <w:color w:val="1F1F1F"/>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