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MUTUAL NONDISCLOSURE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Receiving / Disclosing Party</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An NDA does not replace a data-processing agreement, intellectual-property license, employment agreement, noncompetition agreement, public-records analysis, or privilege protocol. Public entities should review disclosure obligations before execution.</w:t>
            </w:r>
          </w:p>
        </w:tc>
      </w:tr>
    </w:tbl>
    <w:p/>
    <w:p>
      <w:pPr>
        <w:spacing w:after="140"/>
        <w:jc w:val="both"/>
      </w:pPr>
      <w:r>
        <w:rPr>
          <w:rFonts w:ascii="Liberation Serif" w:hAnsi="Liberation Serif" w:eastAsia="Liberation Serif"/>
          <w:sz w:val="21"/>
        </w:rPr>
        <w:t>This Mutual Nondisclosure Agreement is between Raising The Bar Officiating Inc. and the identified party to permit evaluation or performance of a potential or existing business relationship while protecting confidential information.</w:t>
      </w:r>
    </w:p>
    <w:p>
      <w:pPr>
        <w:pStyle w:val="ClauseHeading"/>
        <w:keepNext/>
      </w:pPr>
      <w:r>
        <w:rPr>
          <w:rFonts w:ascii="Liberation Sans" w:hAnsi="Liberation Sans" w:eastAsia="Liberation Sans"/>
          <w:b/>
          <w:color w:val="1F1F1F"/>
          <w:sz w:val="23"/>
        </w:rPr>
        <w:t>1. Confidential Information</w:t>
      </w:r>
    </w:p>
    <w:p>
      <w:pPr>
        <w:ind w:left="216" w:hanging="216"/>
        <w:jc w:val="both"/>
      </w:pPr>
      <w:r>
        <w:rPr>
          <w:rFonts w:ascii="Liberation Serif" w:hAnsi="Liberation Serif" w:eastAsia="Liberation Serif"/>
          <w:sz w:val="21"/>
        </w:rPr>
        <w:t>Confidential Information means nonpublic information disclosed in any form that is marked confidential or that a reasonable person would understand is confidential, including business plans, pricing, contracts, financials, technology, security, credentials, assignments, evaluations, personnel, customers, students, participants, investigations, methods, and trade secrets. Oral disclosure should be identified as confidential when made and, when practical, summarized in writing.</w:t>
      </w:r>
    </w:p>
    <w:p>
      <w:pPr>
        <w:pStyle w:val="ClauseHeading"/>
        <w:keepNext/>
      </w:pPr>
      <w:r>
        <w:rPr>
          <w:rFonts w:ascii="Liberation Sans" w:hAnsi="Liberation Sans" w:eastAsia="Liberation Sans"/>
          <w:b/>
          <w:color w:val="1F1F1F"/>
          <w:sz w:val="23"/>
        </w:rPr>
        <w:t>2. Exclusions</w:t>
      </w:r>
    </w:p>
    <w:p>
      <w:pPr>
        <w:ind w:left="216" w:hanging="216"/>
        <w:jc w:val="both"/>
      </w:pPr>
      <w:r>
        <w:rPr>
          <w:rFonts w:ascii="Liberation Serif" w:hAnsi="Liberation Serif" w:eastAsia="Liberation Serif"/>
          <w:sz w:val="21"/>
        </w:rPr>
        <w:t>Confidential Information excludes information the recipient can document was lawfully known without duty, becomes public without breach, is received lawfully from a third party without duty, or is independently developed without use of the disclosure. A combination is not excluded merely because individual elements are public.</w:t>
      </w:r>
    </w:p>
    <w:p>
      <w:pPr>
        <w:pStyle w:val="ClauseHeading"/>
        <w:keepNext/>
      </w:pPr>
      <w:r>
        <w:rPr>
          <w:rFonts w:ascii="Liberation Sans" w:hAnsi="Liberation Sans" w:eastAsia="Liberation Sans"/>
          <w:b/>
          <w:color w:val="1F1F1F"/>
          <w:sz w:val="23"/>
        </w:rPr>
        <w:t>3. Use and Protection</w:t>
      </w:r>
    </w:p>
    <w:p>
      <w:pPr>
        <w:ind w:left="216" w:hanging="216"/>
        <w:jc w:val="both"/>
      </w:pPr>
      <w:r>
        <w:rPr>
          <w:rFonts w:ascii="Liberation Serif" w:hAnsi="Liberation Serif" w:eastAsia="Liberation Serif"/>
          <w:sz w:val="21"/>
        </w:rPr>
        <w:t>Recipient shall use Confidential Information only for the Purpose in Schedule 1, disclose it only to representatives with a need to know and equivalent duties, and protect it with at least reasonable care and no less than the care used for similar information. Recipient is responsible for representatives’ breaches.</w:t>
      </w:r>
    </w:p>
    <w:p>
      <w:pPr>
        <w:pStyle w:val="ClauseHeading"/>
        <w:keepNext/>
      </w:pPr>
      <w:r>
        <w:rPr>
          <w:rFonts w:ascii="Liberation Sans" w:hAnsi="Liberation Sans" w:eastAsia="Liberation Sans"/>
          <w:b/>
          <w:color w:val="1F1F1F"/>
          <w:sz w:val="23"/>
        </w:rPr>
        <w:t>4. Required Disclosure</w:t>
      </w:r>
    </w:p>
    <w:p>
      <w:pPr>
        <w:ind w:left="216" w:hanging="216"/>
        <w:jc w:val="both"/>
      </w:pPr>
      <w:r>
        <w:rPr>
          <w:rFonts w:ascii="Liberation Serif" w:hAnsi="Liberation Serif" w:eastAsia="Liberation Serif"/>
          <w:sz w:val="21"/>
        </w:rPr>
        <w:t>If legally compelled, Recipient shall, when lawful, give prompt notice and reasonable assistance so Discloser may seek protection. Recipient shall disclose only what counsel advises is required and use reasonable efforts to obtain confidential treatment. Public-records requests are governed by applicable law and the public entity’s legal determination.</w:t>
      </w:r>
    </w:p>
    <w:p>
      <w:pPr>
        <w:pStyle w:val="ClauseHeading"/>
        <w:keepNext/>
      </w:pPr>
      <w:r>
        <w:rPr>
          <w:rFonts w:ascii="Liberation Sans" w:hAnsi="Liberation Sans" w:eastAsia="Liberation Sans"/>
          <w:b/>
          <w:color w:val="1F1F1F"/>
          <w:sz w:val="23"/>
        </w:rPr>
        <w:t>5. No License; No Obligation</w:t>
      </w:r>
    </w:p>
    <w:p>
      <w:pPr>
        <w:ind w:left="216" w:hanging="216"/>
        <w:jc w:val="both"/>
      </w:pPr>
      <w:r>
        <w:rPr>
          <w:rFonts w:ascii="Liberation Serif" w:hAnsi="Liberation Serif" w:eastAsia="Liberation Serif"/>
          <w:sz w:val="21"/>
        </w:rPr>
        <w:t>Disclosure grants no ownership, license, agency, exclusivity, or commitment to transact. Information is provided as-is for evaluation, except that neither party may knowingly misrepresent material facts. Each party bears its own evaluation costs.</w:t>
      </w:r>
    </w:p>
    <w:p>
      <w:pPr>
        <w:pStyle w:val="ClauseHeading"/>
        <w:keepNext/>
      </w:pPr>
      <w:r>
        <w:rPr>
          <w:rFonts w:ascii="Liberation Sans" w:hAnsi="Liberation Sans" w:eastAsia="Liberation Sans"/>
          <w:b/>
          <w:color w:val="1F1F1F"/>
          <w:sz w:val="23"/>
        </w:rPr>
        <w:t>6. Return, Destruction, Term, and Remedies</w:t>
      </w:r>
    </w:p>
    <w:p>
      <w:pPr>
        <w:ind w:left="216" w:hanging="216"/>
        <w:jc w:val="both"/>
      </w:pPr>
      <w:r>
        <w:rPr>
          <w:rFonts w:ascii="Liberation Serif" w:hAnsi="Liberation Serif" w:eastAsia="Liberation Serif"/>
          <w:sz w:val="21"/>
        </w:rPr>
        <w:t>Upon request or end of the Purpose, Recipient shall return or destroy Confidential Information except archival copies required by law or routine backup, which remain protected. Duties continue for the period in Schedule 1 and for trade secrets as long as protected by law. Unauthorized use may cause irreparable harm for which equitable relief may be available, in addition to lawful remedies.</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9.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10.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11.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12.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13.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14.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15.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16.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Purpose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[EVALUATION / PROJECT / RELATIONSHIP]</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Permitted Representatives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[CATEGORIES]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Disclosure Period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[DATES]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Confidentiality Period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[NUMBER] years; trade secrets while legally protected</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Excluded / Preapproved Disclosures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Security Requirements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Notices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[CONTACTS]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RECEIVING / DISCLOSING PARTY</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Mutual Nondisclosure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