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GOVERNMENTAL AND PUBLIC ENTITY SERVICES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Public Entity</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This form preserves procurement, appropriation, audit, public-records, ethics, and immunity requirements but cannot determine the specific entity’s authority. The public entity’s counsel, procurement official, and authorized governing body must approve it before execution.</w:t>
            </w:r>
          </w:p>
        </w:tc>
      </w:tr>
    </w:tbl>
    <w:p/>
    <w:p>
      <w:pPr>
        <w:spacing w:after="140"/>
        <w:jc w:val="both"/>
      </w:pPr>
      <w:r>
        <w:rPr>
          <w:rFonts w:ascii="Liberation Serif" w:hAnsi="Liberation Serif" w:eastAsia="Liberation Serif"/>
          <w:sz w:val="21"/>
        </w:rPr>
        <w:t>This Governmental and Public Entity Services Agreement is between Raising The Bar Officiating Inc. and the identified governmental body, public school, district, state-supported institution, municipality, commission, authority, or other public entity for the services in Schedule 1.</w:t>
      </w:r>
    </w:p>
    <w:p>
      <w:pPr>
        <w:pStyle w:val="ClauseHeading"/>
        <w:keepNext/>
      </w:pPr>
      <w:r>
        <w:rPr>
          <w:rFonts w:ascii="Liberation Sans" w:hAnsi="Liberation Sans" w:eastAsia="Liberation Sans"/>
          <w:b/>
          <w:color w:val="1F1F1F"/>
          <w:sz w:val="23"/>
        </w:rPr>
        <w:t>1. Scope; Authorization; No Work Before Approval</w:t>
      </w:r>
    </w:p>
    <w:p>
      <w:pPr>
        <w:ind w:left="216" w:hanging="216"/>
        <w:jc w:val="both"/>
      </w:pPr>
      <w:r>
        <w:rPr>
          <w:rFonts w:ascii="Liberation Serif" w:hAnsi="Liberation Serif" w:eastAsia="Liberation Serif"/>
          <w:sz w:val="21"/>
        </w:rPr>
        <w:t>RTBO shall perform only the authorized services in Schedule 1 after required purchase order, vendor registration, funding certification, contract review, board or governing-body approval, and execution. No employee’s request or course of dealing binds Public Entity beyond lawful authority.</w:t>
      </w:r>
    </w:p>
    <w:p>
      <w:pPr>
        <w:pStyle w:val="ClauseHeading"/>
        <w:keepNext/>
      </w:pPr>
      <w:r>
        <w:rPr>
          <w:rFonts w:ascii="Liberation Sans" w:hAnsi="Liberation Sans" w:eastAsia="Liberation Sans"/>
          <w:b/>
          <w:color w:val="1F1F1F"/>
          <w:sz w:val="23"/>
        </w:rPr>
        <w:t>2. Compensation and Maximum Liability</w:t>
      </w:r>
    </w:p>
    <w:p>
      <w:pPr>
        <w:ind w:left="216" w:hanging="216"/>
        <w:jc w:val="both"/>
      </w:pPr>
      <w:r>
        <w:rPr>
          <w:rFonts w:ascii="Liberation Serif" w:hAnsi="Liberation Serif" w:eastAsia="Liberation Serif"/>
          <w:sz w:val="21"/>
        </w:rPr>
        <w:t>Rates, reimbursable expenses, invoice requirements, and not-to-exceed amount are stated in Schedule 1. Public Entity’s maximum payment obligation is limited to lawfully appropriated and available funds and the authorized contract amount. RTBO shall not perform excess work without a valid written amendment and required approvals.</w:t>
      </w:r>
    </w:p>
    <w:p>
      <w:pPr>
        <w:pStyle w:val="ClauseHeading"/>
        <w:keepNext/>
      </w:pPr>
      <w:r>
        <w:rPr>
          <w:rFonts w:ascii="Liberation Sans" w:hAnsi="Liberation Sans" w:eastAsia="Liberation Sans"/>
          <w:b/>
          <w:color w:val="1F1F1F"/>
          <w:sz w:val="23"/>
        </w:rPr>
        <w:t>3. Procurement, Ethics, and Conflicts</w:t>
      </w:r>
    </w:p>
    <w:p>
      <w:pPr>
        <w:ind w:left="216" w:hanging="216"/>
        <w:jc w:val="both"/>
      </w:pPr>
      <w:r>
        <w:rPr>
          <w:rFonts w:ascii="Liberation Serif" w:hAnsi="Liberation Serif" w:eastAsia="Liberation Serif"/>
          <w:sz w:val="21"/>
        </w:rPr>
        <w:t>Each party shall comply with applicable procurement, lobbying, gratuity, nepotism, conflict, disclosure, debarment, sanctions, equal-opportunity, and ethics requirements. RTBO shall disclose actual or potential conflicts and certify required vendor eligibility. No contingent fee or improper benefit is authorized.</w:t>
      </w:r>
    </w:p>
    <w:p>
      <w:pPr>
        <w:pStyle w:val="ClauseHeading"/>
        <w:keepNext/>
      </w:pPr>
      <w:r>
        <w:rPr>
          <w:rFonts w:ascii="Liberation Sans" w:hAnsi="Liberation Sans" w:eastAsia="Liberation Sans"/>
          <w:b/>
          <w:color w:val="1F1F1F"/>
          <w:sz w:val="23"/>
        </w:rPr>
        <w:t>4. Public Records and Confidential Information</w:t>
      </w:r>
    </w:p>
    <w:p>
      <w:pPr>
        <w:ind w:left="216" w:hanging="216"/>
        <w:jc w:val="both"/>
      </w:pPr>
      <w:r>
        <w:rPr>
          <w:rFonts w:ascii="Liberation Serif" w:hAnsi="Liberation Serif" w:eastAsia="Liberation Serif"/>
          <w:sz w:val="21"/>
        </w:rPr>
        <w:t>RTBO acknowledges that the agreement and related records may be subject to public disclosure. RTBO shall clearly mark claimed confidential material and provide the legal basis, but Public Entity determines disclosure obligations. Public Entity will provide notice when lawful and reasonably practicable, but is not liable for disclosure required by law.</w:t>
      </w:r>
    </w:p>
    <w:p>
      <w:pPr>
        <w:pStyle w:val="ClauseHeading"/>
        <w:keepNext/>
      </w:pPr>
      <w:r>
        <w:rPr>
          <w:rFonts w:ascii="Liberation Sans" w:hAnsi="Liberation Sans" w:eastAsia="Liberation Sans"/>
          <w:b/>
          <w:color w:val="1F1F1F"/>
          <w:sz w:val="23"/>
        </w:rPr>
        <w:t>5. Audit, Records, and Access</w:t>
      </w:r>
    </w:p>
    <w:p>
      <w:pPr>
        <w:ind w:left="216" w:hanging="216"/>
        <w:jc w:val="both"/>
      </w:pPr>
      <w:r>
        <w:rPr>
          <w:rFonts w:ascii="Liberation Serif" w:hAnsi="Liberation Serif" w:eastAsia="Liberation Serif"/>
          <w:sz w:val="21"/>
        </w:rPr>
        <w:t>RTBO shall maintain complete books and supporting records for the legally required period and permit lawful inspection by Public Entity, legislative auditors, grantors, and authorized regulators. Access shall be limited to relevant records and conducted to protect unrelated confidential information where law permits.</w:t>
      </w:r>
    </w:p>
    <w:p>
      <w:pPr>
        <w:pStyle w:val="ClauseHeading"/>
        <w:keepNext/>
      </w:pPr>
      <w:r>
        <w:rPr>
          <w:rFonts w:ascii="Liberation Sans" w:hAnsi="Liberation Sans" w:eastAsia="Liberation Sans"/>
          <w:b/>
          <w:color w:val="1F1F1F"/>
          <w:sz w:val="23"/>
        </w:rPr>
        <w:t>6. Nondiscrimination and Accessibility</w:t>
      </w:r>
    </w:p>
    <w:p>
      <w:pPr>
        <w:ind w:left="216" w:hanging="216"/>
        <w:jc w:val="both"/>
      </w:pPr>
      <w:r>
        <w:rPr>
          <w:rFonts w:ascii="Liberation Serif" w:hAnsi="Liberation Serif" w:eastAsia="Liberation Serif"/>
          <w:sz w:val="21"/>
        </w:rPr>
        <w:t>RTBO shall comply with applicable civil-rights, disability-access, equal-employment, and program-access requirements and shall provide reasonable cooperation concerning accommodations within its service responsibility. Public Entity shall provide facility and institutional accommodations under its control.</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Athlete Safety; Abuse Prevention; Mandatory Reporting</w:t>
      </w:r>
    </w:p>
    <w:p>
      <w:pPr>
        <w:ind w:left="216" w:hanging="216"/>
        <w:jc w:val="both"/>
      </w:pPr>
      <w:r>
        <w:rPr>
          <w:rFonts w:ascii="Liberation Serif" w:hAnsi="Liberation Serif" w:eastAsia="Liberation Serif"/>
          <w:sz w:val="21"/>
        </w:rPr>
        <w:t>Personnel with access to minors shall satisfy applicable screening, training, supervision, travel, one-on-one interaction, and abuse-prevention requirements before access. Nothing in this Agreement restricts or delays a mandatory report to law enforcement, the Arkansas Child Abuse Hotline, a child-protection agency, or another authority. Reports must be made directly by the person legally required to report; internal notice is supplemental and never a substitute. Retaliation against a good-faith reporter is prohibited.</w:t>
      </w:r>
    </w:p>
    <w:p>
      <w:pPr>
        <w:pStyle w:val="ClauseHeading"/>
        <w:keepNext/>
      </w:pPr>
      <w:r>
        <w:rPr>
          <w:rFonts w:ascii="Liberation Sans" w:hAnsi="Liberation Sans" w:eastAsia="Liberation Sans"/>
          <w:b/>
          <w:color w:val="1F1F1F"/>
          <w:sz w:val="23"/>
        </w:rPr>
        <w:t>9. Confidentiality; Privacy; Information Security</w:t>
      </w:r>
    </w:p>
    <w:p>
      <w:pPr>
        <w:ind w:left="216" w:hanging="216"/>
        <w:jc w:val="both"/>
      </w:pPr>
      <w:r>
        <w:rPr>
          <w:rFonts w:ascii="Liberation Serif" w:hAnsi="Liberation Serif" w:eastAsia="Liberation Serif"/>
          <w:sz w:val="21"/>
        </w:rPr>
        <w:t>Each recipient shall use Confidential Information only to perform this Agreement, restrict access to personnel with a need to know, and protect it using reasonable administrative, technical, and physical safeguards. Student education records may be accessed only when the educational agency has determined the recipient performs an institutional service, is under the agency’s direct control regarding use and maintenance, meets the agency’s legitimate-interest criteria, uses records only for the disclosed purpose, and does not redisclose them except as legally permitted. A party discovering unauthorized access, loss, or disclosure shall contain it, preserve evidence, and notify the data owner without unreasonable delay and, where feasible, within twenty-four (24) hours.</w:t>
      </w:r>
    </w:p>
    <w:p>
      <w:pPr>
        <w:pStyle w:val="ClauseHeading"/>
        <w:keepNext/>
      </w:pPr>
      <w:r>
        <w:rPr>
          <w:rFonts w:ascii="Liberation Sans" w:hAnsi="Liberation Sans" w:eastAsia="Liberation Sans"/>
          <w:b/>
          <w:color w:val="1F1F1F"/>
          <w:sz w:val="23"/>
        </w:rPr>
        <w:t>10.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11.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12. Governmental Limitations; No Waiver</w:t>
      </w:r>
    </w:p>
    <w:p>
      <w:pPr>
        <w:ind w:left="216" w:hanging="216"/>
        <w:jc w:val="both"/>
      </w:pPr>
      <w:r>
        <w:rPr>
          <w:rFonts w:ascii="Liberation Serif" w:hAnsi="Liberation Serif" w:eastAsia="Liberation Serif"/>
          <w:sz w:val="21"/>
        </w:rPr>
        <w:t>Nothing requires a public entity to indemnify, defend, insure, pay, or assume liability beyond authority granted by law or available appropriations, and nothing waives constitutional, statutory, sovereign, governmental, qualified, or other immunity. Any indemnity or liability obligation imposed on a public entity applies only to the extent lawfully authorized.</w:t>
      </w:r>
    </w:p>
    <w:p>
      <w:pPr>
        <w:pStyle w:val="ClauseHeading"/>
        <w:keepNext/>
      </w:pPr>
      <w:r>
        <w:rPr>
          <w:rFonts w:ascii="Liberation Sans" w:hAnsi="Liberation Sans" w:eastAsia="Liberation Sans"/>
          <w:b/>
          <w:color w:val="1F1F1F"/>
          <w:sz w:val="23"/>
        </w:rPr>
        <w:t>13. Appropriation; Procurement; Audit; Public Records</w:t>
      </w:r>
    </w:p>
    <w:p>
      <w:pPr>
        <w:ind w:left="216" w:hanging="216"/>
        <w:jc w:val="both"/>
      </w:pPr>
      <w:r>
        <w:rPr>
          <w:rFonts w:ascii="Liberation Serif" w:hAnsi="Liberation Serif" w:eastAsia="Liberation Serif"/>
          <w:sz w:val="21"/>
        </w:rPr>
        <w:t>Payment obligations of a public entity are subject to lawful appropriation and available funds. The parties shall complete applicable bidding, purchasing, vendor-registration, conflict-disclosure, contract-review, and approval procedures. Records shall be maintained and made available for lawful audit. Materials may be subject to freedom-of-information or public-records laws; the receiving public entity will determine disclosure duties and, when legally permitted, provide notice before disclosing material marked confidential.</w:t>
      </w:r>
    </w:p>
    <w:p>
      <w:pPr>
        <w:pStyle w:val="ClauseHeading"/>
        <w:keepNext/>
      </w:pPr>
      <w:r>
        <w:rPr>
          <w:rFonts w:ascii="Liberation Sans" w:hAnsi="Liberation Sans" w:eastAsia="Liberation Sans"/>
          <w:b/>
          <w:color w:val="1F1F1F"/>
          <w:sz w:val="23"/>
        </w:rPr>
        <w:t>14.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15.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16.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17.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18.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19.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20.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Public Entity / Department</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[LEGAL NAME]</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Authority / Procurement Method</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[STATUTE, SOLICITATION, COOPERATIVE CONTRACT, EXEMPTION]</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Purchase Order / Contract Number</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[NUMBER]</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Services / Deliverables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Term</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[DATES]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Rates / Expenses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Not-to-Exceed Amount</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[AMOUNT]</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Appropriation / Funding Source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Invoice / Payment Process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Required Certifications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[DEBARMENT, EEO, TAX, ETC.]</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Insurance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Student / Personal Data</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Public Records Contact</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Contract Administrators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Approvals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[LEGAL, PROCUREMENT, BOARD, OTHER]</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 Execution remains subject to all required governmental approvals, appropriations, and procurement procedures.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PUBLIC ENTITY</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Governmental and Public Entity Services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