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SPORTS OFFICIAL EMPLOYMENT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Employee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Employment law varies by state and locality. Complete wage, overtime, minimum-call, reimbursement, leave, benefits, scheduling, workers’ compensation, unemployment, payroll, handbook, and at-will provisions with employment counsel for every state where work occurs.</w:t>
            </w:r>
          </w:p>
        </w:tc>
      </w:tr>
    </w:tbl>
    <w:p/>
    <w:p>
      <w:pPr>
        <w:spacing w:after="140"/>
        <w:jc w:val="both"/>
      </w:pPr>
      <w:r>
        <w:rPr>
          <w:rFonts w:ascii="Liberation Serif" w:hAnsi="Liberation Serif" w:eastAsia="Liberation Serif"/>
          <w:sz w:val="21"/>
        </w:rPr>
        <w:t>This Sports Official Employment Agreement is between Raising The Bar Officiating Inc. and Employee for sports-officiating and related duties when RTBO elects or is legally required to treat the relationship as employment.</w:t>
      </w:r>
    </w:p>
    <w:p>
      <w:pPr>
        <w:pStyle w:val="ClauseHeading"/>
        <w:keepNext/>
      </w:pPr>
      <w:r>
        <w:rPr>
          <w:rFonts w:ascii="Liberation Sans" w:hAnsi="Liberation Sans" w:eastAsia="Liberation Sans"/>
          <w:b/>
          <w:color w:val="1F1F1F"/>
          <w:sz w:val="23"/>
        </w:rPr>
        <w:t>1. Employment, Position, and At-Will Status</w:t>
      </w:r>
    </w:p>
    <w:p>
      <w:pPr>
        <w:ind w:left="216" w:hanging="216"/>
        <w:jc w:val="both"/>
      </w:pPr>
      <w:r>
        <w:rPr>
          <w:rFonts w:ascii="Liberation Serif" w:hAnsi="Liberation Serif" w:eastAsia="Liberation Serif"/>
          <w:sz w:val="21"/>
        </w:rPr>
        <w:t>RTBO employs Employee in the position stated in Schedule 1. Unless a signed collective-bargaining agreement or state-specific addendum states otherwise, employment is at will: either party may end employment at any time, with or without cause or advance notice, subject to law. No manager may alter at-will status except by a writing signed by RTBO’s authorized officer.</w:t>
      </w:r>
    </w:p>
    <w:p>
      <w:pPr>
        <w:pStyle w:val="ClauseHeading"/>
        <w:keepNext/>
      </w:pPr>
      <w:r>
        <w:rPr>
          <w:rFonts w:ascii="Liberation Sans" w:hAnsi="Liberation Sans" w:eastAsia="Liberation Sans"/>
          <w:b/>
          <w:color w:val="1F1F1F"/>
          <w:sz w:val="23"/>
        </w:rPr>
        <w:t>2. Duties and Standards</w:t>
      </w:r>
    </w:p>
    <w:p>
      <w:pPr>
        <w:ind w:left="216" w:hanging="216"/>
        <w:jc w:val="both"/>
      </w:pPr>
      <w:r>
        <w:rPr>
          <w:rFonts w:ascii="Liberation Serif" w:hAnsi="Liberation Serif" w:eastAsia="Liberation Serif"/>
          <w:sz w:val="21"/>
        </w:rPr>
        <w:t>Employee shall perform assigned games, events, training, reports, meetings, travel, and related duties; follow lawful instructions, rules, mechanics, safety, conduct, anti-harassment, safeguarding, expense, timekeeping, and technology policies; maintain required credentials; and exercise impartial officiating judgment. RTBO may reasonably modify duties consistent with law.</w:t>
      </w:r>
    </w:p>
    <w:p>
      <w:pPr>
        <w:pStyle w:val="ClauseHeading"/>
        <w:keepNext/>
      </w:pPr>
      <w:r>
        <w:rPr>
          <w:rFonts w:ascii="Liberation Sans" w:hAnsi="Liberation Sans" w:eastAsia="Liberation Sans"/>
          <w:b/>
          <w:color w:val="1F1F1F"/>
          <w:sz w:val="23"/>
        </w:rPr>
        <w:t>3. Scheduling and Attendance</w:t>
      </w:r>
    </w:p>
    <w:p>
      <w:pPr>
        <w:ind w:left="216" w:hanging="216"/>
        <w:jc w:val="both"/>
      </w:pPr>
      <w:r>
        <w:rPr>
          <w:rFonts w:ascii="Liberation Serif" w:hAnsi="Liberation Serif" w:eastAsia="Liberation Serif"/>
          <w:sz w:val="21"/>
        </w:rPr>
        <w:t>RTBO will communicate schedules and assignment procedures. Employee shall accurately report availability, respond by deadlines, attend accepted or mandatory work, and promptly report lateness or absence. Scheduling, call-in, predictive-scheduling, rest, travel-time, and reporting-pay requirements will be administered under applicable law and Schedule 1.</w:t>
      </w:r>
    </w:p>
    <w:p>
      <w:pPr>
        <w:pStyle w:val="ClauseHeading"/>
        <w:keepNext/>
      </w:pPr>
      <w:r>
        <w:rPr>
          <w:rFonts w:ascii="Liberation Sans" w:hAnsi="Liberation Sans" w:eastAsia="Liberation Sans"/>
          <w:b/>
          <w:color w:val="1F1F1F"/>
          <w:sz w:val="23"/>
        </w:rPr>
        <w:t>4. Compensation and Timekeeping</w:t>
      </w:r>
    </w:p>
    <w:p>
      <w:pPr>
        <w:ind w:left="216" w:hanging="216"/>
        <w:jc w:val="both"/>
      </w:pPr>
      <w:r>
        <w:rPr>
          <w:rFonts w:ascii="Liberation Serif" w:hAnsi="Liberation Serif" w:eastAsia="Liberation Serif"/>
          <w:sz w:val="21"/>
        </w:rPr>
        <w:t>Employee will be paid the wage or game-rate method in Schedule 1, subject to minimum wage, overtime, salary-basis, reporting-time, spread-of-hours, travel-time, and other applicable requirements. Employee must record all work time accurately and may not work off the clock. RTBO will correct reported errors and will not retaliate for wage concerns.</w:t>
      </w:r>
    </w:p>
    <w:p>
      <w:pPr>
        <w:pStyle w:val="ClauseHeading"/>
        <w:keepNext/>
      </w:pPr>
      <w:r>
        <w:rPr>
          <w:rFonts w:ascii="Liberation Sans" w:hAnsi="Liberation Sans" w:eastAsia="Liberation Sans"/>
          <w:b/>
          <w:color w:val="1F1F1F"/>
          <w:sz w:val="23"/>
        </w:rPr>
        <w:t>5. Expenses, Equipment, and Deductions</w:t>
      </w:r>
    </w:p>
    <w:p>
      <w:pPr>
        <w:ind w:left="216" w:hanging="216"/>
        <w:jc w:val="both"/>
      </w:pPr>
      <w:r>
        <w:rPr>
          <w:rFonts w:ascii="Liberation Serif" w:hAnsi="Liberation Serif" w:eastAsia="Liberation Serif"/>
          <w:sz w:val="21"/>
        </w:rPr>
        <w:t>RTBO will reimburse required business expenses and provide or reimburse tools, uniforms, travel, and equipment as required by law and Schedule 1. Payroll deductions will be made only when legally permitted and properly authorized. Employee shall return RTBO property at separation.</w:t>
      </w:r>
    </w:p>
    <w:p>
      <w:pPr>
        <w:pStyle w:val="ClauseHeading"/>
        <w:keepNext/>
      </w:pPr>
      <w:r>
        <w:rPr>
          <w:rFonts w:ascii="Liberation Sans" w:hAnsi="Liberation Sans" w:eastAsia="Liberation Sans"/>
          <w:b/>
          <w:color w:val="1F1F1F"/>
          <w:sz w:val="23"/>
        </w:rPr>
        <w:t>6. Payroll, Taxes, Benefits, and Leave</w:t>
      </w:r>
    </w:p>
    <w:p>
      <w:pPr>
        <w:ind w:left="216" w:hanging="216"/>
        <w:jc w:val="both"/>
      </w:pPr>
      <w:r>
        <w:rPr>
          <w:rFonts w:ascii="Liberation Serif" w:hAnsi="Liberation Serif" w:eastAsia="Liberation Serif"/>
          <w:sz w:val="21"/>
        </w:rPr>
        <w:t>RTBO will withhold and remit payroll taxes and provide workers’ compensation and unemployment coverage as required. Eligibility for benefits and paid or unpaid leave is governed by applicable plans, policies, and law; this agreement does not guarantee benefits not identified in a controlling plan.</w:t>
      </w:r>
    </w:p>
    <w:p>
      <w:pPr>
        <w:pStyle w:val="ClauseHeading"/>
        <w:keepNext/>
      </w:pPr>
      <w:r>
        <w:rPr>
          <w:rFonts w:ascii="Liberation Sans" w:hAnsi="Liberation Sans" w:eastAsia="Liberation Sans"/>
          <w:b/>
          <w:color w:val="1F1F1F"/>
          <w:sz w:val="23"/>
        </w:rPr>
        <w:t>7. Policies, Investigations, and Discipline</w:t>
      </w:r>
    </w:p>
    <w:p>
      <w:pPr>
        <w:ind w:left="216" w:hanging="216"/>
        <w:jc w:val="both"/>
      </w:pPr>
      <w:r>
        <w:rPr>
          <w:rFonts w:ascii="Liberation Serif" w:hAnsi="Liberation Serif" w:eastAsia="Liberation Serif"/>
          <w:sz w:val="21"/>
        </w:rPr>
        <w:t>Employee shall acknowledge the current handbook and policies, which are not contracts unless expressly stated. RTBO may investigate complaints and impose lawful corrective action. Nothing prohibits reporting suspected legal violations, discussing wages or working conditions as protected by law, cooperating with government agencies, or making mandatory safeguarding reports.</w:t>
      </w:r>
    </w:p>
    <w:p>
      <w:pPr>
        <w:pStyle w:val="ClauseHeading"/>
        <w:keepNext/>
      </w:pPr>
      <w:r>
        <w:rPr>
          <w:rFonts w:ascii="Liberation Sans" w:hAnsi="Liberation Sans" w:eastAsia="Liberation Sans"/>
          <w:b/>
          <w:color w:val="1F1F1F"/>
          <w:sz w:val="23"/>
        </w:rPr>
        <w:t>8. Confidentiality and Protected Activity</w:t>
      </w:r>
    </w:p>
    <w:p>
      <w:pPr>
        <w:ind w:left="216" w:hanging="216"/>
        <w:jc w:val="both"/>
      </w:pPr>
      <w:r>
        <w:rPr>
          <w:rFonts w:ascii="Liberation Serif" w:hAnsi="Liberation Serif" w:eastAsia="Liberation Serif"/>
          <w:sz w:val="21"/>
        </w:rPr>
        <w:t>Employee shall protect legitimate confidential and personal information, but this obligation does not prohibit legally protected whistleblowing, concerted activity, reporting discrimination or harassment, communicating with counsel or government, responding to legal process, or disclosing information as otherwise protected by law.</w:t>
      </w:r>
    </w:p>
    <w:p>
      <w:pPr>
        <w:pStyle w:val="ClauseHeading"/>
        <w:keepNext/>
      </w:pPr>
      <w:r>
        <w:rPr>
          <w:rFonts w:ascii="Liberation Sans" w:hAnsi="Liberation Sans" w:eastAsia="Liberation Sans"/>
          <w:b/>
          <w:color w:val="1F1F1F"/>
          <w:sz w:val="23"/>
        </w:rPr>
        <w:t>9.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10.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11.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12.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13. Employment Rights and Remedies</w:t>
      </w:r>
    </w:p>
    <w:p>
      <w:pPr>
        <w:ind w:left="216" w:hanging="216"/>
        <w:jc w:val="both"/>
      </w:pPr>
      <w:r>
        <w:rPr>
          <w:rFonts w:ascii="Liberation Serif" w:hAnsi="Liberation Serif" w:eastAsia="Liberation Serif"/>
          <w:sz w:val="21"/>
        </w:rPr>
        <w:t>Nothing in this Agreement requires Employee to indemnify RTBO for ordinary employment duties, waives workers’ compensation or unemployment rights, releases accrued wage or discrimination claims, restricts protected concerted activity, or limits any nonwaivable remedy. Any separate dispute-resolution program must be reviewed, separately presented, and enforceable under the law of the state where Employee works.</w:t>
      </w:r>
    </w:p>
    <w:p>
      <w:pPr>
        <w:pStyle w:val="ClauseHeading"/>
        <w:keepNext/>
      </w:pPr>
      <w:r>
        <w:rPr>
          <w:rFonts w:ascii="Liberation Sans" w:hAnsi="Liberation Sans" w:eastAsia="Liberation Sans"/>
          <w:b/>
          <w:color w:val="1F1F1F"/>
          <w:sz w:val="23"/>
        </w:rPr>
        <w:t>14.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15. Separation; Final Pay; Return of Property</w:t>
      </w:r>
    </w:p>
    <w:p>
      <w:pPr>
        <w:ind w:left="216" w:hanging="216"/>
        <w:jc w:val="both"/>
      </w:pPr>
      <w:r>
        <w:rPr>
          <w:rFonts w:ascii="Liberation Serif" w:hAnsi="Liberation Serif" w:eastAsia="Liberation Serif"/>
          <w:sz w:val="21"/>
        </w:rPr>
        <w:t>Employment may end as stated in Section 1 and applicable law. RTBO will provide final pay, benefits information, notices, and continuation rights as required in the state where Employee works. Employee shall return RTBO property and preserve confidential information. Provisions concerning accrued compensation, protected rights, records, intellectual property, and confidentiality survive only to the lawful extent.</w:t>
      </w:r>
    </w:p>
    <w:p>
      <w:pPr>
        <w:pStyle w:val="ClauseHeading"/>
        <w:keepNext/>
      </w:pPr>
      <w:r>
        <w:rPr>
          <w:rFonts w:ascii="Liberation Sans" w:hAnsi="Liberation Sans" w:eastAsia="Liberation Sans"/>
          <w:b/>
          <w:color w:val="1F1F1F"/>
          <w:sz w:val="23"/>
        </w:rPr>
        <w:t>16. Applicable Employment Law</w:t>
      </w:r>
    </w:p>
    <w:p>
      <w:pPr>
        <w:ind w:left="216" w:hanging="216"/>
        <w:jc w:val="both"/>
      </w:pPr>
      <w:r>
        <w:rPr>
          <w:rFonts w:ascii="Liberation Serif" w:hAnsi="Liberation Serif" w:eastAsia="Liberation Serif"/>
          <w:sz w:val="21"/>
        </w:rPr>
        <w:t>The mandatory employment law of each state and locality where Employee performs work governs to the extent it cannot be waived. Any Arkansas governing-law or venue term applies only when lawful and may not deprive Employee of nonwaivable wage, leave, discrimination, workers’ compensation, unemployment, whistleblower, labor, or other protections.</w:t>
      </w:r>
    </w:p>
    <w:p>
      <w:pPr>
        <w:pStyle w:val="ClauseHeading"/>
        <w:keepNext/>
      </w:pPr>
      <w:r>
        <w:rPr>
          <w:rFonts w:ascii="Liberation Sans" w:hAnsi="Liberation Sans" w:eastAsia="Liberation Sans"/>
          <w:b/>
          <w:color w:val="1F1F1F"/>
          <w:sz w:val="23"/>
        </w:rPr>
        <w:t>17.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18.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Position / Classification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[TITLE; NONEXEMPT/EXEMPT AFTER LEGAL REVIEW]</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Primary Work State(s)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[STATE(S)]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Start Date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Compensation</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[HOURLY / GAME RATE / SALARY; RATE]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Pay Period</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Overtime / Minimum Call / Travel Time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[LEGAL RULES AND POLICY]</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Schedule / Availability</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Duties / Sports / Levels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Supervisor</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[NAME / TITLE]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Work Locations / Travel</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Expense / Equipment Reimbursement</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Benefits / Leave</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[PLAN / POLICY REFERENCES]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Credentials / Screening</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Handbook / Policies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[VERSION / DATE]</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Notices</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105" w:type="dxa"/>
              <w:start w:w="120" w:type="dxa"/>
              <w:bottom w:w="105" w:type="dxa"/>
              <w:end w:w="120" w:type="dxa"/>
            </w:tcMar>
            <w:vAlign w:val="center"/>
            <w:shd w:fill="F3F3F3"/>
          </w:tcPr>
          <w:p>
            <w:pPr>
              <w:spacing w:after="0"/>
            </w:pPr>
            <w:r>
              <w:rPr>
                <w:rFonts w:ascii="Liberation Sans" w:hAnsi="Liberation Sans" w:eastAsia="Liberation Sans"/>
                <w:b/>
                <w:sz w:val="18"/>
              </w:rPr>
              <w:t>State-Specific Addenda</w:t>
            </w:r>
          </w:p>
        </w:tc>
        <w:tc>
          <w:tcPr>
            <w:tcW w:type="dxa" w:w="6912"/>
            <w:tcMar>
              <w:top w:w="105" w:type="dxa"/>
              <w:start w:w="120" w:type="dxa"/>
              <w:bottom w:w="105" w:type="dxa"/>
              <w:end w:w="120" w:type="dxa"/>
            </w:tcMar>
            <w:vAlign w:val="center"/>
          </w:tcPr>
          <w:p>
            <w:pPr>
              <w:spacing w:after="0"/>
            </w:pPr>
            <w:r>
              <w:rPr>
                <w:rFonts w:ascii="Liberation Serif" w:hAnsi="Liberation Serif" w:eastAsia="Liberation Serif"/>
                <w:b w:val="0"/>
                <w:sz w:val="18"/>
              </w:rPr>
              <w:t>[LIST]</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80" w:type="dxa"/>
              <w:start w:w="90" w:type="dxa"/>
              <w:bottom w:w="80" w:type="dxa"/>
              <w:end w:w="90" w:type="dxa"/>
            </w:tcMar>
            <w:shd w:fill="F3F3F3"/>
          </w:tcPr>
          <w:p>
            <w:pPr>
              <w:spacing w:after="0"/>
            </w:pPr>
            <w:r>
              <w:rPr>
                <w:rFonts w:ascii="Liberation Sans" w:hAnsi="Liberation Sans" w:eastAsia="Liberation Sans"/>
                <w:b/>
                <w:color w:val="1F1F1F"/>
                <w:sz w:val="18"/>
              </w:rPr>
              <w:t>EMPLOYEE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Title: [TITLE]</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Capacity: Individual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c>
          <w:tcPr>
            <w:tcW w:type="dxa" w:w="5083"/>
            <w:tcMar>
              <w:top w:w="80" w:type="dxa"/>
              <w:start w:w="90" w:type="dxa"/>
              <w:bottom w:w="80"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Sports Official Employment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