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Liberation Sans" w:hAnsi="Liberation Sans" w:eastAsia="Liberation Sans"/>
          <w:b/>
          <w:color w:val="D95F02"/>
          <w:sz w:val="22"/>
        </w:rPr>
        <w:t>RTBO</w:t>
      </w:r>
    </w:p>
    <w:p>
      <w:pPr>
        <w:pStyle w:val="Title"/>
        <w:jc w:val="center"/>
      </w:pPr>
      <w:r>
        <w:rPr>
          <w:rFonts w:ascii="Liberation Sans" w:hAnsi="Liberation Sans" w:eastAsia="Liberation Sans"/>
          <w:b/>
          <w:color w:val="1F1F1F"/>
          <w:sz w:val="44"/>
        </w:rPr>
        <w:t>PRE-ADVERSE ACTION NOTICE</w:t>
      </w:r>
    </w:p>
    <w:p>
      <w:pPr>
        <w:spacing w:after="200"/>
        <w:jc w:val="center"/>
      </w:pPr>
      <w:r>
        <w:rPr>
          <w:rFonts w:ascii="Liberation Sans" w:hAnsi="Liberation Sans" w:eastAsia="Liberation Sans"/>
          <w:b w:val="0"/>
          <w:i/>
          <w:color w:val="666666"/>
          <w:sz w:val="21"/>
        </w:rPr>
        <w:t>Opportunity to Review and Respond Before a Final Decision</w:t>
      </w:r>
    </w:p>
    <w:tbl>
      <w:tblPr>
        <w:tblW w:type="auto" w:w="0"/>
        <w:jc w:val="center"/>
        <w:tblLayout w:type="fixed"/>
        <w:tblLook w:firstColumn="1" w:firstRow="1" w:lastColumn="0" w:lastRow="0" w:noHBand="0" w:noVBand="1" w:val="04A0"/>
        <w:tblBorders>
          <w:top w:val="single" w:sz="8" w:space="0" w:color="E8A15B"/>
          <w:left w:val="single" w:sz="8" w:space="0" w:color="E8A15B"/>
          <w:bottom w:val="single" w:sz="8" w:space="0" w:color="E8A15B"/>
          <w:right w:val="single" w:sz="8" w:space="0" w:color="E8A15B"/>
          <w:insideH w:val="single" w:sz="8" w:space="0" w:color="E8A15B"/>
          <w:insideV w:val="single" w:sz="8" w:space="0" w:color="E8A15B"/>
        </w:tblBorders>
      </w:tblPr>
      <w:tblGrid>
        <w:gridCol w:w="10152"/>
      </w:tblGrid>
      <w:tr>
        <w:tc>
          <w:tcPr>
            <w:tcW w:type="dxa" w:w="10166"/>
            <w:shd w:fill="FFF3E8"/>
            <w:tcMar>
              <w:top w:w="120" w:type="dxa"/>
              <w:start w:w="150" w:type="dxa"/>
              <w:bottom w:w="120" w:type="dxa"/>
              <w:end w:w="150" w:type="dxa"/>
            </w:tcMar>
          </w:tcPr>
          <w:p>
            <w:pPr>
              <w:spacing w:after="0"/>
            </w:pPr>
            <w:r>
              <w:rPr>
                <w:rFonts w:ascii="Liberation Sans" w:hAnsi="Liberation Sans" w:eastAsia="Liberation Sans"/>
                <w:b/>
                <w:color w:val="D95F02"/>
                <w:sz w:val="18"/>
              </w:rPr>
              <w:t xml:space="preserve">IMPORTANT USE NOTICE. </w:t>
            </w:r>
            <w:r>
              <w:rPr>
                <w:rFonts w:ascii="Liberation Serif" w:hAnsi="Liberation Serif" w:eastAsia="Liberation Serif"/>
                <w:b w:val="0"/>
                <w:color w:val="1F1F1F"/>
                <w:sz w:val="18"/>
              </w:rPr>
              <w:t>Send this notice before taking adverse action based in whole or in part on a consumer report. Attach a complete copy of the report and the current “A Summary of Your Rights Under the Fair Credit Reporting Act.” Allow a reasonable response period and comply with stricter state or local individualized-assessment, notice, or timing rules.</w:t>
            </w:r>
          </w:p>
        </w:tc>
      </w:tr>
    </w:tbl>
    <w:p/>
    <w:tbl>
      <w:tblPr>
        <w:tblW w:type="auto" w:w="0"/>
        <w:jc w:val="center"/>
        <w:tblLayout w:type="fixed"/>
        <w:tblLook w:firstColumn="1" w:firstRow="1" w:lastColumn="0" w:lastRow="0" w:noHBand="0" w:noVBand="1" w:val="04A0"/>
        <w:tblBorders>
          <w:top w:val="single" w:sz="6" w:space="0" w:color="B7B7B7"/>
          <w:left w:val="single" w:sz="6" w:space="0" w:color="B7B7B7"/>
          <w:bottom w:val="single" w:sz="6" w:space="0" w:color="B7B7B7"/>
          <w:right w:val="single" w:sz="6" w:space="0" w:color="B7B7B7"/>
          <w:insideH w:val="single" w:sz="6" w:space="0" w:color="B7B7B7"/>
          <w:insideV w:val="single" w:sz="6" w:space="0" w:color="B7B7B7"/>
        </w:tblBorders>
      </w:tblPr>
      <w:tblGrid>
        <w:gridCol w:w="3168"/>
        <w:gridCol w:w="7056"/>
      </w:tblGrid>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Date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[DATE]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Recipient</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[NAME AND ADDRESS/EMAIL]</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Role / Assignment</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[POSITION OR OPPORTUNITY]</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Consumer Reporting Agency</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[LEGAL NAME / ADDRESS / TOLL-FREE PHONE / WEBSITE]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Response Deadline</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[DATE AND TIME]</w:t>
            </w:r>
          </w:p>
        </w:tc>
      </w:tr>
      <w:tr>
        <w:tc>
          <w:tcPr>
            <w:tcW w:type="dxa" w:w="3168"/>
            <w:tcMar>
              <w:top w:w="110" w:type="dxa"/>
              <w:start w:w="120" w:type="dxa"/>
              <w:bottom w:w="110" w:type="dxa"/>
              <w:end w:w="120" w:type="dxa"/>
            </w:tcMar>
            <w:shd w:fill="F3F3F3"/>
          </w:tcPr>
          <w:p>
            <w:pPr>
              <w:spacing w:after="0"/>
            </w:pPr>
            <w:r>
              <w:rPr>
                <w:rFonts w:ascii="Liberation Sans" w:hAnsi="Liberation Sans" w:eastAsia="Liberation Sans"/>
                <w:b/>
                <w:sz w:val="19"/>
              </w:rPr>
              <w:t>RTBO Contact</w:t>
            </w:r>
          </w:p>
        </w:tc>
        <w:tc>
          <w:tcPr>
            <w:tcW w:type="dxa" w:w="7056"/>
            <w:tcMar>
              <w:top w:w="110" w:type="dxa"/>
              <w:start w:w="120" w:type="dxa"/>
              <w:bottom w:w="110" w:type="dxa"/>
              <w:end w:w="120" w:type="dxa"/>
            </w:tcMar>
          </w:tcPr>
          <w:p>
            <w:pPr>
              <w:spacing w:after="0"/>
            </w:pPr>
            <w:r>
              <w:rPr>
                <w:rFonts w:ascii="Liberation Serif" w:hAnsi="Liberation Serif" w:eastAsia="Liberation Serif"/>
                <w:b w:val="0"/>
                <w:sz w:val="19"/>
              </w:rPr>
              <w:t>[NAME / TITLE / EMAIL / PHONE]</w:t>
            </w:r>
          </w:p>
        </w:tc>
      </w:tr>
    </w:tbl>
    <w:p>
      <w:pPr>
        <w:spacing w:after="140"/>
        <w:jc w:val="both"/>
      </w:pPr>
      <w:r>
        <w:rPr>
          <w:rFonts w:ascii="Liberation Serif" w:hAnsi="Liberation Serif" w:eastAsia="Liberation Serif"/>
          <w:sz w:val="21"/>
        </w:rPr>
        <w:t>Raising The Bar Officiating Inc. is considering an adverse decision concerning the role or opportunity identified above based in whole or in part on information in a consumer report. No final decision has been made.</w:t>
      </w:r>
    </w:p>
    <w:p>
      <w:pPr>
        <w:spacing w:after="140"/>
        <w:jc w:val="both"/>
      </w:pPr>
      <w:r>
        <w:rPr>
          <w:rFonts w:ascii="Liberation Serif" w:hAnsi="Liberation Serif" w:eastAsia="Liberation Serif"/>
          <w:sz w:val="21"/>
        </w:rPr>
        <w:t>Enclosed or attached are: (1) a copy of the consumer report relied upon; and (2) the current A Summary of Your Rights Under the Fair Credit Reporting Act. Please review the report. You may dispute inaccurate or incomplete information directly with the consumer reporting agency and may provide RTBO with corrections, context, evidence of rehabilitation, identity-theft information, or other information you want considered by the response deadline.</w:t>
      </w:r>
    </w:p>
    <w:p>
      <w:pPr>
        <w:spacing w:after="140"/>
        <w:jc w:val="both"/>
      </w:pPr>
      <w:r>
        <w:rPr>
          <w:rFonts w:ascii="Liberation Serif" w:hAnsi="Liberation Serif" w:eastAsia="Liberation Serif"/>
          <w:sz w:val="21"/>
        </w:rPr>
        <w:t>The consumer reporting agency did not make RTBO’s decision and cannot explain why RTBO is considering the action. RTBO will consider timely information and any process required by applicable fair-chance, employment, credentialing, or other law before making a final decision.</w:t>
      </w:r>
    </w:p>
    <w:p>
      <w:pPr>
        <w:pStyle w:val="Heading1"/>
      </w:pPr>
      <w:r>
        <w:rPr>
          <w:rFonts w:ascii="Liberation Sans" w:hAnsi="Liberation Sans" w:eastAsia="Liberation Sans"/>
          <w:b/>
          <w:color w:val="1F1F1F"/>
          <w:sz w:val="24"/>
        </w:rPr>
        <w:t>Attachments Checklist</w:t>
      </w:r>
    </w:p>
    <w:p>
      <w:pPr>
        <w:ind w:left="360"/>
      </w:pPr>
      <w:r>
        <w:rPr>
          <w:rFonts w:ascii="Liberation Serif" w:hAnsi="Liberation Serif" w:eastAsia="Liberation Serif"/>
          <w:sz w:val="21"/>
        </w:rPr>
        <w:t>[ ] Complete copy of consumer report</w:t>
      </w:r>
    </w:p>
    <w:p>
      <w:pPr>
        <w:ind w:left="360"/>
      </w:pPr>
      <w:r>
        <w:rPr>
          <w:rFonts w:ascii="Liberation Serif" w:hAnsi="Liberation Serif" w:eastAsia="Liberation Serif"/>
          <w:sz w:val="21"/>
        </w:rPr>
        <w:t>[ ] Current federal Summary of Rights</w:t>
      </w:r>
    </w:p>
    <w:p>
      <w:pPr>
        <w:ind w:left="360"/>
      </w:pPr>
      <w:r>
        <w:rPr>
          <w:rFonts w:ascii="Liberation Serif" w:hAnsi="Liberation Serif" w:eastAsia="Liberation Serif"/>
          <w:sz w:val="21"/>
        </w:rPr>
        <w:t>[ ] Applicable state/local notices</w:t>
      </w:r>
    </w:p>
    <w:p>
      <w:pPr>
        <w:ind w:left="360"/>
      </w:pPr>
      <w:r>
        <w:rPr>
          <w:rFonts w:ascii="Liberation Serif" w:hAnsi="Liberation Serif" w:eastAsia="Liberation Serif"/>
          <w:sz w:val="21"/>
        </w:rPr>
        <w:t>[ ] Individualized-assessment form or invitation, if required</w:t>
      </w:r>
    </w:p>
    <w:p>
      <w:pPr>
        <w:ind w:left="360"/>
      </w:pPr>
      <w:r>
        <w:rPr>
          <w:rFonts w:ascii="Liberation Serif" w:hAnsi="Liberation Serif" w:eastAsia="Liberation Serif"/>
          <w:sz w:val="21"/>
        </w:rPr>
        <w:t>[ ] Copy of any other document relied upon, if required</w:t>
      </w:r>
    </w:p>
    <w:sectPr w:rsidR="00FC693F" w:rsidRPr="0006063C" w:rsidSect="00034616">
      <w:headerReference w:type="default" r:id="rId9"/>
      <w:footerReference w:type="default" r:id="rId10"/>
      <w:headerReference w:type="first" r:id="rId11"/>
      <w:pgSz w:w="12240" w:h="15840"/>
      <w:pgMar w:top="1008" w:right="1037" w:bottom="936" w:left="1037" w:header="288"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olor w:val="666666"/>
        <w:sz w:val="16"/>
      </w:rPr>
      <w:t xml:space="preserve">Editable legal template - attorney review required before execution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Liberation Sans" w:hAnsi="Liberation Sans" w:eastAsia="Liberation Sans"/>
        <w:b/>
        <w:color w:val="666666"/>
        <w:sz w:val="17"/>
      </w:rPr>
      <w:t>Raising The Bar Officiating Inc.  |  Pre-Adverse Action Notice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120"/>
      <w:gridCol w:w="3120"/>
      <w:gridCol w:w="3120"/>
    </w:tblGrid>
    <w:tr>
      <w:tc>
        <w:tcPr>
          <w:tcW w:type="dxa" w:w="3120"/>
          <w:tcMar>
            <w:top w:w="20" w:type="dxa"/>
            <w:start w:w="20" w:type="dxa"/>
            <w:bottom w:w="20" w:type="dxa"/>
            <w:end w:w="20" w:type="dxa"/>
          </w:tcMar>
          <w:vAlign w:val="center"/>
        </w:tcPr>
        <w:p>
          <w:pPr>
            <w:jc w:val="left"/>
          </w:pPr>
          <w:r>
            <w:drawing>
              <wp:inline xmlns:a="http://schemas.openxmlformats.org/drawingml/2006/main" xmlns:pic="http://schemas.openxmlformats.org/drawingml/2006/picture">
                <wp:extent cx="621792" cy="621792"/>
                <wp:docPr id="1" name="Picture 1"/>
                <wp:cNvGraphicFramePr>
                  <a:graphicFrameLocks noChangeAspect="1"/>
                </wp:cNvGraphicFramePr>
                <a:graphic>
                  <a:graphicData uri="http://schemas.openxmlformats.org/drawingml/2006/picture">
                    <pic:pic>
                      <pic:nvPicPr>
                        <pic:cNvPr id="0" name="approved-got-u-nex-ref-logo-docx.png"/>
                        <pic:cNvPicPr/>
                      </pic:nvPicPr>
                      <pic:blipFill>
                        <a:blip r:embed="rId1"/>
                        <a:stretch>
                          <a:fillRect/>
                        </a:stretch>
                      </pic:blipFill>
                      <pic:spPr>
                        <a:xfrm>
                          <a:off x="0" y="0"/>
                          <a:ext cx="621792" cy="621792"/>
                        </a:xfrm>
                        <a:prstGeom prst="rect"/>
                      </pic:spPr>
                    </pic:pic>
                  </a:graphicData>
                </a:graphic>
              </wp:inline>
            </w:drawing>
          </w:r>
        </w:p>
      </w:tc>
      <w:tc>
        <w:tcPr>
          <w:tcW w:type="dxa" w:w="3120"/>
          <w:tcMar>
            <w:top w:w="20" w:type="dxa"/>
            <w:start w:w="20" w:type="dxa"/>
            <w:bottom w:w="20" w:type="dxa"/>
            <w:end w:w="20" w:type="dxa"/>
          </w:tcMar>
          <w:vAlign w:val="center"/>
        </w:tcPr>
        <w:p>
          <w:pPr>
            <w:jc w:val="center"/>
          </w:pPr>
          <w:r>
            <w:rPr>
              <w:b/>
              <w:color w:val="505050"/>
              <w:sz w:val="18"/>
            </w:rPr>
            <w:t>RAISING THE BAR OFFICIATING INC.</w:t>
          </w:r>
        </w:p>
      </w:tc>
      <w:tc>
        <w:tcPr>
          <w:tcW w:type="dxa" w:w="3120"/>
          <w:tcMar>
            <w:top w:w="20" w:type="dxa"/>
            <w:start w:w="20" w:type="dxa"/>
            <w:bottom w:w="20" w:type="dxa"/>
            <w:end w:w="20" w:type="dxa"/>
          </w:tcMar>
          <w:vAlign w:val="center"/>
        </w:tcPr>
        <w:p>
          <w:pPr>
            <w:jc w:val="right"/>
          </w:pPr>
          <w:r>
            <w:drawing>
              <wp:inline xmlns:a="http://schemas.openxmlformats.org/drawingml/2006/main" xmlns:pic="http://schemas.openxmlformats.org/drawingml/2006/picture">
                <wp:extent cx="621792" cy="621792"/>
                <wp:docPr id="2" name="Picture 2"/>
                <wp:cNvGraphicFramePr>
                  <a:graphicFrameLocks noChangeAspect="1"/>
                </wp:cNvGraphicFramePr>
                <a:graphic>
                  <a:graphicData uri="http://schemas.openxmlformats.org/drawingml/2006/picture">
                    <pic:pic>
                      <pic:nvPicPr>
                        <pic:cNvPr id="0" name="approved-rtbo-logo-docx.png"/>
                        <pic:cNvPicPr/>
                      </pic:nvPicPr>
                      <pic:blipFill>
                        <a:blip r:embed="rId2"/>
                        <a:stretch>
                          <a:fillRect/>
                        </a:stretch>
                      </pic:blipFill>
                      <pic:spPr>
                        <a:xfrm>
                          <a:off x="0" y="0"/>
                          <a:ext cx="621792" cy="621792"/>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Liberation Serif" w:hAnsi="Liberation Seri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Liberation Sans" w:hAnsi="Liberation Sans"/>
      <w:b/>
      <w:bCs/>
      <w:color w:val="1F1F1F"/>
      <w:sz w:val="26"/>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Liberation Sans" w:hAnsi="Liberation Sans"/>
      <w:b/>
      <w:bCs/>
      <w:color w:val="D95F0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F1F1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lauseHeading">
    <w:name w:val="Clause Heading"/>
    <w:basedOn w:val="Heading1"/>
    <w:pPr>
      <w:keepNext/>
      <w:spacing w:before="180" w:after="60"/>
    </w:pPr>
    <w:rPr>
      <w:rFonts w:ascii="Liberation Sans" w:hAnsi="Liberation Sans"/>
      <w:b/>
      <w:color w:val="1F1F1F"/>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