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ORGANIZATION OFFICIATING SERVICES AGREEMENT</w:t>
      </w:r>
    </w:p>
    <w:p>
      <w:pPr>
        <w:jc w:val="center"/>
      </w:pPr>
      <w:r>
        <w:rPr>
          <w:i/>
          <w:color w:val="646464"/>
          <w:sz w:val="18"/>
        </w:rPr>
        <w:t>Execution-Ready Agreement</w:t>
      </w:r>
    </w:p>
    <w:p>
      <w:r>
        <w:t>This Organization Officiating Services Agreement is entered into between Raising The Bar Officiating Inc. ("RTBO") and the Organization identified in Schedule 1 for officiating, assigning, supervision, evaluation, training, or related services.</w:t>
      </w:r>
    </w:p>
    <w:p>
      <w:pPr>
        <w:pStyle w:val="Heading1"/>
        <w:spacing w:before="140" w:after="20"/>
      </w:pPr>
      <w:r>
        <w:t>1. Services and Service Standards</w:t>
      </w:r>
    </w:p>
    <w:p>
      <w:pPr>
        <w:spacing w:after="60" w:line="247" w:lineRule="auto"/>
      </w:pPr>
      <w:r>
        <w:t>RTBO shall provide the officiating and assigning services stated in Schedule 1, including any recruiting, credential verification, scheduling, crew assignment, replacement coverage, supervision, evaluation, or reporting. RTBO shall use commercially reasonable efforts to provide qualified personnel but does not guarantee uninterrupted availability when circumstances beyond its reasonable control affect staffing.</w:t>
      </w:r>
    </w:p>
    <w:p>
      <w:pPr>
        <w:pStyle w:val="Heading1"/>
        <w:spacing w:before="140" w:after="20"/>
      </w:pPr>
      <w:r>
        <w:t>2. Organization Responsibilities</w:t>
      </w:r>
    </w:p>
    <w:p>
      <w:pPr>
        <w:spacing w:after="60" w:line="247" w:lineRule="auto"/>
      </w:pPr>
      <w:r>
        <w:t>The Organization shall provide accurate schedules, rules, venue details, authorized contacts, access credentials, game-management personnel, security, medical response, parking and changing arrangements, and timely notice of additions, cancellations, or changes. The Organization is responsible for participant, coach, spectator, and facility operations except to the extent expressly assigned to RTBO.</w:t>
      </w:r>
    </w:p>
    <w:p>
      <w:pPr>
        <w:pStyle w:val="Heading1"/>
        <w:spacing w:before="140" w:after="20"/>
      </w:pPr>
      <w:r>
        <w:t>3. Fees; Funding; Payment</w:t>
      </w:r>
    </w:p>
    <w:p>
      <w:pPr>
        <w:spacing w:after="60" w:line="247" w:lineRule="auto"/>
      </w:pPr>
      <w:r>
        <w:t>The Organization shall pay the deposits, officiating fees, assigning fees, administrative fees, travel, lodging, per diem, technology fees, and other agreed charges stated in Schedule 1. RTBO may withhold publication or suspend future coverage when required funding is not timely received. Disputed amounts must be identified in writing with reasonable detail; undisputed amounts remain due.</w:t>
      </w:r>
    </w:p>
    <w:p>
      <w:pPr>
        <w:pStyle w:val="Heading1"/>
        <w:spacing w:before="140" w:after="20"/>
      </w:pPr>
      <w:r>
        <w:t>4. Schedule Changes and Replacement Coverage</w:t>
      </w:r>
    </w:p>
    <w:p>
      <w:pPr>
        <w:spacing w:after="60" w:line="247" w:lineRule="auto"/>
      </w:pPr>
      <w:r>
        <w:t>Only the authorized contacts in Schedule 1 may request schedule changes that affect staffing or cost. RTBO may reassign crews, officials, or supervisors as reasonably necessary for conflicts, availability, safety, performance, or governing-body compliance, provided RTBO maintains the agreed service level where reasonably practicable.</w:t>
      </w:r>
    </w:p>
    <w:p>
      <w:pPr>
        <w:pStyle w:val="Heading1"/>
        <w:spacing w:before="140" w:after="20"/>
      </w:pPr>
      <w:r>
        <w:t>5.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6.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7.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8.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9.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10.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11.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12.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13.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14.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15.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16.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17.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18.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