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25312"/>
          <w:sz w:val="20"/>
        </w:rPr>
        <w:t>RAISING THE BAR OFFICIATING INC.</w:t>
      </w:r>
    </w:p>
    <w:p>
      <w:pPr>
        <w:pStyle w:val="Title"/>
        <w:jc w:val="center"/>
      </w:pPr>
      <w:r>
        <w:t>PRESEASON TOURNAMENT OFFICIATING SERVICES AGREEMENT</w:t>
      </w:r>
    </w:p>
    <w:p>
      <w:pPr>
        <w:jc w:val="center"/>
      </w:pPr>
      <w:r>
        <w:rPr>
          <w:i/>
          <w:color w:val="646464"/>
          <w:sz w:val="18"/>
        </w:rPr>
        <w:t>Execution-Ready Agreement</w:t>
      </w:r>
    </w:p>
    <w:p>
      <w:r>
        <w:t>This Preseason Tournament Officiating Services Agreement is entered into between Raising The Bar Officiating Inc. ("RTBO") and the Tournament or School Operator identified in Schedule 1 for preseason officiating, training, evaluation, and related assignment services.</w:t>
      </w:r>
    </w:p>
    <w:p>
      <w:pPr>
        <w:pStyle w:val="Heading1"/>
        <w:spacing w:before="140" w:after="20"/>
      </w:pPr>
      <w:r>
        <w:t>1. Preseason Purpose and Services</w:t>
      </w:r>
    </w:p>
    <w:p>
      <w:pPr>
        <w:spacing w:after="60" w:line="247" w:lineRule="auto"/>
      </w:pPr>
      <w:r>
        <w:t>RTBO shall provide the agreed officiating crews and, if selected in Schedule 1, preseason mechanics review, rule-change briefing, evaluator observation, crew conferences, feedback, film review, and educational reporting. Evaluation or training activity does not alter the authority of game officials during live play.</w:t>
      </w:r>
    </w:p>
    <w:p>
      <w:pPr>
        <w:pStyle w:val="Heading1"/>
        <w:spacing w:before="140" w:after="20"/>
      </w:pPr>
      <w:r>
        <w:t>2. Experimental / Preseason Rules</w:t>
      </w:r>
    </w:p>
    <w:p>
      <w:pPr>
        <w:spacing w:after="60" w:line="247" w:lineRule="auto"/>
      </w:pPr>
      <w:r>
        <w:t>Any experimental, scrimmage, running-clock, shortened-period, shot-clock, mercy-rule, coaching-box, roster, replay, or preseason modification must be provided in writing before the event. RTBO may decline a requested rule modification that conflicts with law, safety requirements, governing-body restrictions, or professional officiating standards.</w:t>
      </w:r>
    </w:p>
    <w:p>
      <w:pPr>
        <w:pStyle w:val="Heading1"/>
        <w:spacing w:before="140" w:after="20"/>
      </w:pPr>
      <w:r>
        <w:t>3. Evaluation and Feedback Materials</w:t>
      </w:r>
    </w:p>
    <w:p>
      <w:pPr>
        <w:spacing w:after="60" w:line="247" w:lineRule="auto"/>
      </w:pPr>
      <w:r>
        <w:t>Unless Schedule 1 states otherwise, evaluator notes, ratings, training clips, and internal developmental materials are confidential operational records of RTBO and may be shared only with authorized recipients. Public release, publication, or use for disciplinary action requires the approvals and procedures stated in Schedule 1.</w:t>
      </w:r>
    </w:p>
    <w:p>
      <w:pPr>
        <w:pStyle w:val="Heading1"/>
        <w:spacing w:before="140" w:after="20"/>
      </w:pPr>
      <w:r>
        <w:t>4. Schedule and Staffing Flexibility</w:t>
      </w:r>
    </w:p>
    <w:p>
      <w:pPr>
        <w:spacing w:after="60" w:line="247" w:lineRule="auto"/>
      </w:pPr>
      <w:r>
        <w:t>Because preseason availability may vary, RTBO may change crew assignments, positions, evaluators, or alternates to address training objectives, conflicts, availability, travel, or performance while using commercially reasonable efforts to maintain the agreed staffing level.</w:t>
      </w:r>
    </w:p>
    <w:p>
      <w:pPr>
        <w:pStyle w:val="Heading1"/>
        <w:spacing w:before="140" w:after="20"/>
      </w:pPr>
      <w:r>
        <w:t>5. Compliance With Laws and Governing-Body Rules</w:t>
      </w:r>
    </w:p>
    <w:p>
      <w:pPr>
        <w:spacing w:after="60" w:line="247" w:lineRule="auto"/>
      </w:pPr>
      <w:r>
        <w:t>Each party shall comply with applicable federal, state, and local laws and with the rules, policies, bylaws, eligibility requirements, playing rules, and safety standards of the applicable athletic association, league, conference, school system, sanctioning body, event operator, and facility. Nothing in this Agreement requires either party to waive nonwaivable legal rights or perform an act prohibited by law.</w:t>
      </w:r>
    </w:p>
    <w:p>
      <w:pPr>
        <w:pStyle w:val="Heading1"/>
        <w:spacing w:before="140" w:after="20"/>
      </w:pPr>
      <w:r>
        <w:t>6. Officials; Classification; No Employment Guarantee</w:t>
      </w:r>
    </w:p>
    <w:p>
      <w:pPr>
        <w:spacing w:after="60" w:line="247" w:lineRule="auto"/>
      </w:pPr>
      <w:r>
        <w:t>RTBO may recruit, contract with, assign, evaluate, replace, or reassign officials consistent with applicable law and governing-body requirements. The legal classification of any individual as an employee or independent contractor is determined by applicable law and the actual relationship, not solely by labels used in this Agreement. No minimum number of assignments, continued engagement, exclusivity, tenure, or employment benefit is promised unless expressly stated in a signed schedule.</w:t>
      </w:r>
    </w:p>
    <w:p>
      <w:pPr>
        <w:pStyle w:val="Heading1"/>
        <w:spacing w:before="140" w:after="20"/>
      </w:pPr>
      <w:r>
        <w:t>7. Safety, Sportsmanship, and Removal Authority</w:t>
      </w:r>
    </w:p>
    <w:p>
      <w:pPr>
        <w:spacing w:after="60" w:line="247" w:lineRule="auto"/>
      </w:pPr>
      <w:r>
        <w:t>RTBO may remove, replace, or decline to assign personnel when reasonably necessary for safety, integrity, credentialing, conduct, conflicts of interest, performance, fatigue, abuse-prevention, or governing-body compliance. The counterparty shall maintain safe facilities, appropriate security, emergency response, scorer and timer operations, and reasonable protection for officials entering, working at, and leaving the venue.</w:t>
      </w:r>
    </w:p>
    <w:p>
      <w:pPr>
        <w:pStyle w:val="Heading1"/>
        <w:spacing w:before="140" w:after="20"/>
      </w:pPr>
      <w:r>
        <w:t>8. Confidentiality; Privacy; Information Security</w:t>
      </w:r>
    </w:p>
    <w:p>
      <w:pPr>
        <w:spacing w:after="60" w:line="247" w:lineRule="auto"/>
      </w:pPr>
      <w:r>
        <w:t>Each recipient shall use Confidential Information only to perform this Agreement, restrict access to personnel with a need to know, and apply reasonable administrative, technical, and physical safeguards. Each party shall comply with applicable privacy, education-record, payment-card, and data-security requirements. A party discovering material unauthorized access, loss, or disclosure shall contain the incident, preserve evidence, and notify the data owner without unreasonable delay.</w:t>
      </w:r>
    </w:p>
    <w:p>
      <w:pPr>
        <w:pStyle w:val="Heading1"/>
        <w:spacing w:before="140" w:after="20"/>
      </w:pPr>
      <w:r>
        <w:t>9. Intellectual Property; Names; Logos; Publicity</w:t>
      </w:r>
    </w:p>
    <w:p>
      <w:pPr>
        <w:spacing w:after="60" w:line="247" w:lineRule="auto"/>
      </w:pPr>
      <w:r>
        <w:t>Each party retains ownership of its pre-existing intellectual property, systems, content, trade names, logos, marks, and know-how. No public use of the other party's name, logo, likeness, endorsement, photographs, audio, video, or proprietary materials is permitted except as expressly authorized in writing. Event-specific media, broadcast, social, sponsorship, and promotional rights must be stated in Schedule 1.</w:t>
      </w:r>
    </w:p>
    <w:p>
      <w:pPr>
        <w:pStyle w:val="Heading1"/>
        <w:spacing w:before="140" w:after="20"/>
      </w:pPr>
      <w:r>
        <w:t>10. Insurance and Evidence of Coverage</w:t>
      </w:r>
    </w:p>
    <w:p>
      <w:pPr>
        <w:spacing w:after="60" w:line="247" w:lineRule="auto"/>
      </w:pPr>
      <w:r>
        <w:t>Each party shall maintain insurance reasonably appropriate to its obligations and exposures, which may include commercial general liability, automobile liability, workers' compensation and employer's liability when legally required, professional liability, participant-accident, abuse/molestation, cyber, event cancellation, or umbrella coverage. Any required limits, additional-insured status, waivers of subrogation, or certificates shall be stated in Schedule 1.</w:t>
      </w:r>
    </w:p>
    <w:p>
      <w:pPr>
        <w:pStyle w:val="Heading1"/>
        <w:spacing w:before="140" w:after="20"/>
      </w:pPr>
      <w:r>
        <w:t>11. Indemnification</w:t>
      </w:r>
    </w:p>
    <w:p>
      <w:pPr>
        <w:spacing w:after="60" w:line="247" w:lineRule="auto"/>
      </w:pPr>
      <w:r>
        <w:t>To the fullest extent permitted by law, each party shall defend, indemnify, and hold harmless the other party and its directors, officers, employees, contractors, and agents from third-party claims, damages, judgments, penalties, and reasonable attorneys' fees to the extent caused by the indemnifying party's negligence, willful misconduct, breach of this Agreement, infringement, or violation of law. The indemnified party shall provide prompt notice and reasonable cooperation.</w:t>
      </w:r>
    </w:p>
    <w:p>
      <w:pPr>
        <w:pStyle w:val="Heading1"/>
        <w:spacing w:before="140" w:after="20"/>
      </w:pPr>
      <w:r>
        <w:t>12. Limitation of Liability</w:t>
      </w:r>
    </w:p>
    <w:p>
      <w:pPr>
        <w:spacing w:after="60" w:line="247" w:lineRule="auto"/>
      </w:pPr>
      <w:r>
        <w:t>Except for payment obligations, bodily injury or death, tangible property damage, fraud, willful misconduct, gross negligence, confidentiality or data-security breach, infringement, indemnification obligations, or liability that cannot legally be limited, neither party shall be liable to the other for consequential, incidental, special, exemplary, or punitive damages. Any negotiated aggregate liability cap must be expressly stated in Schedule 1; if no cap is stated, no contractual cap is created.</w:t>
      </w:r>
    </w:p>
    <w:p>
      <w:pPr>
        <w:pStyle w:val="Heading1"/>
        <w:spacing w:before="140" w:after="20"/>
      </w:pPr>
      <w:r>
        <w:t>13. Records; Taxes; Audit Support</w:t>
      </w:r>
    </w:p>
    <w:p>
      <w:pPr>
        <w:spacing w:after="60" w:line="247" w:lineRule="auto"/>
      </w:pPr>
      <w:r>
        <w:t>Each party shall maintain accurate records reasonably necessary to verify assignments, credentials, insurance, payments, incidents, changes, and performance for at least five years after final payment, or longer if required by law, audit, litigation hold, grant condition, or governing-body rule. Each party is responsible for taxes legally imposed on it and shall provide required tax forms.</w:t>
      </w:r>
    </w:p>
    <w:p>
      <w:pPr>
        <w:pStyle w:val="Heading1"/>
        <w:spacing w:before="140" w:after="20"/>
      </w:pPr>
      <w:r>
        <w:t>14. Suspension; Termination; Effect</w:t>
      </w:r>
    </w:p>
    <w:p>
      <w:pPr>
        <w:spacing w:after="60" w:line="247" w:lineRule="auto"/>
      </w:pPr>
      <w:r>
        <w:t>Either party may terminate for convenience on the notice period stated in Schedule 1. Either party may terminate for a material breach not cured within ten days after written notice, or immediately for illegality, fraud, violence, safeguarding concerns, loss of required license or insurance, insolvency, material data breach, or conduct creating a substantial safety or integrity risk. Earned and undisputed amounts remain payable, and provisions intended by their nature to survive shall survive.</w:t>
      </w:r>
    </w:p>
    <w:p>
      <w:pPr>
        <w:pStyle w:val="Heading1"/>
        <w:spacing w:before="140" w:after="20"/>
      </w:pPr>
      <w:r>
        <w:t>15. Force Majeure; Cancellation; Rescheduling</w:t>
      </w:r>
    </w:p>
    <w:p>
      <w:pPr>
        <w:spacing w:after="60" w:line="247" w:lineRule="auto"/>
      </w:pPr>
      <w:r>
        <w:t>Neither party is liable for delay or nonperformance caused by events beyond reasonable control, including severe weather, natural disaster, epidemic, labor disruption, government action, venue closure, utility or communications failure, transportation emergency, team withdrawal, or governing-body cancellation. The affected party shall promptly notify the other and mitigate. Event-specific cancellation, postponement, travel, minimum-fee, and rescheduling terms are governed by Schedule 1.</w:t>
      </w:r>
    </w:p>
    <w:p>
      <w:pPr>
        <w:pStyle w:val="Heading1"/>
        <w:spacing w:before="140" w:after="20"/>
      </w:pPr>
      <w:r>
        <w:t>16. Dispute Resolution; Governing Law</w:t>
      </w:r>
    </w:p>
    <w:p>
      <w:pPr>
        <w:spacing w:after="60" w:line="247" w:lineRule="auto"/>
      </w:pPr>
      <w:r>
        <w:t>The parties shall first attempt good-faith executive negotiation and then nonbinding mediation unless a public-entity restriction or applicable law requires another process. Governing law, venue, and any agreed forum are stated in Schedule 1. If Schedule 1 is silent, Arkansas law governs without regard to conflict-of-law rules, and any court action shall be brought in a court of competent jurisdiction in Pulaski County, Arkansas, except where mandatory law requires otherwise. EACH PARTY KNOWINGLY WAIVES TRIAL BY JURY TO THE EXTENT PERMITTED BY LAW.</w:t>
      </w:r>
    </w:p>
    <w:p>
      <w:pPr>
        <w:pStyle w:val="Heading1"/>
        <w:spacing w:before="140" w:after="20"/>
      </w:pPr>
      <w:r>
        <w:t>17. Notices</w:t>
      </w:r>
    </w:p>
    <w:p>
      <w:pPr>
        <w:spacing w:after="60" w:line="247" w:lineRule="auto"/>
      </w:pPr>
      <w:r>
        <w:t>Formal notices must be in writing and delivered by personal delivery, nationally recognized overnight courier, certified United States mail, or email with confirmation of receipt to the notice addresses stated in Schedule 1. A party shall promptly update its notice information.</w:t>
      </w:r>
    </w:p>
    <w:p>
      <w:pPr>
        <w:pStyle w:val="Heading1"/>
        <w:spacing w:before="140" w:after="20"/>
      </w:pPr>
      <w:r>
        <w:t>18. General Terms; Counterparts; Electronic Signatures</w:t>
      </w:r>
    </w:p>
    <w:p>
      <w:pPr>
        <w:spacing w:after="60" w:line="247" w:lineRule="auto"/>
      </w:pPr>
      <w:r>
        <w:t>This Agreement, including its signed schedules and incorporated attachments, is the entire agreement concerning its subject matter and supersedes prior discussions. Amendments and waivers must be in a writing signed by authorized representatives. Invalid provisions shall be narrowed or severed while the remainder remains effective. No waiver is continuing. Counterparts and electronic records and signatures may be used and shall have effect to the extent permitted by applicable law.</w:t>
      </w:r>
    </w:p>
    <w:p>
      <w:pPr>
        <w:pStyle w:val="Heading1"/>
      </w:pPr>
      <w:r>
        <w:t>SCHEDULE 1 - BUSINESS, EVENT, AND SERVICE TERMS</w:t>
      </w:r>
    </w:p>
    <w:tbl>
      <w:tblPr>
        <w:tblStyle w:val="TableGrid"/>
        <w:tblW w:type="auto" w:w="0"/>
        <w:jc w:val="center"/>
        <w:tblLook w:firstColumn="1" w:firstRow="1" w:lastColumn="0" w:lastRow="0" w:noHBand="0" w:noVBand="1" w:val="04A0"/>
      </w:tblPr>
      <w:tblGrid>
        <w:gridCol w:w="5040"/>
        <w:gridCol w:w="5040"/>
      </w:tblGrid>
      <w:tr>
        <w:tc>
          <w:tcPr>
            <w:tcW w:type="dxa" w:w="5040"/>
            <w:shd w:fill="111111"/>
          </w:tcPr>
          <w:p>
            <w:r>
              <w:rPr>
                <w:b/>
                <w:color w:val="FFFFFF"/>
              </w:rPr>
              <w:t>Term</w:t>
            </w:r>
          </w:p>
        </w:tc>
        <w:tc>
          <w:tcPr>
            <w:tcW w:type="dxa" w:w="5040"/>
            <w:shd w:fill="111111"/>
          </w:tcPr>
          <w:p>
            <w:r>
              <w:rPr>
                <w:b/>
                <w:color w:val="FFFFFF"/>
              </w:rPr>
              <w:t>Agreed Information</w:t>
            </w:r>
          </w:p>
        </w:tc>
      </w:tr>
      <w:tr>
        <w:tc>
          <w:tcPr>
            <w:tcW w:type="dxa" w:w="5040"/>
            <w:tcMar>
              <w:top w:w="60" w:type="dxa"/>
              <w:start w:w="60" w:type="dxa"/>
              <w:bottom w:w="60" w:type="dxa"/>
              <w:end w:w="60" w:type="dxa"/>
            </w:tcMar>
          </w:tcPr>
          <w:p>
            <w:r>
              <w:t>Effective Date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Counterparty Legal Name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Counterparty Address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Primary Contact / Email / Phone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Sport / Governing Body</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Service Dates / Event Dates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Venue(s)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Games / Courts / Divisions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Crew System / Crew Size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Officiating Fees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Assigning / Administration Fees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Deposit / Funding Deadline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Travel / Lodging / Per Diem</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Cancellation / Weather Terms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Insurance Requirements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Governing Law / Venue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Notice Address for RTBO</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Notice Address for Counterparty</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Special Terms / Exhibits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Preseason Rule Modifications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Evaluation / Observer Services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Film / Training Rights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Crew Development Objectives</w:t>
            </w:r>
          </w:p>
        </w:tc>
        <w:tc>
          <w:tcPr>
            <w:tcW w:type="dxa" w:w="5040"/>
            <w:tcMar>
              <w:top w:w="60" w:type="dxa"/>
              <w:start w:w="60" w:type="dxa"/>
              <w:bottom w:w="60" w:type="dxa"/>
              <w:end w:w="60" w:type="dxa"/>
            </w:tcMar>
          </w:tcPr>
          <w:p>
            <w:r/>
          </w:p>
        </w:tc>
      </w:tr>
    </w:tbl>
    <w:p/>
    <w:p>
      <w:pPr>
        <w:pStyle w:val="Heading1"/>
      </w:pPr>
      <w:r>
        <w:t>SIGNATURES</w:t>
      </w:r>
    </w:p>
    <w:p>
      <w:r>
        <w:t>The authorized signatories execute this Agreement as of the Effective Date. Each signer represents and warrants that the signer has authority to bind the identified party.</w:t>
      </w:r>
    </w:p>
    <w:tbl>
      <w:tblPr>
        <w:tblStyle w:val="TableGrid"/>
        <w:tblW w:type="auto" w:w="0"/>
        <w:jc w:val="center"/>
        <w:tblLook w:firstColumn="1" w:firstRow="1" w:lastColumn="0" w:lastRow="0" w:noHBand="0" w:noVBand="1" w:val="04A0"/>
      </w:tblPr>
      <w:tblGrid>
        <w:gridCol w:w="5040"/>
        <w:gridCol w:w="5040"/>
      </w:tblGrid>
      <w:tr>
        <w:tc>
          <w:tcPr>
            <w:tcW w:type="dxa" w:w="5040"/>
            <w:tcMar>
              <w:top w:w="75" w:type="dxa"/>
              <w:start w:w="75" w:type="dxa"/>
              <w:bottom w:w="75" w:type="dxa"/>
              <w:end w:w="75" w:type="dxa"/>
            </w:tcMar>
          </w:tcPr>
          <w:p>
            <w:r>
              <w:t>RTBO - Legal Entity</w:t>
            </w:r>
          </w:p>
        </w:tc>
        <w:tc>
          <w:tcPr>
            <w:tcW w:type="dxa" w:w="5040"/>
            <w:tcMar>
              <w:top w:w="75" w:type="dxa"/>
              <w:start w:w="75" w:type="dxa"/>
              <w:bottom w:w="75" w:type="dxa"/>
              <w:end w:w="75" w:type="dxa"/>
            </w:tcMar>
          </w:tcPr>
          <w:p>
            <w:r>
              <w:t>Counterparty - Legal Entity</w:t>
            </w:r>
          </w:p>
        </w:tc>
      </w:tr>
      <w:tr>
        <w:tc>
          <w:tcPr>
            <w:tcW w:type="dxa" w:w="5040"/>
            <w:tcMar>
              <w:top w:w="75" w:type="dxa"/>
              <w:start w:w="75" w:type="dxa"/>
              <w:bottom w:w="75" w:type="dxa"/>
              <w:end w:w="75" w:type="dxa"/>
            </w:tcMar>
          </w:tcPr>
          <w:p>
            <w:r>
              <w:t>RTBO - Authorized Signer</w:t>
            </w:r>
          </w:p>
        </w:tc>
        <w:tc>
          <w:tcPr>
            <w:tcW w:type="dxa" w:w="5040"/>
            <w:tcMar>
              <w:top w:w="75" w:type="dxa"/>
              <w:start w:w="75" w:type="dxa"/>
              <w:bottom w:w="75" w:type="dxa"/>
              <w:end w:w="75" w:type="dxa"/>
            </w:tcMar>
          </w:tcPr>
          <w:p>
            <w:r>
              <w:t>Counterparty - Authorized Signer</w:t>
            </w:r>
          </w:p>
        </w:tc>
      </w:tr>
      <w:tr>
        <w:tc>
          <w:tcPr>
            <w:tcW w:type="dxa" w:w="5040"/>
            <w:tcMar>
              <w:top w:w="75" w:type="dxa"/>
              <w:start w:w="75" w:type="dxa"/>
              <w:bottom w:w="75" w:type="dxa"/>
              <w:end w:w="75" w:type="dxa"/>
            </w:tcMar>
          </w:tcPr>
          <w:p>
            <w:r>
              <w:t>RTBO - Title</w:t>
            </w:r>
          </w:p>
        </w:tc>
        <w:tc>
          <w:tcPr>
            <w:tcW w:type="dxa" w:w="5040"/>
            <w:tcMar>
              <w:top w:w="75" w:type="dxa"/>
              <w:start w:w="75" w:type="dxa"/>
              <w:bottom w:w="75" w:type="dxa"/>
              <w:end w:w="75" w:type="dxa"/>
            </w:tcMar>
          </w:tcPr>
          <w:p>
            <w:r>
              <w:t>Counterparty - Title</w:t>
            </w:r>
          </w:p>
        </w:tc>
      </w:tr>
      <w:tr>
        <w:tc>
          <w:tcPr>
            <w:tcW w:type="dxa" w:w="5040"/>
            <w:tcMar>
              <w:top w:w="75" w:type="dxa"/>
              <w:start w:w="75" w:type="dxa"/>
              <w:bottom w:w="75" w:type="dxa"/>
              <w:end w:w="75" w:type="dxa"/>
            </w:tcMar>
          </w:tcPr>
          <w:p>
            <w:r>
              <w:t>RTBO - Signature</w:t>
            </w:r>
          </w:p>
        </w:tc>
        <w:tc>
          <w:tcPr>
            <w:tcW w:type="dxa" w:w="5040"/>
            <w:tcMar>
              <w:top w:w="75" w:type="dxa"/>
              <w:start w:w="75" w:type="dxa"/>
              <w:bottom w:w="75" w:type="dxa"/>
              <w:end w:w="75" w:type="dxa"/>
            </w:tcMar>
          </w:tcPr>
          <w:p>
            <w:r>
              <w:t>Counterparty - Signature</w:t>
            </w:r>
          </w:p>
        </w:tc>
      </w:tr>
      <w:tr>
        <w:tc>
          <w:tcPr>
            <w:tcW w:type="dxa" w:w="5040"/>
            <w:tcMar>
              <w:top w:w="75" w:type="dxa"/>
              <w:start w:w="75" w:type="dxa"/>
              <w:bottom w:w="75" w:type="dxa"/>
              <w:end w:w="75" w:type="dxa"/>
            </w:tcMar>
          </w:tcPr>
          <w:p>
            <w:r>
              <w:t>RTBO - Date</w:t>
            </w:r>
          </w:p>
        </w:tc>
        <w:tc>
          <w:tcPr>
            <w:tcW w:type="dxa" w:w="5040"/>
            <w:tcMar>
              <w:top w:w="75" w:type="dxa"/>
              <w:start w:w="75" w:type="dxa"/>
              <w:bottom w:w="75" w:type="dxa"/>
              <w:end w:w="75" w:type="dxa"/>
            </w:tcMar>
          </w:tcPr>
          <w:p>
            <w:r>
              <w:t>Counterparty - Date</w:t>
            </w:r>
          </w:p>
        </w:tc>
      </w:tr>
      <w:tr>
        <w:tc>
          <w:tcPr>
            <w:tcW w:type="dxa" w:w="5040"/>
            <w:tcMar>
              <w:top w:w="75" w:type="dxa"/>
              <w:start w:w="75" w:type="dxa"/>
              <w:bottom w:w="75" w:type="dxa"/>
              <w:end w:w="75" w:type="dxa"/>
            </w:tcMar>
          </w:tcPr>
          <w:p>
            <w:r>
              <w:t>RTBO - Email</w:t>
            </w:r>
          </w:p>
        </w:tc>
        <w:tc>
          <w:tcPr>
            <w:tcW w:type="dxa" w:w="5040"/>
            <w:tcMar>
              <w:top w:w="75" w:type="dxa"/>
              <w:start w:w="75" w:type="dxa"/>
              <w:bottom w:w="75" w:type="dxa"/>
              <w:end w:w="75" w:type="dxa"/>
            </w:tcMar>
          </w:tcPr>
          <w:p>
            <w:r>
              <w:t>Counterparty - Email</w:t>
            </w:r>
          </w:p>
        </w:tc>
      </w:tr>
    </w:tbl>
    <w:sectPr w:rsidR="00FC693F" w:rsidRPr="0006063C" w:rsidSect="00034616">
      <w:headerReference w:type="first" r:id="rId9"/>
      <w:pgSz w:w="12240" w:h="15840"/>
      <w:pgMar w:top="1267" w:right="1080" w:bottom="1008" w:left="1080"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