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Luật Viên chức 129/2025/QH15</w:t>
      </w:r>
    </w:p>
    <w:p>
      <w:pPr>
        <w:pStyle w:val="Heading1"/>
        <w:pBdr>
          <w:bottom w:val="single" w:color="4F46E5" w:sz="1"/>
        </w:pBdr>
        <w:spacing w:after="200" w:before="200"/>
      </w:pPr>
      <w:r>
        <w:t xml:space="preserve">THÔNG TIN VĂN BẢN</w:t>
      </w:r>
    </w:p>
    <w:p>
      <w:pPr>
        <w:spacing w:after="80"/>
      </w:pPr>
      <w:r>
        <w:rPr>
          <w:rFonts w:ascii="Roboto" w:cs="Roboto" w:eastAsia="Roboto" w:hAnsi="Roboto"/>
          <w:b/>
          <w:bCs/>
          <w:sz w:val="22"/>
          <w:szCs w:val="22"/>
        </w:rPr>
        <w:t xml:space="preserve">Số hiệu: </w:t>
      </w:r>
      <w:r>
        <w:rPr>
          <w:rFonts w:ascii="Roboto" w:cs="Roboto" w:eastAsia="Roboto" w:hAnsi="Roboto"/>
          <w:sz w:val="22"/>
          <w:szCs w:val="22"/>
        </w:rPr>
        <w:t xml:space="preserve">129/2025/QH15</w:t>
      </w:r>
    </w:p>
    <w:p>
      <w:pPr>
        <w:spacing w:after="80"/>
      </w:pPr>
      <w:r>
        <w:rPr>
          <w:rFonts w:ascii="Roboto" w:cs="Roboto" w:eastAsia="Roboto" w:hAnsi="Roboto"/>
          <w:b/>
          <w:bCs/>
          <w:sz w:val="22"/>
          <w:szCs w:val="22"/>
        </w:rPr>
        <w:t xml:space="preserve">Loại văn bản: </w:t>
      </w:r>
      <w:r>
        <w:rPr>
          <w:rFonts w:ascii="Roboto" w:cs="Roboto" w:eastAsia="Roboto" w:hAnsi="Roboto"/>
          <w:sz w:val="22"/>
          <w:szCs w:val="22"/>
        </w:rPr>
        <w:t xml:space="preserve">Luật</w:t>
      </w:r>
    </w:p>
    <w:p>
      <w:pPr>
        <w:spacing w:after="80"/>
      </w:pPr>
      <w:r>
        <w:rPr>
          <w:rFonts w:ascii="Roboto" w:cs="Roboto" w:eastAsia="Roboto" w:hAnsi="Roboto"/>
          <w:b/>
          <w:bCs/>
          <w:sz w:val="22"/>
          <w:szCs w:val="22"/>
        </w:rPr>
        <w:t xml:space="preserve">Ngày ban hành: </w:t>
      </w:r>
      <w:r>
        <w:rPr>
          <w:rFonts w:ascii="Roboto" w:cs="Roboto" w:eastAsia="Roboto" w:hAnsi="Roboto"/>
          <w:sz w:val="22"/>
          <w:szCs w:val="22"/>
        </w:rPr>
        <w:t xml:space="preserve">10/12/2025</w:t>
      </w:r>
    </w:p>
    <w:p>
      <w:pPr>
        <w:spacing w:after="80"/>
      </w:pPr>
      <w:r>
        <w:rPr>
          <w:rFonts w:ascii="Roboto" w:cs="Roboto" w:eastAsia="Roboto" w:hAnsi="Roboto"/>
          <w:b/>
          <w:bCs/>
          <w:sz w:val="22"/>
          <w:szCs w:val="22"/>
        </w:rPr>
        <w:t xml:space="preserve">Ngày hiệu lực: </w:t>
      </w:r>
      <w:r>
        <w:rPr>
          <w:rFonts w:ascii="Roboto" w:cs="Roboto" w:eastAsia="Roboto" w:hAnsi="Roboto"/>
          <w:sz w:val="22"/>
          <w:szCs w:val="22"/>
        </w:rPr>
        <w:t xml:space="preserve">01/7/2026</w:t>
      </w:r>
    </w:p>
    <w:p>
      <w:pPr>
        <w:spacing w:after="80"/>
      </w:pPr>
      <w:r>
        <w:rPr>
          <w:rFonts w:ascii="Roboto" w:cs="Roboto" w:eastAsia="Roboto" w:hAnsi="Roboto"/>
          <w:b/>
          <w:bCs/>
          <w:sz w:val="22"/>
          <w:szCs w:val="22"/>
        </w:rPr>
        <w:t xml:space="preserve">Cơ quan ban hành: </w:t>
      </w:r>
      <w:r>
        <w:rPr>
          <w:rFonts w:ascii="Roboto" w:cs="Roboto" w:eastAsia="Roboto" w:hAnsi="Roboto"/>
          <w:sz w:val="22"/>
          <w:szCs w:val="22"/>
        </w:rPr>
        <w:t xml:space="preserve">Quốc hội khóa XV</w:t>
      </w:r>
    </w:p>
    <w:p>
      <w:pPr>
        <w:spacing w:after="80"/>
      </w:pPr>
      <w:r>
        <w:rPr>
          <w:rFonts w:ascii="Roboto" w:cs="Roboto" w:eastAsia="Roboto" w:hAnsi="Roboto"/>
          <w:b/>
          <w:bCs/>
          <w:sz w:val="22"/>
          <w:szCs w:val="22"/>
        </w:rPr>
        <w:t xml:space="preserve">Thay thế: </w:t>
      </w:r>
      <w:r>
        <w:rPr>
          <w:rFonts w:ascii="Roboto" w:cs="Roboto" w:eastAsia="Roboto" w:hAnsi="Roboto"/>
          <w:sz w:val="22"/>
          <w:szCs w:val="22"/>
        </w:rPr>
        <w:t xml:space="preserve">Luật Viên chức 2010 (sửa đổi 2019)</w:t>
      </w:r>
    </w:p>
    <w:p>
      <w:pPr>
        <w:spacing w:after="200"/>
      </w:pPr>
    </w:p>
    <w:p>
      <w:pPr>
        <w:pStyle w:val="Heading1"/>
        <w:pBdr>
          <w:bottom w:val="single" w:color="4F46E5" w:sz="1"/>
        </w:pBdr>
        <w:spacing w:after="200" w:before="200"/>
      </w:pPr>
      <w:r>
        <w:t xml:space="preserve">NỘI DUNG TRỌNG TÂM</w:t>
      </w:r>
    </w:p>
    <w:p>
      <w:pPr>
        <w:pStyle w:val="Heading2"/>
        <w:spacing w:after="120" w:before="240"/>
      </w:pPr>
      <w:r>
        <w:t xml:space="preserve">Định nghĩa viên chức (Điều 1)</w:t>
      </w:r>
    </w:p>
    <w:p>
      <w:pPr>
        <w:spacing w:after="60"/>
      </w:pPr>
      <w:r>
        <w:rPr>
          <w:rFonts w:ascii="Roboto" w:cs="Roboto" w:eastAsia="Roboto" w:hAnsi="Roboto"/>
          <w:b w:val="false"/>
          <w:bCs w:val="false"/>
          <w:sz w:val="22"/>
          <w:szCs w:val="22"/>
        </w:rPr>
        <w:t xml:space="preserve">Viên chức là công dân Việt Nam được tuyển dụng theo vị trí việc làm, làm việc tại đơn vị sự nghiệp công lập theo hợp đồng làm việc, hưởng lương từ quỹ lương của đơn vị.</w:t>
      </w:r>
    </w:p>
    <w:p>
      <w:pPr>
        <w:spacing w:after="60"/>
      </w:pPr>
      <w:r>
        <w:rPr>
          <w:rFonts w:ascii="Roboto" w:cs="Roboto" w:eastAsia="Roboto" w:hAnsi="Roboto"/>
          <w:b/>
          <w:bCs/>
          <w:sz w:val="22"/>
          <w:szCs w:val="22"/>
        </w:rPr>
        <w:t xml:space="preserve">Phân biệt với công chức: công chức làm việc trong cơ quan hành chính nhà nước theo quyết định bổ nhiệm, còn viên chức làm việc tại đơn vị sự nghiệp công lập theo hợp đồng làm việc.</w:t>
      </w:r>
    </w:p>
    <w:p>
      <w:pPr>
        <w:spacing w:after="60"/>
      </w:pPr>
      <w:r>
        <w:rPr>
          <w:rFonts w:ascii="Roboto" w:cs="Roboto" w:eastAsia="Roboto" w:hAnsi="Roboto"/>
          <w:b w:val="false"/>
          <w:bCs w:val="false"/>
          <w:sz w:val="22"/>
          <w:szCs w:val="22"/>
        </w:rPr>
        <w:t xml:space="preserve">Đơn vị sự nghiệp công lập (ĐVSNCL) là tổ chức do cơ quan có thẩm quyền của Nhà nước thành lập, cung cấp dịch vụ sự nghiệp công (giáo dục, y tế, khoa học, văn hóa...).</w:t>
      </w:r>
    </w:p>
    <w:p>
      <w:pPr>
        <w:pStyle w:val="Heading2"/>
        <w:spacing w:after="120" w:before="240"/>
      </w:pPr>
      <w:r>
        <w:t xml:space="preserve">Nguyên tắc hoạt động nghề nghiệp (Điều 2)</w:t>
      </w:r>
    </w:p>
    <w:p>
      <w:pPr>
        <w:spacing w:after="60"/>
      </w:pPr>
      <w:r>
        <w:rPr>
          <w:rFonts w:ascii="Roboto" w:cs="Roboto" w:eastAsia="Roboto" w:hAnsi="Roboto"/>
          <w:b w:val="false"/>
          <w:bCs w:val="false"/>
          <w:sz w:val="22"/>
          <w:szCs w:val="22"/>
        </w:rPr>
        <w:t xml:space="preserve">Viên chức phải tuân thủ pháp luật, đạo đức nghề nghiệp, quy tắc ứng xử và quy chế của đơn vị.</w:t>
      </w:r>
    </w:p>
    <w:p>
      <w:pPr>
        <w:spacing w:after="60"/>
      </w:pPr>
      <w:r>
        <w:rPr>
          <w:rFonts w:ascii="Roboto" w:cs="Roboto" w:eastAsia="Roboto" w:hAnsi="Roboto"/>
          <w:b w:val="false"/>
          <w:bCs w:val="false"/>
          <w:sz w:val="22"/>
          <w:szCs w:val="22"/>
        </w:rPr>
        <w:t xml:space="preserve">Hoạt động nghề nghiệp phải bảo đảm tính chuyên nghiệp, trách nhiệm, minh bạch và hiệu quả.</w:t>
      </w:r>
    </w:p>
    <w:p>
      <w:pPr>
        <w:spacing w:after="60"/>
      </w:pPr>
      <w:r>
        <w:rPr>
          <w:rFonts w:ascii="Roboto" w:cs="Roboto" w:eastAsia="Roboto" w:hAnsi="Roboto"/>
          <w:b/>
          <w:bCs/>
          <w:sz w:val="22"/>
          <w:szCs w:val="22"/>
        </w:rPr>
        <w:t xml:space="preserve">Nguyên tắc quản lý: bảo đảm cấp quản lý trực tiếp, phân công, phân cấp rõ ràng; kết hợp giữa phân cấp và tập trung.</w:t>
      </w:r>
    </w:p>
    <w:p>
      <w:pPr>
        <w:pStyle w:val="Heading2"/>
        <w:spacing w:after="120" w:before="240"/>
      </w:pPr>
      <w:r>
        <w:t xml:space="preserve">Quyền và nghĩa vụ của viên chức</w:t>
      </w:r>
    </w:p>
    <w:p>
      <w:pPr>
        <w:spacing w:after="60"/>
      </w:pPr>
      <w:r>
        <w:rPr>
          <w:rFonts w:ascii="Roboto" w:cs="Roboto" w:eastAsia="Roboto" w:hAnsi="Roboto"/>
          <w:b/>
          <w:bCs/>
          <w:sz w:val="22"/>
          <w:szCs w:val="22"/>
        </w:rPr>
        <w:t xml:space="preserve">Quyền: được bảo đảm điều kiện làm việc; được đào tạo, bồi dưỡng nâng cao trình độ; được hưởng lương, phụ cấp theo vị trí việc làm; được nghỉ ngơi, bảo hiểm xã hội.</w:t>
      </w:r>
    </w:p>
    <w:p>
      <w:pPr>
        <w:spacing w:after="60"/>
      </w:pPr>
      <w:r>
        <w:rPr>
          <w:rFonts w:ascii="Roboto" w:cs="Roboto" w:eastAsia="Roboto" w:hAnsi="Roboto"/>
          <w:b/>
          <w:bCs/>
          <w:sz w:val="22"/>
          <w:szCs w:val="22"/>
        </w:rPr>
        <w:t xml:space="preserve">Nghĩa vụ: chấp hành đường lối, chủ trương, chính sách của Đảng và pháp luật của Nhà nước; thực hiện đúng chức trách, nhiệm vụ được giao; bảo vệ bí mật nhà nước.</w:t>
      </w:r>
    </w:p>
    <w:p>
      <w:pPr>
        <w:spacing w:after="60"/>
      </w:pPr>
      <w:r>
        <w:rPr>
          <w:rFonts w:ascii="Roboto" w:cs="Roboto" w:eastAsia="Roboto" w:hAnsi="Roboto"/>
          <w:b w:val="false"/>
          <w:bCs w:val="false"/>
          <w:sz w:val="22"/>
          <w:szCs w:val="22"/>
        </w:rPr>
        <w:t xml:space="preserve">Viên chức phải thực hiện nghĩa vụ chung (trung thành với Nhà nước, phục vụ Nhân dân) và nghĩa vụ riêng theo vị trí việc làm.</w:t>
      </w:r>
    </w:p>
    <w:p>
      <w:pPr>
        <w:pStyle w:val="Heading2"/>
        <w:spacing w:after="120" w:before="240"/>
      </w:pPr>
      <w:r>
        <w:t xml:space="preserve">Những việc viên chức không được làm</w:t>
      </w:r>
    </w:p>
    <w:p>
      <w:pPr>
        <w:spacing w:after="60"/>
      </w:pPr>
      <w:r>
        <w:rPr>
          <w:rFonts w:ascii="Roboto" w:cs="Roboto" w:eastAsia="Roboto" w:hAnsi="Roboto"/>
          <w:b w:val="false"/>
          <w:bCs w:val="false"/>
          <w:sz w:val="22"/>
          <w:szCs w:val="22"/>
        </w:rPr>
        <w:t xml:space="preserve">Trốn tránh trách nhiệm, thiếu tinh thần trách nhiệm trong thực hiện nhiệm vụ.</w:t>
      </w:r>
    </w:p>
    <w:p>
      <w:pPr>
        <w:spacing w:after="60"/>
      </w:pPr>
      <w:r>
        <w:rPr>
          <w:rFonts w:ascii="Roboto" w:cs="Roboto" w:eastAsia="Roboto" w:hAnsi="Roboto"/>
          <w:b w:val="false"/>
          <w:bCs w:val="false"/>
          <w:sz w:val="22"/>
          <w:szCs w:val="22"/>
        </w:rPr>
        <w:t xml:space="preserve">Lợi dụng chức vụ, quyền hạn để trục lợi cá nhân hoặc vi phạm pháp luật.</w:t>
      </w:r>
    </w:p>
    <w:p>
      <w:pPr>
        <w:spacing w:after="60"/>
      </w:pPr>
      <w:r>
        <w:rPr>
          <w:rFonts w:ascii="Roboto" w:cs="Roboto" w:eastAsia="Roboto" w:hAnsi="Roboto"/>
          <w:b w:val="false"/>
          <w:bCs w:val="false"/>
          <w:sz w:val="22"/>
          <w:szCs w:val="22"/>
        </w:rPr>
        <w:t xml:space="preserve">Phân biệt đối xử, gây mất đoàn kết trong cơ quan, đơn vị.</w:t>
      </w:r>
    </w:p>
    <w:p>
      <w:pPr>
        <w:spacing w:after="60"/>
      </w:pPr>
      <w:r>
        <w:rPr>
          <w:rFonts w:ascii="Roboto" w:cs="Roboto" w:eastAsia="Roboto" w:hAnsi="Roboto"/>
          <w:b w:val="false"/>
          <w:bCs w:val="false"/>
          <w:sz w:val="22"/>
          <w:szCs w:val="22"/>
        </w:rPr>
        <w:t xml:space="preserve">Lạm dụng thời gian công để làm việc riêng; tiết lộ thông tin bí mật nhà nước.</w:t>
      </w:r>
    </w:p>
    <w:p>
      <w:pPr>
        <w:spacing w:after="60"/>
      </w:pPr>
      <w:r>
        <w:rPr>
          <w:rFonts w:ascii="Roboto" w:cs="Roboto" w:eastAsia="Roboto" w:hAnsi="Roboto"/>
          <w:b w:val="false"/>
          <w:bCs w:val="false"/>
          <w:sz w:val="22"/>
          <w:szCs w:val="22"/>
        </w:rPr>
        <w:t xml:space="preserve">Tham gia các hoạt động trái pháp luật: đánh bạc, buôn lậu, tham nhũng, chống phá Nhà nước.</w:t>
      </w:r>
    </w:p>
    <w:p>
      <w:pPr>
        <w:spacing w:after="60"/>
      </w:pPr>
      <w:r>
        <w:rPr>
          <w:rFonts w:ascii="Roboto" w:cs="Roboto" w:eastAsia="Roboto" w:hAnsi="Roboto"/>
          <w:b w:val="false"/>
          <w:bCs w:val="false"/>
          <w:sz w:val="22"/>
          <w:szCs w:val="22"/>
        </w:rPr>
        <w:t xml:space="preserve">Mẹo nhớ: nhóm 'không được làm' xoay quanh 4 trục — tham nhũng/lợi dụng, thiếu trách nhiệm, tiết lộ bí mật, gây mất đoàn kết.</w:t>
      </w:r>
    </w:p>
    <w:p>
      <w:pPr>
        <w:pStyle w:val="Heading2"/>
        <w:spacing w:after="120" w:before="240"/>
      </w:pPr>
      <w:r>
        <w:t xml:space="preserve">Hợp đồng làm việc (HĐLV)</w:t>
      </w:r>
    </w:p>
    <w:p>
      <w:pPr>
        <w:spacing w:after="60"/>
      </w:pPr>
      <w:r>
        <w:rPr>
          <w:rFonts w:ascii="Roboto" w:cs="Roboto" w:eastAsia="Roboto" w:hAnsi="Roboto"/>
          <w:b w:val="false"/>
          <w:bCs w:val="false"/>
          <w:sz w:val="22"/>
          <w:szCs w:val="22"/>
        </w:rPr>
        <w:t xml:space="preserve">HĐLV phải được lập bằng văn bản, gồm: loại HĐ, vị trí việc làm, thời hạn, địa điểm, thời giờ làm việc, tiền lương, quyền và nghĩa vụ các bên.</w:t>
      </w:r>
    </w:p>
    <w:p>
      <w:pPr>
        <w:spacing w:after="60"/>
      </w:pPr>
      <w:r>
        <w:rPr>
          <w:rFonts w:ascii="Roboto" w:cs="Roboto" w:eastAsia="Roboto" w:hAnsi="Roboto"/>
          <w:b/>
          <w:bCs/>
          <w:sz w:val="22"/>
          <w:szCs w:val="22"/>
        </w:rPr>
        <w:t xml:space="preserve">Các loại HĐ: (1) HĐLV không xác định thời hạn; (2) HĐLV xác định thời hạn (tối đa 60 tháng); (3) HĐLV theo mùa vụ hoặc công việc nhất định (tối đa 12 tháng).</w:t>
      </w:r>
    </w:p>
    <w:p>
      <w:pPr>
        <w:spacing w:after="60"/>
      </w:pPr>
      <w:r>
        <w:rPr>
          <w:rFonts w:ascii="Roboto" w:cs="Roboto" w:eastAsia="Roboto" w:hAnsi="Roboto"/>
          <w:b w:val="false"/>
          <w:bCs w:val="false"/>
          <w:sz w:val="22"/>
          <w:szCs w:val="22"/>
        </w:rPr>
        <w:t xml:space="preserve">Sau thời gian tập sự, viên chức được ký HĐLV xác định thời hạn hoặc không xác định thời hạn.</w:t>
      </w:r>
    </w:p>
    <w:p>
      <w:pPr>
        <w:spacing w:after="60"/>
      </w:pPr>
      <w:r>
        <w:rPr>
          <w:rFonts w:ascii="Roboto" w:cs="Roboto" w:eastAsia="Roboto" w:hAnsi="Roboto"/>
          <w:b/>
          <w:bCs/>
          <w:sz w:val="22"/>
          <w:szCs w:val="22"/>
        </w:rPr>
        <w:t xml:space="preserve">Đơn phương chấm dứt HĐLV: viên chức phải báo trước ít nhất 45 ngày (HĐ không xác định thời hạn) hoặc 30 ngày (HĐ xác định thời hạn).</w:t>
      </w:r>
    </w:p>
    <w:p>
      <w:pPr>
        <w:pStyle w:val="Heading2"/>
        <w:spacing w:after="120" w:before="240"/>
      </w:pPr>
      <w:r>
        <w:t xml:space="preserve">Đánh giá, xếp loại viên chức</w:t>
      </w:r>
    </w:p>
    <w:p>
      <w:pPr>
        <w:spacing w:after="60"/>
      </w:pPr>
      <w:r>
        <w:rPr>
          <w:rFonts w:ascii="Roboto" w:cs="Roboto" w:eastAsia="Roboto" w:hAnsi="Roboto"/>
          <w:b w:val="false"/>
          <w:bCs w:val="false"/>
          <w:sz w:val="22"/>
          <w:szCs w:val="22"/>
        </w:rPr>
        <w:t xml:space="preserve">Viên chức được đánh giá hàng năm dựa trên: phẩm chất chính trị, đạo đức; kết quả công việc; tinh thần trách nhiệm; thái độ phục vụ.</w:t>
      </w:r>
    </w:p>
    <w:p>
      <w:pPr>
        <w:spacing w:after="60"/>
      </w:pPr>
      <w:r>
        <w:rPr>
          <w:rFonts w:ascii="Roboto" w:cs="Roboto" w:eastAsia="Roboto" w:hAnsi="Roboto"/>
          <w:b/>
          <w:bCs/>
          <w:sz w:val="22"/>
          <w:szCs w:val="22"/>
        </w:rPr>
        <w:t xml:space="preserve">Xếp loại: hoàn thành xuất sắc nhiệm vụ; hoàn thành tốt nhiệm vụ; hoàn thành nhiệm vụ; không hoàn thành nhiệm vụ.</w:t>
      </w:r>
    </w:p>
    <w:p>
      <w:pPr>
        <w:spacing w:after="60"/>
      </w:pPr>
      <w:r>
        <w:rPr>
          <w:rFonts w:ascii="Roboto" w:cs="Roboto" w:eastAsia="Roboto" w:hAnsi="Roboto"/>
          <w:b w:val="false"/>
          <w:bCs w:val="false"/>
          <w:sz w:val="22"/>
          <w:szCs w:val="22"/>
        </w:rPr>
        <w:t xml:space="preserve">Viên chức 2 năm liên tiếp không hoàn thành nhiệm vụ thì người đứng đầu đơn vị được quyền đơn phương chấm dứt HĐLV.</w:t>
      </w:r>
    </w:p>
    <w:p>
      <w:pPr>
        <w:pStyle w:val="Heading2"/>
        <w:spacing w:after="120" w:before="240"/>
      </w:pPr>
      <w:r>
        <w:t xml:space="preserve">Kỷ luật viên chức</w:t>
      </w:r>
    </w:p>
    <w:p>
      <w:pPr>
        <w:spacing w:after="60"/>
      </w:pPr>
      <w:r>
        <w:rPr>
          <w:rFonts w:ascii="Roboto" w:cs="Roboto" w:eastAsia="Roboto" w:hAnsi="Roboto"/>
          <w:b/>
          <w:bCs/>
          <w:sz w:val="22"/>
          <w:szCs w:val="22"/>
        </w:rPr>
        <w:t xml:space="preserve">Các hình thức kỷ luật: (1) Khiển trách; (2) Cảnh cáo; (3) Cách chức; (4) Buộc thôi việc.</w:t>
      </w:r>
    </w:p>
    <w:p>
      <w:pPr>
        <w:spacing w:after="60"/>
      </w:pPr>
      <w:r>
        <w:rPr>
          <w:rFonts w:ascii="Roboto" w:cs="Roboto" w:eastAsia="Roboto" w:hAnsi="Roboto"/>
          <w:b/>
          <w:bCs/>
          <w:sz w:val="22"/>
          <w:szCs w:val="22"/>
        </w:rPr>
        <w:t xml:space="preserve">Thời hiệu kỷ luật: 24 tháng kể từ khi phát hiện hành vi vi phạm (đối với vi phạm trong công tác chuyên môn) hoặc 60 tháng (đối với vi phạm liên quan đến tham nhũng).</w:t>
      </w:r>
    </w:p>
    <w:p>
      <w:pPr>
        <w:spacing w:after="60"/>
      </w:pPr>
      <w:r>
        <w:rPr>
          <w:rFonts w:ascii="Roboto" w:cs="Roboto" w:eastAsia="Roboto" w:hAnsi="Roboto"/>
          <w:b w:val="false"/>
          <w:bCs w:val="false"/>
          <w:sz w:val="22"/>
          <w:szCs w:val="22"/>
        </w:rPr>
        <w:t xml:space="preserve">Viên chức bị kỷ luật từ khiển trách đến cảnh cáo: sau 12 tháng nếu không tái phạm thì đương nhiên chấm dứt hiệu lực.</w:t>
      </w:r>
    </w:p>
    <w:p>
      <w:pPr>
        <w:spacing w:after="60"/>
      </w:pPr>
      <w:r>
        <w:rPr>
          <w:rFonts w:ascii="Roboto" w:cs="Roboto" w:eastAsia="Roboto" w:hAnsi="Roboto"/>
          <w:b w:val="false"/>
          <w:bCs w:val="false"/>
          <w:sz w:val="22"/>
          <w:szCs w:val="22"/>
        </w:rPr>
        <w:t xml:space="preserve">Viên chức bị kỷ luật từ cách chức trở lên: sau 24 tháng nếu không tái phạm thì đương nhiên chấm dứt hiệu lực.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2026-08-14T07:41:11.815Z</dcterms:created>
  <dcterms:modified xsi:type="dcterms:W3CDTF">2026-08-14T07:41:11.829Z</dcterms:modified>
</cp:coreProperties>
</file>

<file path=docProps/custom.xml><?xml version="1.0" encoding="utf-8"?>
<Properties xmlns="http://schemas.openxmlformats.org/officeDocument/2006/custom-properties" xmlns:vt="http://schemas.openxmlformats.org/officeDocument/2006/docPropsVTypes"/>
</file>