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Nghị định 232/2026/NĐ-CP — Vị trí việc làm viên chức</w:t>
      </w:r>
    </w:p>
    <w:p>
      <w:pPr>
        <w:pStyle w:val="Heading1"/>
        <w:pBdr>
          <w:bottom w:val="single" w:color="4F46E5" w:sz="1"/>
        </w:pBdr>
        <w:spacing w:after="200" w:before="200"/>
      </w:pPr>
      <w:r>
        <w:t xml:space="preserve">THÔNG TIN VĂN BẢN</w:t>
      </w:r>
    </w:p>
    <w:p>
      <w:pPr>
        <w:spacing w:after="80"/>
      </w:pPr>
      <w:r>
        <w:rPr>
          <w:rFonts w:ascii="Roboto" w:cs="Roboto" w:eastAsia="Roboto" w:hAnsi="Roboto"/>
          <w:b/>
          <w:bCs/>
          <w:sz w:val="22"/>
          <w:szCs w:val="22"/>
        </w:rPr>
        <w:t xml:space="preserve">Số hiệu: </w:t>
      </w:r>
      <w:r>
        <w:rPr>
          <w:rFonts w:ascii="Roboto" w:cs="Roboto" w:eastAsia="Roboto" w:hAnsi="Roboto"/>
          <w:sz w:val="22"/>
          <w:szCs w:val="22"/>
        </w:rPr>
        <w:t xml:space="preserve">232/2026/NĐ-CP</w:t>
      </w:r>
    </w:p>
    <w:p>
      <w:pPr>
        <w:spacing w:after="80"/>
      </w:pPr>
      <w:r>
        <w:rPr>
          <w:rFonts w:ascii="Roboto" w:cs="Roboto" w:eastAsia="Roboto" w:hAnsi="Roboto"/>
          <w:b/>
          <w:bCs/>
          <w:sz w:val="22"/>
          <w:szCs w:val="22"/>
        </w:rPr>
        <w:t xml:space="preserve">Loại văn bản: </w:t>
      </w:r>
      <w:r>
        <w:rPr>
          <w:rFonts w:ascii="Roboto" w:cs="Roboto" w:eastAsia="Roboto" w:hAnsi="Roboto"/>
          <w:sz w:val="22"/>
          <w:szCs w:val="22"/>
        </w:rPr>
        <w:t xml:space="preserve">Nghị định</w:t>
      </w:r>
    </w:p>
    <w:p>
      <w:pPr>
        <w:spacing w:after="80"/>
      </w:pPr>
      <w:r>
        <w:rPr>
          <w:rFonts w:ascii="Roboto" w:cs="Roboto" w:eastAsia="Roboto" w:hAnsi="Roboto"/>
          <w:b/>
          <w:bCs/>
          <w:sz w:val="22"/>
          <w:szCs w:val="22"/>
        </w:rPr>
        <w:t xml:space="preserve">Ngày ban hành: </w:t>
      </w:r>
      <w:r>
        <w:rPr>
          <w:rFonts w:ascii="Roboto" w:cs="Roboto" w:eastAsia="Roboto" w:hAnsi="Roboto"/>
          <w:sz w:val="22"/>
          <w:szCs w:val="22"/>
        </w:rPr>
        <w:t xml:space="preserve">26/6/2026</w:t>
      </w:r>
    </w:p>
    <w:p>
      <w:pPr>
        <w:spacing w:after="80"/>
      </w:pPr>
      <w:r>
        <w:rPr>
          <w:rFonts w:ascii="Roboto" w:cs="Roboto" w:eastAsia="Roboto" w:hAnsi="Roboto"/>
          <w:b/>
          <w:bCs/>
          <w:sz w:val="22"/>
          <w:szCs w:val="22"/>
        </w:rPr>
        <w:t xml:space="preserve">Ngày hiệu lực: </w:t>
      </w:r>
      <w:r>
        <w:rPr>
          <w:rFonts w:ascii="Roboto" w:cs="Roboto" w:eastAsia="Roboto" w:hAnsi="Roboto"/>
          <w:sz w:val="22"/>
          <w:szCs w:val="22"/>
        </w:rPr>
        <w:t xml:space="preserve">01/7/2026</w:t>
      </w:r>
    </w:p>
    <w:p>
      <w:pPr>
        <w:spacing w:after="80"/>
      </w:pPr>
      <w:r>
        <w:rPr>
          <w:rFonts w:ascii="Roboto" w:cs="Roboto" w:eastAsia="Roboto" w:hAnsi="Roboto"/>
          <w:b/>
          <w:bCs/>
          <w:sz w:val="22"/>
          <w:szCs w:val="22"/>
        </w:rPr>
        <w:t xml:space="preserve">Cơ quan ban hành: </w:t>
      </w:r>
      <w:r>
        <w:rPr>
          <w:rFonts w:ascii="Roboto" w:cs="Roboto" w:eastAsia="Roboto" w:hAnsi="Roboto"/>
          <w:sz w:val="22"/>
          <w:szCs w:val="22"/>
        </w:rPr>
        <w:t xml:space="preserve">Chính phủ</w:t>
      </w:r>
    </w:p>
    <w:p>
      <w:pPr>
        <w:spacing w:after="200"/>
      </w:pPr>
    </w:p>
    <w:p>
      <w:pPr>
        <w:pStyle w:val="Heading1"/>
        <w:pBdr>
          <w:bottom w:val="single" w:color="4F46E5" w:sz="1"/>
        </w:pBdr>
        <w:spacing w:after="200" w:before="200"/>
      </w:pPr>
      <w:r>
        <w:t xml:space="preserve">NỘI DUNG TRỌNG TÂM</w:t>
      </w:r>
    </w:p>
    <w:p>
      <w:pPr>
        <w:pStyle w:val="Heading2"/>
        <w:spacing w:after="120" w:before="240"/>
      </w:pPr>
      <w:r>
        <w:t xml:space="preserve">Khái niệm vị trí việc làm (VTVL)</w:t>
      </w:r>
    </w:p>
    <w:p>
      <w:pPr>
        <w:spacing w:after="60"/>
      </w:pPr>
      <w:r>
        <w:rPr>
          <w:rFonts w:ascii="Roboto" w:cs="Roboto" w:eastAsia="Roboto" w:hAnsi="Roboto"/>
          <w:b w:val="false"/>
          <w:bCs w:val="false"/>
          <w:sz w:val="22"/>
          <w:szCs w:val="22"/>
        </w:rPr>
        <w:t xml:space="preserve">VTVL là công việc hoặc nhiệm vụ gắn với chức danh nghề nghiệp hoặc chức vụ quản lý tương ứng, làm căn cứ xác định biên chế và cơ cấu viên chức.</w:t>
      </w:r>
    </w:p>
    <w:p>
      <w:pPr>
        <w:spacing w:after="60"/>
      </w:pPr>
      <w:r>
        <w:rPr>
          <w:rFonts w:ascii="Roboto" w:cs="Roboto" w:eastAsia="Roboto" w:hAnsi="Roboto"/>
          <w:b w:val="false"/>
          <w:bCs w:val="false"/>
          <w:sz w:val="22"/>
          <w:szCs w:val="22"/>
        </w:rPr>
        <w:t xml:space="preserve">Mỗi VTVL gắn với một bản mô tả công việc (mô tả nhiệm vụ, tiêu chuẩn năng lực) và một khung năng lực yêu cầu.</w:t>
      </w:r>
    </w:p>
    <w:p>
      <w:pPr>
        <w:spacing w:after="60"/>
      </w:pPr>
      <w:r>
        <w:rPr>
          <w:rFonts w:ascii="Roboto" w:cs="Roboto" w:eastAsia="Roboto" w:hAnsi="Roboto"/>
          <w:b w:val="false"/>
          <w:bCs w:val="false"/>
          <w:sz w:val="22"/>
          <w:szCs w:val="22"/>
        </w:rPr>
        <w:t xml:space="preserve">Nguyên tắc cốt lõi: mỗi lĩnh vực có cùng tính chất chuyên môn thì chỉ có 1 VTVL — tránh trùng lặp, chồng chéo.</w:t>
      </w:r>
    </w:p>
    <w:p>
      <w:pPr>
        <w:pStyle w:val="Heading2"/>
        <w:spacing w:after="120" w:before="240"/>
      </w:pPr>
      <w:r>
        <w:t xml:space="preserve">Phân loại VTVL viên chức</w:t>
      </w:r>
    </w:p>
    <w:p>
      <w:pPr>
        <w:spacing w:after="60"/>
      </w:pPr>
      <w:r>
        <w:rPr>
          <w:rFonts w:ascii="Roboto" w:cs="Roboto" w:eastAsia="Roboto" w:hAnsi="Roboto"/>
          <w:b w:val="false"/>
          <w:bCs w:val="false"/>
          <w:sz w:val="22"/>
          <w:szCs w:val="22"/>
        </w:rPr>
        <w:t xml:space="preserve">Nhóm 1 — VTVL quản lý: gắn với chức vụ quản lý (giám đốc, phó giám đốc, trưởng phòng, phó phòng...).</w:t>
      </w:r>
    </w:p>
    <w:p>
      <w:pPr>
        <w:spacing w:after="60"/>
      </w:pPr>
      <w:r>
        <w:rPr>
          <w:rFonts w:ascii="Roboto" w:cs="Roboto" w:eastAsia="Roboto" w:hAnsi="Roboto"/>
          <w:b w:val="false"/>
          <w:bCs w:val="false"/>
          <w:sz w:val="22"/>
          <w:szCs w:val="22"/>
        </w:rPr>
        <w:t xml:space="preserve">Nhóm 2 — VTVL chức danh nghề nghiệp: gắn với ngạch/hạng CDNN (kế toán viên, bác sĩ, giáo viên...).</w:t>
      </w:r>
    </w:p>
    <w:p>
      <w:pPr>
        <w:spacing w:after="60"/>
      </w:pPr>
      <w:r>
        <w:rPr>
          <w:rFonts w:ascii="Roboto" w:cs="Roboto" w:eastAsia="Roboto" w:hAnsi="Roboto"/>
          <w:b w:val="false"/>
          <w:bCs w:val="false"/>
          <w:sz w:val="22"/>
          <w:szCs w:val="22"/>
        </w:rPr>
        <w:t xml:space="preserve">Nhóm 3 — VTVL chuyên môn dùng chung: phục vụ hoạt động quản lý của nhiều đơn vị (nhân sự, tài chính, văn thư...).</w:t>
      </w:r>
    </w:p>
    <w:p>
      <w:pPr>
        <w:spacing w:after="60"/>
      </w:pPr>
      <w:r>
        <w:rPr>
          <w:rFonts w:ascii="Roboto" w:cs="Roboto" w:eastAsia="Roboto" w:hAnsi="Roboto"/>
          <w:b w:val="false"/>
          <w:bCs w:val="false"/>
          <w:sz w:val="22"/>
          <w:szCs w:val="22"/>
        </w:rPr>
        <w:t xml:space="preserve">Nhóm 4 — VTVL hỗ trợ, phục vụ: lái xe, bảo vệ, tạp vụ, kỹ thuật viên vận hành thiết bị.</w:t>
      </w:r>
    </w:p>
    <w:p>
      <w:pPr>
        <w:pStyle w:val="Heading2"/>
        <w:spacing w:after="120" w:before="240"/>
      </w:pPr>
      <w:r>
        <w:t xml:space="preserve">Bản mô tả công việc và khung năng lực</w:t>
      </w:r>
    </w:p>
    <w:p>
      <w:pPr>
        <w:spacing w:after="60"/>
      </w:pPr>
      <w:r>
        <w:rPr>
          <w:rFonts w:ascii="Roboto" w:cs="Roboto" w:eastAsia="Roboto" w:hAnsi="Roboto"/>
          <w:b/>
          <w:bCs/>
          <w:sz w:val="22"/>
          <w:szCs w:val="22"/>
        </w:rPr>
        <w:t xml:space="preserve">Bản mô tả công việc gồm: tên VTVL, đơn vị công tác, nhiệm vụ chính, quyền hạn, mối quan hệ công tác, tiêu chuẩn đạo đức.</w:t>
      </w:r>
    </w:p>
    <w:p>
      <w:pPr>
        <w:spacing w:after="60"/>
      </w:pPr>
      <w:r>
        <w:rPr>
          <w:rFonts w:ascii="Roboto" w:cs="Roboto" w:eastAsia="Roboto" w:hAnsi="Roboto"/>
          <w:b/>
          <w:bCs/>
          <w:sz w:val="22"/>
          <w:szCs w:val="22"/>
        </w:rPr>
        <w:t xml:space="preserve">Khung năng lực gồm: kiến thức chuyên môn, kỹ năng thực hiện công việc, mức độ thành thạo, năng lực bổ trợ (tin học, ngoại ngữ, kỹ năng mềm).</w:t>
      </w:r>
    </w:p>
    <w:p>
      <w:pPr>
        <w:spacing w:after="60"/>
      </w:pPr>
      <w:r>
        <w:rPr>
          <w:rFonts w:ascii="Roboto" w:cs="Roboto" w:eastAsia="Roboto" w:hAnsi="Roboto"/>
          <w:b w:val="false"/>
          <w:bCs w:val="false"/>
          <w:sz w:val="22"/>
          <w:szCs w:val="22"/>
        </w:rPr>
        <w:t xml:space="preserve">Người đứng đầu đơn vị sự nghiệp công lập phê duyệt bản mô tả công việc và khung năng lực cho từng VTVL trong đơn vị.</w:t>
      </w:r>
    </w:p>
    <w:p>
      <w:pPr>
        <w:pStyle w:val="Heading2"/>
        <w:spacing w:after="120" w:before="240"/>
      </w:pPr>
      <w:r>
        <w:t xml:space="preserve">Xây dựng và phê duyệt đề án VTVL</w:t>
      </w:r>
    </w:p>
    <w:p>
      <w:pPr>
        <w:spacing w:after="60"/>
      </w:pPr>
      <w:r>
        <w:rPr>
          <w:rFonts w:ascii="Roboto" w:cs="Roboto" w:eastAsia="Roboto" w:hAnsi="Roboto"/>
          <w:b w:val="false"/>
          <w:bCs w:val="false"/>
          <w:sz w:val="22"/>
          <w:szCs w:val="22"/>
        </w:rPr>
        <w:t xml:space="preserve">Mỗi ĐVSNCL phải xây dựng đề án VTVL, trình cơ quan quản lý cấp trên phê duyệt.</w:t>
      </w:r>
    </w:p>
    <w:p>
      <w:pPr>
        <w:spacing w:after="60"/>
      </w:pPr>
      <w:r>
        <w:rPr>
          <w:rFonts w:ascii="Roboto" w:cs="Roboto" w:eastAsia="Roboto" w:hAnsi="Roboto"/>
          <w:b w:val="false"/>
          <w:bCs w:val="false"/>
          <w:sz w:val="22"/>
          <w:szCs w:val="22"/>
        </w:rPr>
        <w:t xml:space="preserve">Đề án VTVL xác định danh mục VTVL, số lượng biên chế từng VTVL, cơ cấu ngạch/hạng, lộ trình thay đổi.</w:t>
      </w:r>
    </w:p>
    <w:p>
      <w:pPr>
        <w:spacing w:after="60"/>
      </w:pPr>
      <w:r>
        <w:rPr>
          <w:rFonts w:ascii="Roboto" w:cs="Roboto" w:eastAsia="Roboto" w:hAnsi="Roboto"/>
          <w:b w:val="false"/>
          <w:bCs w:val="false"/>
          <w:sz w:val="22"/>
          <w:szCs w:val="22"/>
        </w:rPr>
        <w:t xml:space="preserve">Biên chế viên chức được giao trên cơ sở đề án VTVL được phê duyệt và khả năng tự chủ tài chính của đơn vị.</w:t>
      </w:r>
    </w:p>
    <w:p>
      <w:pPr>
        <w:pStyle w:val="Heading2"/>
        <w:spacing w:after="120" w:before="240"/>
      </w:pPr>
      <w:r>
        <w:t xml:space="preserve">Tỷ lệ bậc cao nhất của VTVL</w:t>
      </w:r>
    </w:p>
    <w:p>
      <w:pPr>
        <w:spacing w:after="60"/>
      </w:pPr>
      <w:r>
        <w:rPr>
          <w:rFonts w:ascii="Roboto" w:cs="Roboto" w:eastAsia="Roboto" w:hAnsi="Roboto"/>
          <w:b/>
          <w:bCs/>
          <w:sz w:val="22"/>
          <w:szCs w:val="22"/>
        </w:rPr>
        <w:t xml:space="preserve">Theo Điều 10: bậc cao nhất của một VTVL không vượt quá 40% tổng số biên chế của VTVL đó trong đơn vị.</w:t>
      </w:r>
    </w:p>
    <w:p>
      <w:pPr>
        <w:spacing w:after="60"/>
      </w:pPr>
      <w:r>
        <w:rPr>
          <w:rFonts w:ascii="Roboto" w:cs="Roboto" w:eastAsia="Roboto" w:hAnsi="Roboto"/>
          <w:b/>
          <w:bCs/>
          <w:sz w:val="22"/>
          <w:szCs w:val="22"/>
        </w:rPr>
        <w:t xml:space="preserve">Ví dụ: nếu VTVL 'Kế toán viên' có 10 biên chế thì tối đa 4 người được xếp ở bậc cao nhất của VTVL này.</w:t>
      </w:r>
    </w:p>
    <w:p>
      <w:pPr>
        <w:spacing w:after="60"/>
      </w:pPr>
      <w:r>
        <w:rPr>
          <w:rFonts w:ascii="Roboto" w:cs="Roboto" w:eastAsia="Roboto" w:hAnsi="Roboto"/>
          <w:b w:val="false"/>
          <w:bCs w:val="false"/>
          <w:sz w:val="22"/>
          <w:szCs w:val="22"/>
        </w:rPr>
        <w:t xml:space="preserve">Quy định này nhằm đảm bảo cơ cấu hợp lý, tránh tình trạng tất cả viên chức đều ở bậc cao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2026-08-14T07:41:12.168Z</dcterms:created>
  <dcterms:modified xsi:type="dcterms:W3CDTF">2026-08-14T07:41:12.168Z</dcterms:modified>
</cp:coreProperties>
</file>

<file path=docProps/custom.xml><?xml version="1.0" encoding="utf-8"?>
<Properties xmlns="http://schemas.openxmlformats.org/officeDocument/2006/custom-properties" xmlns:vt="http://schemas.openxmlformats.org/officeDocument/2006/docPropsVTypes"/>
</file>