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Nghị quyết 57-NQ/TW — KHCN, ĐMST, Chuyển đổi số</w:t>
      </w:r>
    </w:p>
    <w:p>
      <w:pPr>
        <w:pStyle w:val="Heading1"/>
        <w:pBdr>
          <w:bottom w:val="single" w:color="4F46E5" w:sz="1"/>
        </w:pBdr>
        <w:spacing w:after="200" w:before="200"/>
      </w:pPr>
      <w:r>
        <w:t xml:space="preserve">THÔNG TIN VĂN BẢN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Số hiệu: </w:t>
      </w:r>
      <w:r>
        <w:rPr>
          <w:rFonts w:ascii="Roboto" w:cs="Roboto" w:eastAsia="Roboto" w:hAnsi="Roboto"/>
          <w:sz w:val="22"/>
          <w:szCs w:val="22"/>
        </w:rPr>
        <w:t xml:space="preserve">57-NQ/TW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Loại văn bản: </w:t>
      </w:r>
      <w:r>
        <w:rPr>
          <w:rFonts w:ascii="Roboto" w:cs="Roboto" w:eastAsia="Roboto" w:hAnsi="Roboto"/>
          <w:sz w:val="22"/>
          <w:szCs w:val="22"/>
        </w:rPr>
        <w:t xml:space="preserve">Nghị quyết Bộ Chính trị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Ngày ban hành: </w:t>
      </w:r>
      <w:r>
        <w:rPr>
          <w:rFonts w:ascii="Roboto" w:cs="Roboto" w:eastAsia="Roboto" w:hAnsi="Roboto"/>
          <w:sz w:val="22"/>
          <w:szCs w:val="22"/>
        </w:rPr>
        <w:t xml:space="preserve">22/12/2024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Ngày hiệu lực: </w:t>
      </w:r>
      <w:r>
        <w:rPr>
          <w:rFonts w:ascii="Roboto" w:cs="Roboto" w:eastAsia="Roboto" w:hAnsi="Roboto"/>
          <w:sz w:val="22"/>
          <w:szCs w:val="22"/>
        </w:rPr>
        <w:t xml:space="preserve">Từ ngày ban hành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Cơ quan ban hành: </w:t>
      </w:r>
      <w:r>
        <w:rPr>
          <w:rFonts w:ascii="Roboto" w:cs="Roboto" w:eastAsia="Roboto" w:hAnsi="Roboto"/>
          <w:sz w:val="22"/>
          <w:szCs w:val="22"/>
        </w:rPr>
        <w:t xml:space="preserve">Ban Chấp hành Trung ương Đảng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nguoiKy: </w:t>
      </w:r>
      <w:r>
        <w:rPr>
          <w:rFonts w:ascii="Roboto" w:cs="Roboto" w:eastAsia="Roboto" w:hAnsi="Roboto"/>
          <w:sz w:val="22"/>
          <w:szCs w:val="22"/>
        </w:rPr>
        <w:t xml:space="preserve">Tổng Bí thư Tô Lâm</w:t>
      </w:r>
    </w:p>
    <w:p>
      <w:pPr>
        <w:spacing w:after="200"/>
      </w:pPr>
    </w:p>
    <w:p>
      <w:pPr>
        <w:pStyle w:val="Heading1"/>
        <w:pBdr>
          <w:bottom w:val="single" w:color="4F46E5" w:sz="1"/>
        </w:pBdr>
        <w:spacing w:after="200" w:before="200"/>
      </w:pPr>
      <w:r>
        <w:t xml:space="preserve">NỘI DUNG TRỌNG TÂM</w:t>
      </w:r>
    </w:p>
    <w:p>
      <w:pPr>
        <w:pStyle w:val="Heading2"/>
        <w:spacing w:after="120" w:before="240"/>
      </w:pPr>
      <w:r>
        <w:t xml:space="preserve">Quan điểm chỉ đạo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KHCN, đổi mới sáng tạo (ĐMST) và chuyển đổi số là đột phá chiến lược, là động lực chính cho phát triển nhanh, bền vững.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Phát triển KHCN, ĐMST phải gắn với yêu cầu thực tiễn của đất nước; lấy doanh nghiệp làm trung tâm của hệ thống đổi mới sáng tạo quốc gia.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Chuyển đổi số quốc gia là nhiệm vụ trọng tâm, xuyên suốt của cả hệ thống chính trị; lấy người dân làm trung tâm.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Đầu tư cho KHCN, ĐMST là đầu tư cho phát triển; phải đi trước, đón đầu.</w:t>
      </w:r>
    </w:p>
    <w:p>
      <w:pPr>
        <w:pStyle w:val="Heading2"/>
        <w:spacing w:after="120" w:before="240"/>
      </w:pPr>
      <w:r>
        <w:t xml:space="preserve">Mục tiêu đến 2030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Kinh phí cho R&amp;D đạt ít nhất 2% GDP; tỷ trọng đầu tư từ khu vực doanh nghiệp đạt &gt;= 65% tổng chi R&amp;D.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Kinh tế số chiếm tối thiểu 30% GDP; năng suất lao động tăng bình quân &gt;= 8%/năm.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Việt Nam thuộc nhóm 40 quốc gia dẫn đầu về chỉ số đổi mới sáng tạo toàn cầu (GII).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Tỷ lệ doanh nghiệp ứng dụng KHCN, ĐMST đạt &gt;= 50%; tỷ lệ dịch vụ công trực tuyến toàn trình đạt &gt;= 90%.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Hạ tầng số băng thông rộng phủ 100% xã, phường; 100% dân số trưởng thành có tài khoản giao dịch điện tử.</w:t>
      </w:r>
    </w:p>
    <w:p>
      <w:pPr>
        <w:pStyle w:val="Heading2"/>
        <w:spacing w:after="120" w:before="240"/>
      </w:pPr>
      <w:r>
        <w:t xml:space="preserve">Mục tiêu đến 2045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Kinh tế số chiếm khoảng 50% GDP; Việt Nam thuộc nhóm 30 quốc gia dẫn đầu về GII.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Trở thành quốc gia có nền KHCN phát triển, có năng lực đổi mới sáng tạo cao.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Một số lĩnh vực KHCN đạt trình độ tiên tiến thế giới: AI, bán dẫn, công nghệ sinh học, năng lượng sạch.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Năng suất lao động tăng bình quân &gt;= 7%/năm; GDP bình quân đầu người thuộc nhóm nước phát triển.</w:t>
      </w:r>
    </w:p>
    <w:p>
      <w:pPr>
        <w:pStyle w:val="Heading2"/>
        <w:spacing w:after="120" w:before="240"/>
      </w:pPr>
      <w:r>
        <w:t xml:space="preserve">7 nhóm nhiệm vụ, giải pháp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1. Hoàn thiện thể chế, chính sách: sửa đổi pháp luật về KHCN, ĐMST, chuyển đổi số; cơ chế sandbox.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2. Phát triển nguồn nhân lực KHCN: đào tạo nhân lực chất lượng cao; thu hút chuyên gia, nhà khoa học hàng đầu.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3. Đầu tư cho KHCN, ĐMST: tăng chi ngân sách; khuyến khích đầu tư tư nhân; quỹ phát triển KHCN.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4. Phát triển hệ thống đổi mới sáng tạo quốc gia: viện nghiên cứu, trường đại học, doanh nghiệp KHCN, startup.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5. Chuyển đổi số toàn diện: chính phủ số, kinh tế số, xã hội số; dữ liệu quốc gia; AI, blockchain.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6. Hợp tác quốc tế về KHCN: tham gia mạng lưới nghiên cứu toàn cầu; chuyển giao công nghệ; thu hút FDI công nghệ cao.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7. Tổ chức thực hiện: Ban Chỉ đạo Trung ương do Tổng Bí thư làm Trưởng ban; cơ chế giám sát, đánh giá định kỳ.</w:t>
      </w:r>
    </w:p>
    <w:p>
      <w:pPr>
        <w:pStyle w:val="Heading2"/>
        <w:spacing w:after="120" w:before="240"/>
      </w:pPr>
      <w:r>
        <w:t xml:space="preserve">Ban Chỉ đạo Trung ương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Ban Chỉ đạo quốc gia về KHCN, ĐMST và chuyển đổi số do Tổng Bí thư Tô Lâm làm Trưởng ban.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Đây là lần đầu tiên Tổng Bí thư trực tiếp làm Trưởng ban một Ban Chỉ đạo về KHCN — thể hiện tầm quan trọng đặc biệt.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Ban Chỉ đạo có nhiệm vụ chỉ đạo tổng thể, phối hợp liên ngành, đôn đốc thực hiện các mục tiêu của Nghị quyết.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2026-08-14T07:41:12.311Z</dcterms:created>
  <dcterms:modified xsi:type="dcterms:W3CDTF">2026-08-14T07:41:12.311Z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