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VBHN 15/VBHN-VPQH — Cơ chế đặc thù phát triển TP.HCM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VBHN 15/VBHN-VPQH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Văn bản hợp nhất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2026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Từ ngày công bố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Ủy ban Thường vụ Quốc hội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coSo: </w:t>
      </w:r>
      <w:r>
        <w:rPr>
          <w:rFonts w:ascii="Roboto" w:cs="Roboto" w:eastAsia="Roboto" w:hAnsi="Roboto"/>
          <w:sz w:val="22"/>
          <w:szCs w:val="22"/>
        </w:rPr>
        <w:t xml:space="preserve">NQ 98/2023/QH15 + Luật 71/2025 + Luật 72/2025 + NQ 260/2025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Nguồn gốc và phạm vi áp dụng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Gốc là Nghị quyết 98/2023/QH15 (24/6/2023) về thí điểm cơ chế, chính sách đặc thù phát triển TP.HCM.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Được sửa đổi, bổ sung bởi: Luật 71/2025, Luật 72/2025 và Nghị quyết 260/2025/QH15.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Sau khi TP.HCM sáp nhập Bình Dương và BRVT, cơ chế đặc thù áp dụng cho toàn bộ địa bàn TP.HCM mới.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Phạm vi: đầu tư, tài chính – ngân sách, quản lý đô thị – tài nguyên môi trường, thu hút nhà đầu tư chiến lược.</w:t>
      </w:r>
    </w:p>
    <w:p>
      <w:pPr>
        <w:pStyle w:val="Heading2"/>
        <w:spacing w:after="120" w:before="240"/>
      </w:pPr>
      <w:r>
        <w:t xml:space="preserve">Nhóm 1: Cơ chế về đầu tư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quyết định chủ trương đầu tư các dự án nhóm A không phụ thuộc nguồn vốn (trừ dự án quốc gia).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tự chủ trong việc quyết định các dự án đầu tư theo phương thức PPP (đối tác công tư).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UBND TP.HCM được ủy quyền quyết định điều chỉnh chủ trương đầu tư một số dự án thuộc thẩm quyền của HĐND.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áp dụng cơ chế đặc biệt về đầu tư hạ tầng giao thông, đô thị thông minh.</w:t>
      </w:r>
    </w:p>
    <w:p>
      <w:pPr>
        <w:pStyle w:val="Heading2"/>
        <w:spacing w:after="120" w:before="240"/>
      </w:pPr>
      <w:r>
        <w:t xml:space="preserve">Nhóm 2: Cơ chế về tài chính – ngân sách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giữ lại tối thiểu 33% (hoặc cao hơn theo quyết định cụ thể) khoản thu vượt dự toán từ hoạt động xuất nhập khẩu.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phát hành trái phiếu chính quyền địa phương với hạn mức cao hơn quy định chung.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quyết định mức thu phí, lệ phí mới hoặc điều chỉnh mức thu hiện có (trừ các khoản thuộc thẩm quyền TW).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thành lập quỹ đầu tư phát triển đô thị, quỹ hỗ trợ phát triển KHCN.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Ngân sách TP.HCM được phân cấp mạnh: tự chủ trong lập, chấp hành, quyết toán ngân sách.</w:t>
      </w:r>
    </w:p>
    <w:p>
      <w:pPr>
        <w:pStyle w:val="Heading2"/>
        <w:spacing w:after="120" w:before="240"/>
      </w:pPr>
      <w:r>
        <w:t xml:space="preserve">Nhóm 3: Cơ chế về quản lý đô thị – tài nguyên môi trường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thí điểm mô hình quản lý đô thị thông minh; xây dựng chính quyền điện tử, chính quyền số.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quyết định chuyển đổi mục đích sử dụng đất lúa, đất rừng phòng hộ trong một số trường hợp cụ thể.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thí điểm cơ chế xử lý tài sản công, đất công dôi dư để phát triển hạ tầng.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Quy hoạch đô thị: TP.HCM được phê duyệt quy hoạch phân khu, quy hoạch chi tiết mà không cần trình TW.</w:t>
      </w:r>
    </w:p>
    <w:p>
      <w:pPr>
        <w:pStyle w:val="Heading2"/>
        <w:spacing w:after="120" w:before="240"/>
      </w:pPr>
      <w:r>
        <w:t xml:space="preserve">Nhóm 4: Cơ chế thu hút nhà đầu tư chiến lược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ưu đãi đặc biệt đối với nhà đầu tư chiến lược: dự án &gt;= 30.000 tỷ đồng, cam kết giải ngân trong 3 năm.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Ưu đãi: miễn/giảm tiền thuê đất; ưu đãi thuế thu nhập doanh nghiệp; hỗ trợ hạ tầng, thủ tục hành chính một cửa.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được thành lập Trung tâm xúc tiến đầu tư; được thuê chuyên gia quốc tế tư vấn thu hút đầu tư.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Nhà đầu tư chiến lược được hưởng cơ chế 'một cửa liên thông' — tất cả thủ tục giải quyết trong thời gian rút gọn.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2026-08-14T07:41:12.425Z</dcterms:created>
  <dcterms:modified xsi:type="dcterms:W3CDTF">2026-08-14T07:41:12.425Z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