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Luật Kế toán 88/2015/QH13</w:t>
      </w:r>
    </w:p>
    <w:p>
      <w:pPr>
        <w:pStyle w:val="Heading1"/>
        <w:pBdr>
          <w:bottom w:val="single" w:color="4F46E5" w:sz="1"/>
        </w:pBdr>
        <w:spacing w:after="200" w:before="200"/>
      </w:pPr>
      <w:r>
        <w:t xml:space="preserve">THÔNG TIN VĂN BẢN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Số hiệu: </w:t>
      </w:r>
      <w:r>
        <w:rPr>
          <w:rFonts w:ascii="Roboto" w:cs="Roboto" w:eastAsia="Roboto" w:hAnsi="Roboto"/>
          <w:sz w:val="22"/>
          <w:szCs w:val="22"/>
        </w:rPr>
        <w:t xml:space="preserve">88/2015/QH13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Loại văn bản: </w:t>
      </w:r>
      <w:r>
        <w:rPr>
          <w:rFonts w:ascii="Roboto" w:cs="Roboto" w:eastAsia="Roboto" w:hAnsi="Roboto"/>
          <w:sz w:val="22"/>
          <w:szCs w:val="22"/>
        </w:rPr>
        <w:t xml:space="preserve">Luật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Ngày ban hành: </w:t>
      </w:r>
      <w:r>
        <w:rPr>
          <w:rFonts w:ascii="Roboto" w:cs="Roboto" w:eastAsia="Roboto" w:hAnsi="Roboto"/>
          <w:sz w:val="22"/>
          <w:szCs w:val="22"/>
        </w:rPr>
        <w:t xml:space="preserve">20/11/2015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Ngày hiệu lực: </w:t>
      </w:r>
      <w:r>
        <w:rPr>
          <w:rFonts w:ascii="Roboto" w:cs="Roboto" w:eastAsia="Roboto" w:hAnsi="Roboto"/>
          <w:sz w:val="22"/>
          <w:szCs w:val="22"/>
        </w:rPr>
        <w:t xml:space="preserve">01/01/2017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Cơ quan ban hành: </w:t>
      </w:r>
      <w:r>
        <w:rPr>
          <w:rFonts w:ascii="Roboto" w:cs="Roboto" w:eastAsia="Roboto" w:hAnsi="Roboto"/>
          <w:sz w:val="22"/>
          <w:szCs w:val="22"/>
        </w:rPr>
        <w:t xml:space="preserve">Quốc hội khóa XIII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Cấu trúc: </w:t>
      </w:r>
      <w:r>
        <w:rPr>
          <w:rFonts w:ascii="Roboto" w:cs="Roboto" w:eastAsia="Roboto" w:hAnsi="Roboto"/>
          <w:sz w:val="22"/>
          <w:szCs w:val="22"/>
        </w:rPr>
        <w:t xml:space="preserve">6 chương, 74 điều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suaDoi: </w:t>
      </w:r>
      <w:r>
        <w:rPr>
          <w:rFonts w:ascii="Roboto" w:cs="Roboto" w:eastAsia="Roboto" w:hAnsi="Roboto"/>
          <w:sz w:val="22"/>
          <w:szCs w:val="22"/>
        </w:rPr>
        <w:t xml:space="preserve">Luật Quản lý thuế 2019 và Luật 56/2024/QH15</w:t>
      </w:r>
    </w:p>
    <w:p>
      <w:pPr>
        <w:spacing w:after="200"/>
      </w:pPr>
    </w:p>
    <w:p>
      <w:pPr>
        <w:pStyle w:val="Heading1"/>
        <w:pBdr>
          <w:bottom w:val="single" w:color="4F46E5" w:sz="1"/>
        </w:pBdr>
        <w:spacing w:after="200" w:before="200"/>
      </w:pPr>
      <w:r>
        <w:t xml:space="preserve">NỘI DUNG TRỌNG TÂM</w:t>
      </w:r>
    </w:p>
    <w:p>
      <w:pPr>
        <w:pStyle w:val="Heading2"/>
        <w:spacing w:after="120" w:before="240"/>
      </w:pPr>
      <w:r>
        <w:t xml:space="preserve">Các hành vi bị nghiêm cấm (Điều 13)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1. Giả mạo, khai man chứng từ kế toán; cố ý ghi sai sự thật trên chứng từ.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2. Để ngoài sổ kế toán tài sản có liên quan đến đơn vị kế toán.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3. Cung cấp thông tin, số liệu kế toán sai sự thật; cố ý lập BCTC không trung thực.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4. Hủy hoại hoặc cố ý làm hư hỏng tài liệu kế toán trước thời hạn lưu trữ.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5. Thông đồng, móc nối với khách hàng, nhà cung cấp để khai man số liệu kế toán.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6. Mua chuộc hoặc cưỡng ép người làm kế toán thực hiện hành vi vi phạm pháp luật.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Mẹo nhớ: 6 hành vi — Giả mạo / Để ngoài sổ / Sai sự thật / Hủy hoại tài liệu / Thông đồng / Mua chuộc.</w:t>
      </w:r>
    </w:p>
    <w:p>
      <w:pPr>
        <w:pStyle w:val="Heading2"/>
        <w:spacing w:after="120" w:before="240"/>
      </w:pPr>
      <w:r>
        <w:t xml:space="preserve">Chứng từ kế toán (Điều 16–21)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Chứng từ kế toán là giấy tờ hoặc phương tiện điện tử phản ánh nghiệp vụ kinh tế, tài chính phát sinh (Điều 16).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Nội dung bắt buộc trên chứng từ (Điều 17): tên, số hiệu; ngày tháng lập; tên, địa chỉ đơn vị; nội dung nghiệp vụ; số tiền; chữ ký người lập, duyệt, phụ trách kế toán.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Chứng từ phải được lập đủ số liên theo quy định; liên gốc dùng để ghi sổ (Điều 18).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Ký chứng từ: phải dùng mực không phai; không dùng mực đỏ hoặc bút chì (trừ trường hợp quy định); chữ ký phải rõ ràng (Điều 19).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Chứng từ điện tử có giá trị pháp lý tương đương chứng từ giấy nếu đáp ứng điều kiện về chữ ký điện tử (Điều 17 khoản 7).</w:t>
      </w:r>
    </w:p>
    <w:p>
      <w:pPr>
        <w:pStyle w:val="Heading2"/>
        <w:spacing w:after="120" w:before="240"/>
      </w:pPr>
      <w:r>
        <w:t xml:space="preserve">Sổ kế toán và phương pháp sửa chữa (Điều 24–28)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Sổ kế toán dùng để ghi chép, hệ thống hóa nghiệp vụ kinh tế phát sinh theo tài khoản kế toán (Điều 24).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Các hình thức sổ kế toán: Nhật ký chung; Nhật ký – Sổ cái; Chứng từ ghi sổ; Nhật ký – Chứng từ.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3 phương pháp sửa chữa sổ kế toán khi có sai sót (Điều 27):</w:t>
      </w:r>
    </w:p>
    <w:p>
      <w:pPr>
        <w:spacing w:after="60"/>
        <w:ind w:left="72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• (1) Ghi sửa trực tiếp: gạch chéo dòng sai, ghi dòng đúng bên trên, ký xác nhận — áp dụng khi ghi sai trước khi khóa sổ.</w:t>
      </w:r>
    </w:p>
    <w:p>
      <w:pPr>
        <w:spacing w:after="60"/>
        <w:ind w:left="72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• (2) Ghi số âm (trong ngoặc đơn): ghi bút toán đảo ngược lại nghiệp vụ sai — áp dụng khi đã khóa sổ hoặc ghi sai vào sổ cái.</w:t>
      </w:r>
    </w:p>
    <w:p>
      <w:pPr>
        <w:spacing w:after="60"/>
        <w:ind w:left="72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• (3) Ghi bổ sung: lập chứng từ và bút toán bổ sung phần thiếu — áp dụng khi bỏ sót nghiệp vụ.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Mẹo nhớ: 'Gạch sửa / Ghi âm / Ghi bổ' — tùy thời điểm phát hiện sai sót.</w:t>
      </w:r>
    </w:p>
    <w:p>
      <w:pPr>
        <w:pStyle w:val="Heading2"/>
        <w:spacing w:after="120" w:before="240"/>
      </w:pPr>
      <w:r>
        <w:t xml:space="preserve">Báo cáo tài chính (Điều 29–32)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BCTC phản ánh tình hình tài sản, nguồn vốn, doanh thu, chi phí và kết quả hoạt động của đơn vị (Điều 29).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BCTC phải được lập trung thực, đầy đủ, kịp thời; tuân thủ chuẩn mực kế toán Việt Nam.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Kỳ lập BCTC: năm (bắt buộc), quý (đối với một số đơn vị), tháng (nếu cần).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BCTC năm phải được công bố công khai trong thời hạn 90 ngày kể từ ngày kết thúc năm tài chính (Điều 32).</w:t>
      </w:r>
    </w:p>
    <w:p>
      <w:pPr>
        <w:pStyle w:val="Heading2"/>
        <w:spacing w:after="120" w:before="240"/>
      </w:pPr>
      <w:r>
        <w:t xml:space="preserve">Lưu trữ tài liệu kế toán (Điều 41) và kiểm kê tài sản (Điều 40)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Thời hạn lưu trữ tài liệu kế toán: 5 năm (chứng từ, sổ kế toán chi tiết không quan trọng); 10 năm (sổ cái, BCTC quý); vĩnh viễn (BCTC năm đã quyết toán, sổ cái tổng hợp).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Tài liệu kế toán phải được bảo quản an toàn, không được để hư hỏng, mất mát.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Kiểm kê tài sản (Điều 40): đơn vị phải kiểm kê tài sản ít nhất 1 lần/năm (cuối năm tài chính); kiểm kê đột xuất khi có yêu cầu của cơ quan nhà nước hoặc khi thay đổi kế toán trưởng.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Kết quả kiểm kê phải được lập biên bản; nếu chênh lệch so với sổ sách phải xử lý theo quy định.</w:t>
      </w:r>
    </w:p>
    <w:p>
      <w:pPr>
        <w:pStyle w:val="Heading2"/>
        <w:spacing w:after="120" w:before="240"/>
      </w:pPr>
      <w:r>
        <w:t xml:space="preserve">Kế toán trưởng và người không được làm kế toán (Điều 52–55)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Kế toán trưởng là người đứng đầu bộ máy kế toán, chịu trách nhiệm về toàn bộ công tác kế toán của đơn vị (Điều 53).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Tiêu chuẩn kế toán trưởng: trình độ đại học trở lên chuyên ngành kế toán; có chứng chỉ bồi dưỡng kế toán trưởng; có ít nhất 5 năm kinh nghiệm.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Những người không được làm kế toán (Điều 52): cha/mẹ, vợ/chồng, con, anh/chị/em ruột của người đại diện theo pháp luật hoặc người quản lý, điều hành, phụ trách tài chính (trừ DNTN, công ty TNHH 1 thành viên do cá nhân làm chủ).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Kế toán viên bị truy cứu trách nhiệm hình sự thì không được làm kế toán trong thời gian 5 năm kể từ ngày chấp hành xong hình phạt.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2026-08-14T07:41:12.517Z</dcterms:created>
  <dcterms:modified xsi:type="dcterms:W3CDTF">2026-08-14T07:41:12.517Z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