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định 73/2026/NĐ-CP — Chi tiết thi hành Luật NSNN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73/2026/NĐ-CP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định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10/3/2026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Từ ngày ban hành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Chính phủ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Thay thế: </w:t>
      </w:r>
      <w:r>
        <w:rPr>
          <w:rFonts w:ascii="Roboto" w:cs="Roboto" w:eastAsia="Roboto" w:hAnsi="Roboto"/>
          <w:sz w:val="22"/>
          <w:szCs w:val="22"/>
        </w:rPr>
        <w:t xml:space="preserve">NĐ 163/2016, NĐ 45/2017, NĐ 149/2025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Phạm vi và đối tượng áp dụng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Quy định chi tiết thi hành Luật NSNN 89/2025/QH15.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Áp dụng cho: cơ quan nhà nước, đơn vị sự nghiệp công lập, tổ chức chính trị – xã hội, tổ chức xã hội có sử dụng NSNN.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Thay thế 3 nghị định cũ: NĐ 163/2016/NĐ-CP, NĐ 45/2017/NĐ-CP, NĐ 149/2025/NĐ-CP.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văn bản hướng dẫn thi hành quan trọng nhất về NSNN — cùng với TT 26/2026 tạo thành bộ ba: Luật 89 → NĐ 73 → TT 26.</w:t>
      </w:r>
    </w:p>
    <w:p>
      <w:pPr>
        <w:pStyle w:val="Heading2"/>
        <w:spacing w:after="120" w:before="240"/>
      </w:pPr>
      <w:r>
        <w:t xml:space="preserve">Lập dự toán ngân sách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Quy trình lập dự toán: đơn vị sử dụng NSNN lập dự toán thu – chi → gửi cơ quan tài chính cùng cấp → tổng hợp trình UBND → HĐND phê duyệt.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Nguyên tắc lập: dự toán thu phải tích cực, khả thi; dự toán chi phải tiết kiệm, hiệu quả, đúng chính sách.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Dự toán chi phải phân bổ theo mục lục ngân sách (MLNS): chương, loại, khoản, mục, tiểu mục, nội dung kinh tế.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lập dự toán: trước 31/5 hàng năm, đơn vị cấp cơ sở lập dự toán năm sau gửi cơ quan cấp trên.</w:t>
      </w:r>
    </w:p>
    <w:p>
      <w:pPr>
        <w:pStyle w:val="Heading2"/>
        <w:spacing w:after="120" w:before="240"/>
      </w:pPr>
      <w:r>
        <w:t xml:space="preserve">Chấp hành ngân sách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Sau khi HĐND phê duyệt dự toán, UBND phân bổ dự toán cho các đơn vị sử dụng ngân sách.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Phân bổ dự toán phải đúng mục tiêu, đúng chính sách, chế độ; không được phân bổ vượt dự toán thu.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chỉnh dự toán: trong năm, nếu phát sinh nhu cầu chi ngoài dự toán, phải báo cáo cơ quan có thẩm quyền; được điều chỉnh trong phạm vi dự toán đã giao.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Tổ chức thu NSNN: cơ quan thuế, hải quan tổ chức thu; Kho bạc Nhà nước quản lý quỹ NSNN.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Tổ chức chi NSNN: đơn vị sử dụng ngân sách lập giấy rút dự toán gửi Kho bạc; Kho bạc kiểm tra, thanh toán.</w:t>
      </w:r>
    </w:p>
    <w:p>
      <w:pPr>
        <w:pStyle w:val="Heading2"/>
        <w:spacing w:after="120" w:before="240"/>
      </w:pPr>
      <w:r>
        <w:t xml:space="preserve">Quyết toán ngân sách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Cuối năm tài chính, đơn vị sử dụng NSNN phải lập báo cáo quyết toán kinh phí đã sử dụng.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Quy trình quyết toán: đơn vị lập báo cáo → gửi cơ quan tài chính thẩm định → cơ quan tài chính tổng hợp → trình UBND → HĐND phê duyệt.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Thời hạn nộp quyết toán năm của đơn vị sử dụng NSNN: chậm nhất 60 ngày kể từ ngày kết thúc năm ngân sách (tức 28/2 năm sau).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quyết toán NSNN: chậm nhất 18 tháng sau khi kết thúc năm ngân sách.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Kinh phí không sử dụng hết trong năm: hủy dự toán (trừ một số trường hợp được chuyển nguồn theo quy định).</w:t>
      </w:r>
    </w:p>
    <w:p>
      <w:pPr>
        <w:pStyle w:val="Heading2"/>
        <w:spacing w:after="120" w:before="240"/>
      </w:pPr>
      <w:r>
        <w:t xml:space="preserve">Công khai tài chính và kiểm tra, giám sát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Tất cả các khoản thu, chi NSNN phải được công khai: dự toán, quyết toán, phân bổ, sử dụng.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Hình thức công khai: niêm yết tại trụ sở; đăng trên cổng thông tin điện tử; báo cáo tại kỳ họp HĐND.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Kiểm tra, giám sát: HĐND giám sát; cơ quan tài chính kiểm tra; Kiểm toán Nhà nước kiểm toán; Thanh tra nhà nước thanh tra.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Công dân có quyền giám sát việc sử dụng NSNN thông qua Ban Thanh tra Nhân dân và Ban Giám sát đầu tư của cộng đồng.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2026-08-14T07:41:12.636Z</dcterms:created>
  <dcterms:modified xsi:type="dcterms:W3CDTF">2026-08-14T07:41:12.636Z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