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Thông tư 24/2024/TT-BTC — Chế độ kế toán hành chính, sự nghiệp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24/2024/TT-BTC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Thông tư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17/4/2024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01/01/2025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Bộ Tài chính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Thay thế: </w:t>
      </w:r>
      <w:r>
        <w:rPr>
          <w:rFonts w:ascii="Roboto" w:cs="Roboto" w:eastAsia="Roboto" w:hAnsi="Roboto"/>
          <w:sz w:val="22"/>
          <w:szCs w:val="22"/>
        </w:rPr>
        <w:t xml:space="preserve">TT 107/2017/TT-BTC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suaDoi: </w:t>
      </w:r>
      <w:r>
        <w:rPr>
          <w:rFonts w:ascii="Roboto" w:cs="Roboto" w:eastAsia="Roboto" w:hAnsi="Roboto"/>
          <w:sz w:val="22"/>
          <w:szCs w:val="22"/>
        </w:rPr>
        <w:t xml:space="preserve">TT 46/2025/TT-BTC (từ 01/01/2026)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Phạm vi và đối tượng áp dụng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Áp dụng cho: cơ quan nhà nước, đơn vị sự nghiệp công lập, đơn vị sự nghiệp ngoài công lập, tổ chức chính trị – xã hội, hội có sử dụng ngân sách nhà nước.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Không áp dụng cho: doanh nghiệp (áp dụng TT 200/2014 hoặc TTDN nhỏ); hợp tác xã.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Đơn vị HCSN phải tuân thủ hệ thống tài khoản, chứng từ, sổ kế toán và báo cáo tài chính theo quy định tại Thông tư này.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Đây là văn bản CỐT LÕI nhất cho vị trí kế toán hành chính sự nghiệp — chiếm tỷ trọng lớn nhất bài thi viết và phỏng vấn.</w:t>
      </w:r>
    </w:p>
    <w:p>
      <w:pPr>
        <w:pStyle w:val="Heading2"/>
        <w:spacing w:after="120" w:before="240"/>
      </w:pPr>
      <w:r>
        <w:t xml:space="preserve">Hệ thống tài khoản kế toán (Phụ lục I)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Hệ thống tài khoản chia thành 2 nhóm: tài khoản trong bảng và tài khoản ngoài bảng.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Tài khoản trong bảng: loại 1 (Tài sản ngắn hạn), loại 2 (Tài sản dài hạn), loại 3 (Nợ phải trả), loại 4 (Vốn chủ sở hữu), loại 5 (Doanh thu), loại 6 (Chi phí), loại 7 (Thu nhập), loại 8 (Chi phí khác), loại 9 (Xác định kết quả).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Tài khoản ngoài bảng: phản ánh các khoản không nằm trong bảng cân đối tài khoản nhưng cần theo dõi (dự toán, kinh phí, tài sản thuê ngoài...).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Điểm mới so với TT 107/2017: bổ sung một số tài khoản mới, điều chỉnh tên gọi và nội dung hạch toán một số tài khoản cho phù hợp với Luật Kế toán sửa đổi.</w:t>
      </w:r>
    </w:p>
    <w:p>
      <w:pPr>
        <w:pStyle w:val="Heading2"/>
        <w:spacing w:after="120" w:before="240"/>
      </w:pPr>
      <w:r>
        <w:t xml:space="preserve">Chứng từ kế toán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Mọi nghiệp vụ kinh tế, tài chính phát sinh phải lập chứng từ kế toán. Chứng từ là căn cứ duy nhất để ghi sổ kế toán.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Chứng từ phải có đầy đủ nội dung: tên chứng từ, ngày tháng, thông tin đơn vị, nội dung nghiệp vụ, chữ ký người lập và người duyệt.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Chứng từ điện tử được chấp nhận nếu đáp ứng yêu cầu về chữ ký số, bảo mật và lưu trữ theo quy định.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Chứng từ phải được lập rõ ràng, trung thực, kịp thời; không được tẩy xóa, sửa chữa; nếu sai phải sửa theo 3 phương pháp quy định.</w:t>
      </w:r>
    </w:p>
    <w:p>
      <w:pPr>
        <w:pStyle w:val="Heading2"/>
        <w:spacing w:after="120" w:before="240"/>
      </w:pPr>
      <w:r>
        <w:t xml:space="preserve">Sổ kế toán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Đơn vị HCSN phải mở sổ kế toán để ghi chép, hệ thống hóa các nghiệp vụ kinh tế phát sinh trong kỳ.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Các loại sổ: sổ nhật ký chung, sổ cái, sổ chi tiết, sổ thẻ tài sản, sổ quỹ tiền mặt, sổ tiền gửi ngân hàng.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Sổ kế toán phải được khóa sổ vào cuối kỳ (cuối tháng, cuối quý, cuối năm) trước khi lập báo cáo.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Hình thức ghi sổ phổ biến: 'Nhật ký chung' — ghi tất cả nghiệp vụ theo trình tự thời gian vào sổ nhật ký, sau đó phân bổ vào sổ cái các tài khoản.</w:t>
      </w:r>
    </w:p>
    <w:p>
      <w:pPr>
        <w:pStyle w:val="Heading2"/>
        <w:spacing w:after="120" w:before="240"/>
      </w:pPr>
      <w:r>
        <w:t xml:space="preserve">Báo cáo tài chính và báo cáo quyết toán kinh phí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Phân biệt 2 loại báo cáo: (1) Báo cáo quyết toán kinh phí NSNN — phản ánh việc sử dụng ngân sách; (2) Báo cáo tài chính — phản ánh tình hình tài sản, nguồn vốn.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Báo cáo quyết toán kinh phí gồm: Bảng quyết toán kinh phí hoạt động; Bảng quyết toán kinh phí dự án; Thuyết minh quyết toán.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BCTC gồm: Bảng cân đối tài khoản; Bảng cân đối kế toán; Báo cáo thu – chi hoạt động; Báo cáo lưu chuyển tiền tệ; Thuyết minh BCTC.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Thời hạn nộp BCTC năm: chậm nhất 90 ngày kể từ ngày kết thúc năm tài chính (tức 31/3 năm sau).</w:t>
      </w:r>
    </w:p>
    <w:p>
      <w:pPr>
        <w:pStyle w:val="Heading2"/>
        <w:spacing w:after="120" w:before="240"/>
      </w:pPr>
      <w:r>
        <w:t xml:space="preserve">Chuyển tiếp từ TT 107/2017 sang TT 24/2024 (Điều 14)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Khi chuyển từ TT 107/2017 sang TT 24/2024, đơn vị phải lập bảng đối chiếu số dư tài khoản cũ – mới.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Thực hiện bút toán chuyển đổi số dư: ghi Nợ/Có tài khoản mới tương ứng với số dư tài khoản cũ.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Việc chuyển đổi phải được thực hiện tại thời điểm đầu năm tài chính 2025 (01/01/2025).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Số liệu so sánh trên BCTC năm 2025 phải được điều chỉnh lại theo hệ thống tài khoản mới để đảm bảo tính so sánh.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2026-08-14T07:41:12.465Z</dcterms:created>
  <dcterms:modified xsi:type="dcterms:W3CDTF">2026-08-14T07:41:12.465Z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