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Thông tư 108/2025/TT-BTC — BCTC hợp nhất đơn vị kế toán HCSN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108/2025/TT-BTC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Thông tư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14/11/2025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01/01/2026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Bộ Tài chính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Áp dụng: </w:t>
      </w:r>
      <w:r>
        <w:rPr>
          <w:rFonts w:ascii="Roboto" w:cs="Roboto" w:eastAsia="Roboto" w:hAnsi="Roboto"/>
          <w:sz w:val="22"/>
          <w:szCs w:val="22"/>
        </w:rPr>
        <w:t xml:space="preserve">BCTC hợp nhất từ năm tài chính 2025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Đối tượng áp dụng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Áp dụng cho đơn vị kế toán cấp trên (cơ quan tài chính, cơ quan chủ quản) có đơn vị kế toán trực thuộc.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Ví dụ: Sở Tài chính lập BCTC hợp nhất cho toàn tỉnh; UBND cấp tỉnh lập BCTC hợp nhất của địa phương.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kế toán cấp trên phải lập BCTC hợp nhất bao gồm số liệu của mình và tất cả đơn vị trực thuộc.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Không bao gồm số liệu của các quỹ tài chính ngoài ngân sách (quỹ bảo hiểm xã hội, quỹ hỗ trợ...).</w:t>
      </w:r>
    </w:p>
    <w:p>
      <w:pPr>
        <w:pStyle w:val="Heading2"/>
        <w:spacing w:after="120" w:before="240"/>
      </w:pPr>
      <w:r>
        <w:t xml:space="preserve">Phương pháp hợp nhất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Bước 1: Cộng ngang các chỉ tiêu trên BCTC của đơn vị cấp trên và tất cả đơn vị trực thuộc.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Bước 2: Loại trừ các giao dịch nội bộ (thu – chi nội bộ, vay mượn nội bộ, cấp phát – nhận kinh phí nội bộ).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Bước 3: Lập bảng cân đối sau khi loại trừ giao dịch nội bộ — đây chính là BCTC hợp nhất.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Giao dịch nội bộ cần loại trừ: kinh phí cấp cho đơn vị trực thuộc; thu – chi giữa các đơn vị trong cùng hệ thống; nợ phải thu/phải trả nội bộ.</w:t>
      </w:r>
    </w:p>
    <w:p>
      <w:pPr>
        <w:pStyle w:val="Heading2"/>
        <w:spacing w:after="120" w:before="240"/>
      </w:pPr>
      <w:r>
        <w:t xml:space="preserve">Nội dung BCTC hợp nhất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Bảng cân đối tài khoản hợp nhất: tổng hợp số dư tất cả tài khoản của đơn vị cấp trên và đơn vị trực thuộc sau khi loại trừ.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Bảng cân đối kế toán hợp nhất: tài sản = nguồn vốn (bao gồm cả tài sản, nguồn vốn của đơn vị trực thuộc).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Báo cáo thu – chi hợp nhất: tổng hợp doanh thu, chi phí sau khi loại trừ giao dịch nội bộ.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Thuyết minh BCTC hợp nhất: giải trình các chỉ tiêu chủ yếu, chính sách kế toán áp dụng, thông tin bổ sung.</w:t>
      </w:r>
    </w:p>
    <w:p>
      <w:pPr>
        <w:pStyle w:val="Heading2"/>
        <w:spacing w:after="120" w:before="240"/>
      </w:pPr>
      <w:r>
        <w:t xml:space="preserve">Thời hạn và trách nhiệm lập BCTC hợp nhất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BCTC hợp nhất được lập hàng năm, cùng kỳ với BCTC của từng đơn vị.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nộp: chậm nhất 90 ngày kể từ ngày kết thúc năm tài chính (31/3 năm sau).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Người đứng đầu đơn vị kế toán cấp trên chịu trách nhiệm về tính chính xác, đầy đủ của BCTC hợp nhất.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BCTC hợp nhất phải được kiểm toán (nếu thuộc đối tượng kiểm toán bắt buộc) trước khi nộp cơ quan tài chính.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2026-08-14T07:41:12.489Z</dcterms:created>
  <dcterms:modified xsi:type="dcterms:W3CDTF">2026-08-14T07:41:12.489Z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