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Nghị định 174/2016/NĐ-CP — Quy định chi tiết Luật Kế toán</w:t>
      </w: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THÔNG TIN VĂN BẢN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Số hiệu: </w:t>
      </w:r>
      <w:r>
        <w:rPr>
          <w:rFonts w:ascii="Roboto" w:cs="Roboto" w:eastAsia="Roboto" w:hAnsi="Roboto"/>
          <w:sz w:val="22"/>
          <w:szCs w:val="22"/>
        </w:rPr>
        <w:t xml:space="preserve">174/2016/NĐ-CP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Loại văn bản: </w:t>
      </w:r>
      <w:r>
        <w:rPr>
          <w:rFonts w:ascii="Roboto" w:cs="Roboto" w:eastAsia="Roboto" w:hAnsi="Roboto"/>
          <w:sz w:val="22"/>
          <w:szCs w:val="22"/>
        </w:rPr>
        <w:t xml:space="preserve">Nghị định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ban hành: </w:t>
      </w:r>
      <w:r>
        <w:rPr>
          <w:rFonts w:ascii="Roboto" w:cs="Roboto" w:eastAsia="Roboto" w:hAnsi="Roboto"/>
          <w:sz w:val="22"/>
          <w:szCs w:val="22"/>
        </w:rPr>
        <w:t xml:space="preserve">30/12/2016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Ngày hiệu lực: </w:t>
      </w:r>
      <w:r>
        <w:rPr>
          <w:rFonts w:ascii="Roboto" w:cs="Roboto" w:eastAsia="Roboto" w:hAnsi="Roboto"/>
          <w:sz w:val="22"/>
          <w:szCs w:val="22"/>
        </w:rPr>
        <w:t xml:space="preserve">01/01/2017</w:t>
      </w:r>
    </w:p>
    <w:p>
      <w:pPr>
        <w:spacing w:after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Cơ quan ban hành: </w:t>
      </w:r>
      <w:r>
        <w:rPr>
          <w:rFonts w:ascii="Roboto" w:cs="Roboto" w:eastAsia="Roboto" w:hAnsi="Roboto"/>
          <w:sz w:val="22"/>
          <w:szCs w:val="22"/>
        </w:rPr>
        <w:t xml:space="preserve">Chính phủ</w:t>
      </w:r>
    </w:p>
    <w:p>
      <w:pPr>
        <w:spacing w:after="200"/>
      </w:pPr>
    </w:p>
    <w:p>
      <w:pPr>
        <w:pStyle w:val="Heading1"/>
        <w:pBdr>
          <w:bottom w:val="single" w:color="4F46E5" w:sz="1"/>
        </w:pBdr>
        <w:spacing w:after="200" w:before="200"/>
      </w:pPr>
      <w:r>
        <w:t xml:space="preserve">NỘI DUNG TRỌNG TÂM</w:t>
      </w:r>
    </w:p>
    <w:p>
      <w:pPr>
        <w:pStyle w:val="Heading2"/>
        <w:spacing w:after="120" w:before="240"/>
      </w:pPr>
      <w:r>
        <w:t xml:space="preserve">Thời hạn lưu trữ tài liệu kế toán (Điều 12–14)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Lưu trữ tối thiểu 5 năm (Điều 12): chứng từ kế toán sử dụng trực tiếp để ghi sổ nhưng không dùng làm căn cứ lập BCTC năm; sổ kế toán chi tiết; báo cáo kiểm kê.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Lưu trữ tối thiểu 10 năm (Điều 13): chứng từ dùng để lập BCTC năm; sổ kế toán tổng hợp; BCTC quý; hồ sơ quyết toán.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Lưu trữ vĩnh viễn (Điều 14): BCTC năm đã có quyết toán; sổ cái; sổ nhật ký; hồ sơ kiểm kê đặc biệt quan trọng.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Thời hạn lưu trữ tính từ ngày kết thúc kỳ kế toán năm. Tài liệu lưu trữ vĩnh viễn phải được bảo quản đặc biệt.</w:t>
      </w:r>
    </w:p>
    <w:p>
      <w:pPr>
        <w:pStyle w:val="Heading2"/>
        <w:spacing w:after="120" w:before="240"/>
      </w:pPr>
      <w:r>
        <w:t xml:space="preserve">Tiêu hủy tài liệu kế toán (Điều 16)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Tài liệu kế toán hết thời hạn lưu trữ theo quy định có thể được tiêu hủy.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Quy trình: (1) Người phụ trách kế toán lập danh mục tài liệu cần tiêu hủy; (2) Người đứng đầu đơn vị quyết định thành lập Hội đồng tiêu hủy; (3) Hội đồng kiểm tra, lập biên bản; (4) Tiến hành tiêu hủy dưới sự giám sát của Hội đồng.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Hội đồng tiêu hủy gồm: đại diện người đứng đầu đơn vị (chủ tịch), kế toán trưởng (thư ký), đại diện tổ chức đoàn thể.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Biên bản tiêu hủy phải ghi rõ: danh mục, số lượng tài liệu, hình thức tiêu hủy, chữ ký các thành viên Hội đồng.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Không được tiêu hủy tài liệu khi đơn vị đang bị thanh tra, kiểm tra hoặc đang có tranh chấp.</w:t>
      </w:r>
    </w:p>
    <w:p>
      <w:pPr>
        <w:pStyle w:val="Heading2"/>
        <w:spacing w:after="120" w:before="240"/>
      </w:pPr>
      <w:r>
        <w:t xml:space="preserve">Kế toán trưởng và phụ trách kế toán (Điều 20–21)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Đơn vị phải bố trí kế toán trưởng (Điều 20). Trường hợp chưa bổ nhiệm được thì bố trí phụ trách kế toán.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Phụ trách kế toán: chỉ được bố trí tối đa 12 tháng; phải có trình độ chuyên môn kế toán từ trung cấp trở lên.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trưởng đơn vị sự nghiệp công lập: phải có trình độ đại học trở lên, có chứng chỉ bồi dưỡng kế toán trưởng.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Kế toán trưởng có quyền độc lập về chuyên môn, nghiệp vụ; người đứng đầu đơn vị không được can thiệp trái pháp luật vào công việc kế toán của kế toán trưởng.</w:t>
      </w:r>
    </w:p>
    <w:p>
      <w:pPr>
        <w:pStyle w:val="Heading2"/>
        <w:spacing w:after="120" w:before="240"/>
      </w:pPr>
      <w:r>
        <w:t xml:space="preserve">Quy định về chứng từ điện tử và chữ ký số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kế toán được lập dưới dạng điện tử có giá trị pháp lý tương đương chứng từ giấy (Điều 17).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Chữ ký trên chứng từ điện tử phải là chữ ký số được cấp bởi tổ chức cung cấp dịch vụ chứng thực chữ ký số được cấp phép.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Chứng từ điện tử phải được lưu trữ trên hệ thống thông tin đáp ứng yêu cầu về bảo mật, toàn vẹn dữ liệu.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Khi in chứng từ điện tử ra giấy để lưu trữ bổ sung, phải ghi rõ 'In từ chứng từ điện tử' và có chữ ký xác nhận.</w:t>
      </w:r>
    </w:p>
    <w:p>
      <w:pPr>
        <w:pStyle w:val="Heading2"/>
        <w:spacing w:after="120" w:before="240"/>
      </w:pPr>
      <w:r>
        <w:t xml:space="preserve">Xử phạt vi phạm trong lĩnh vực kế toán</w:t>
      </w:r>
    </w:p>
    <w:p>
      <w:pPr>
        <w:spacing w:after="6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Vi phạm quy định về chứng từ: phạt tiền từ 5–50 triệu đồng tùy mức độ (giả mạo chứng từ là nặng nhất).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 phạm quy định về sổ kế toán: ghi sổ không đúng phương pháp, không khóa sổ, không mở sổ — phạt 3–20 triệu đồng.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 phạm quy định về BCTC: lập BCTC không trung thực, không công bố BCTC — phạt 10–50 triệu đồng.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Vi phạm quy định về kiểm kê tài sản: không kiểm kê hoặc kiểm kê không đúng quy định — phạt 5–15 triệu đồng.</w:t>
      </w:r>
    </w:p>
    <w:p>
      <w:pPr>
        <w:spacing w:after="60"/>
      </w:pPr>
      <w:r>
        <w:rPr>
          <w:rFonts w:ascii="Roboto" w:cs="Roboto" w:eastAsia="Roboto" w:hAnsi="Roboto"/>
          <w:b w:val="false"/>
          <w:bCs w:val="false"/>
          <w:sz w:val="22"/>
          <w:szCs w:val="22"/>
        </w:rPr>
        <w:t xml:space="preserve">Cá nhân vi phạm nghiêm trọng có thể bị truy cứu trách nhiệm hình sự theo Bộ luật Hình sự.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2026-08-14T07:41:12.552Z</dcterms:created>
  <dcterms:modified xsi:type="dcterms:W3CDTF">2026-08-14T07:41:12.552Z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