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Luật Ngân sách nhà nước 89/2025/QH15</w:t>
      </w: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THÔNG TIN VĂN BẢN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Số hiệu: </w:t>
      </w:r>
      <w:r>
        <w:rPr>
          <w:rFonts w:ascii="Roboto" w:cs="Roboto" w:eastAsia="Roboto" w:hAnsi="Roboto"/>
          <w:sz w:val="22"/>
          <w:szCs w:val="22"/>
        </w:rPr>
        <w:t xml:space="preserve">89/2025/QH15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Loại văn bản: </w:t>
      </w:r>
      <w:r>
        <w:rPr>
          <w:rFonts w:ascii="Roboto" w:cs="Roboto" w:eastAsia="Roboto" w:hAnsi="Roboto"/>
          <w:sz w:val="22"/>
          <w:szCs w:val="22"/>
        </w:rPr>
        <w:t xml:space="preserve">Luật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ban hành: </w:t>
      </w:r>
      <w:r>
        <w:rPr>
          <w:rFonts w:ascii="Roboto" w:cs="Roboto" w:eastAsia="Roboto" w:hAnsi="Roboto"/>
          <w:sz w:val="22"/>
          <w:szCs w:val="22"/>
        </w:rPr>
        <w:t xml:space="preserve">25/6/2025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hiệu lực: </w:t>
      </w:r>
      <w:r>
        <w:rPr>
          <w:rFonts w:ascii="Roboto" w:cs="Roboto" w:eastAsia="Roboto" w:hAnsi="Roboto"/>
          <w:sz w:val="22"/>
          <w:szCs w:val="22"/>
        </w:rPr>
        <w:t xml:space="preserve">Từ năm ngân sách 2026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Cơ quan ban hành: </w:t>
      </w:r>
      <w:r>
        <w:rPr>
          <w:rFonts w:ascii="Roboto" w:cs="Roboto" w:eastAsia="Roboto" w:hAnsi="Roboto"/>
          <w:sz w:val="22"/>
          <w:szCs w:val="22"/>
        </w:rPr>
        <w:t xml:space="preserve">Quốc hội khóa XV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Thay thế: </w:t>
      </w:r>
      <w:r>
        <w:rPr>
          <w:rFonts w:ascii="Roboto" w:cs="Roboto" w:eastAsia="Roboto" w:hAnsi="Roboto"/>
          <w:sz w:val="22"/>
          <w:szCs w:val="22"/>
        </w:rPr>
        <w:t xml:space="preserve">Luật NSNN 83/2015/QH13 (sửa đổi bởi Luật 56/2024)</w:t>
      </w:r>
    </w:p>
    <w:p>
      <w:pPr>
        <w:spacing w:after="200"/>
      </w:pP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NỘI DUNG TRỌNG TÂM</w:t>
      </w:r>
    </w:p>
    <w:p>
      <w:pPr>
        <w:pStyle w:val="Heading2"/>
        <w:spacing w:after="120" w:before="240"/>
      </w:pPr>
      <w:r>
        <w:t xml:space="preserve">Tinh thần đổi mới của Luật NSNN 89/2025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Xóa bỏ cơ chế 'xin – cho' trong phân bổ ngân sách; tăng cường phân cấp, phân quyền cho địa phương.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Ngân sách địa phương được tổ chức theo mô hình 2 cấp (tỉnh – xã), phù hợp với mô hình chính quyền 2 cấp.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Tăng tính minh bạch: công khai ngân sách bắt buộc, áp dụng công nghệ thông tin trong quản lý NSNN.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Đẩy mạnh tự chủ tài chính cho đơn vị sự nghiệp công lập; giảm dần cấp phát kinh phí theo đầu vào, chuyển sang đặt hàng theo đầu ra.</w:t>
      </w:r>
    </w:p>
    <w:p>
      <w:pPr>
        <w:pStyle w:val="Heading2"/>
        <w:spacing w:after="120" w:before="240"/>
      </w:pPr>
      <w:r>
        <w:t xml:space="preserve">Phân cấp nguồn thu và nhiệm vụ chi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Ngân sách TW (NSTW): thu từ thuế xuất nhập khẩu, thuế GTGT hàng nhập khẩu, thuế thu nhập doanh nghiệp các tập đoàn lớn, dầu thô.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Ngân sách địa phương (NSĐP): thu từ thuế sử dụng đất, thuế nhà đất, lệ phí, thu từ hoạt động kinh doanh địa phương, thu từ tài sản công.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NSĐP bao gồm ngân sách cấp tỉnh và ngân sách cấp xã (mô hình 2 cấp).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Phân chia nguồn thu giữa NSTW và NSĐP: một số khoản thu được phân chia theo tỷ lệ phần trăm (ví dụ: thuế GTGT nội địa).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Nhiệm vụ chi: NSTW chi cho quốc phòng, an ninh, đối ngoại, đầu tư quốc gia; NSĐP chi cho giáo dục, y tế, hạ tầng địa phương.</w:t>
      </w:r>
    </w:p>
    <w:p>
      <w:pPr>
        <w:pStyle w:val="Heading2"/>
        <w:spacing w:after="120" w:before="240"/>
      </w:pPr>
      <w:r>
        <w:t xml:space="preserve">Chu trình ngân sách nhà nước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Khâu 1 — Lập dự toán: xây dựng kế hoạch thu – chi cho năm tài chính tiếp theo. Thời gian: trước ngày 31/5 hàng năm, các đơn vị lập dự toán gửi cơ quan tài chính.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Khâu 2 — Chấp hành: tổ chức thu NSNN (thu thuế, phí, lệ phí); phân bổ, giao dự toán chi; thực hiện chi theo dự toán được giao.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Khâu 3 — Kế toán, kiểm toán: ghi chép, phản ánh tình hình thu – chi; kiểm toán NSNN bởi Kiểm toán Nhà nước.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Khâu 4 — Quyết toán: tổng kết thu – chi thực tế trong năm; lập báo cáo quyết toán; thẩm tra và phê duyệt quyết toán.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Thời hạn quyết toán năm: chậm nhất 18 tháng sau khi kết thúc năm ngân sách.</w:t>
      </w:r>
    </w:p>
    <w:p>
      <w:pPr>
        <w:pStyle w:val="Heading2"/>
        <w:spacing w:after="120" w:before="240"/>
      </w:pPr>
      <w:r>
        <w:t xml:space="preserve">Ngân sách cấp xã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Ngân sách cấp xã bao gồm: thu từ thuế sử dụng đất, thuế nhà đất, lệ phí trước bạ, thu từ tài sản công cấp xã, thu từ hoạt động kinh tế của xã.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Nhiệm vụ chi ngân sách xã: chi quản lý hành chính; chi sự nghiệp giáo dục, y tế, văn hóa, xã hội, môi trường; chi quốc phòng, an ninh.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HĐND cấp xã quyết định dự toán, phân bổ và quyết toán ngân sách xã.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UBND cấp xã tổ chức thực hiện thu – chi ngân sách; lập báo cáo quyết toán trình HĐND phê duyệt.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Công khai ngân sách cấp xã: phải niêm yết tại trụ sở UBND và đăng trên cổng thông tin điện tử (nếu có).</w:t>
      </w:r>
    </w:p>
    <w:p>
      <w:pPr>
        <w:pStyle w:val="Heading2"/>
        <w:spacing w:after="120" w:before="240"/>
      </w:pPr>
      <w:r>
        <w:t xml:space="preserve">Quản lý nợ công và bội chi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Bội chi NSNN: phần chênh lệch giữa tổng chi vượt tổng thu của NSTW; được bù đắp bằng vay nợ.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Hạn mức vay nợ: Quốc hội quyết định trần nợ công, trần bội chi hàng năm.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NSĐP không được vay nợ để bù đắp bội chi (trừ trường hợp phát hành trái phiếu chính quyền địa phương theo quy định).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Quản lý nợ công: Bộ Tài chính là đầu mối; phải công bố báo cáo nợ công định kỳ hàng năm.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2026-08-14T07:41:12.607Z</dcterms:created>
  <dcterms:modified xsi:type="dcterms:W3CDTF">2026-08-14T07:41:12.607Z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