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Thông tư 26/2026/TT-BTC — Hướng dẫn NĐ 73/2026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26/2026/TT-BTC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Thông tư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25/3/2026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Bộ Tài chính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huongDan: </w:t>
      </w:r>
      <w:r>
        <w:rPr>
          <w:rFonts w:ascii="Roboto" w:cs="Roboto" w:eastAsia="Roboto" w:hAnsi="Roboto"/>
          <w:sz w:val="22"/>
          <w:szCs w:val="22"/>
        </w:rPr>
        <w:t xml:space="preserve">Nghị định 73/2026/NĐ-CP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Vai trò của Thông tư 26/2026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Hướng dẫn chi tiết thi hành NĐ 73/2026/NĐ-CP về Luật NSNN 89/2025.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văn bản 'sát việc nhất' đối với kế toán cấp xã — hướng dẫn cụ thể cách lập dự toán, phân bổ, thu – chi, quyết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Hiệu lực từ 25/3/2026; áp dụng cho năm ngân sách 2026 trở đi.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Bộ ba văn bản: Luật 89/2025 → NĐ 73/2026 → TT 26/2026 — tạo thành khung pháp lý hoàn chỉnh về NSNN.</w:t>
      </w:r>
    </w:p>
    <w:p>
      <w:pPr>
        <w:pStyle w:val="Heading2"/>
        <w:spacing w:after="120" w:before="240"/>
      </w:pPr>
      <w:r>
        <w:t xml:space="preserve">Lập dự toán và phân bổ ngân sách cấp xã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UBND cấp xã lập dự toán thu – chi ngân sách xã, trình HĐND cùng cấp phê duyệt.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Dự toán thu phải căn cứ vào: chính sách thuế hiện hành; tình hình kinh tế địa phương; kết quả thu các năm trước.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Dự toán chi phải phân bổ theo: chi thường xuyên (lương, hoạt động); chi đầu tư phát triển; chi dự phòng.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khi HĐND phê duyệt, UBND phân bổ dự toán cho các bộ phận, đơn vị trực thuộc.</w:t>
      </w:r>
    </w:p>
    <w:p>
      <w:pPr>
        <w:pStyle w:val="Heading2"/>
        <w:spacing w:after="120" w:before="240"/>
      </w:pPr>
      <w:r>
        <w:t xml:space="preserve">Tổ chức thu – chi ngân sách cấp xã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Thu ngân sách xã: UBND xã tổ chức thu thuế sử dụng đất, lệ phí, thu từ tài sản công... qua bộ phận tài chính – kế toán xã.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Chi ngân sách xã: thực hiện theo dự toán được duyệt; mỗi khoản chi phải có chứng từ hợp lệ, đúng mục lục ngân sách.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Kho bạc Nhà nước kiểm soát chi: đơn vị lập giấy rút dự toán, gửi Kho bạc; Kho bạc kiểm tra tính hợp lệ trước khi thanh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Quỹ ngân sách xã được quản lý tập trung tại Kho bạc Nhà nước.</w:t>
      </w:r>
    </w:p>
    <w:p>
      <w:pPr>
        <w:pStyle w:val="Heading2"/>
        <w:spacing w:after="120" w:before="240"/>
      </w:pPr>
      <w:r>
        <w:t xml:space="preserve">Công khai ngân sách cấp xã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Nội dung công khai: (1) Dự toán thu – chi ngân sách xã đã được HĐND phê duyệt; (2) Tình hình thực hiện dự toán thu – chi hàng quý, 6 tháng, năm; (3) Quyết toán ngân sách xã đã được HĐND phê duyệt; (4) Các khoản đóng góp của Nhân dân (nếu có).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Hình thức công khai: niêm yết tại trụ sở UBND xã; thông báo tại hội nghị cử tri; đăng trên cổng thông tin điện tử (nếu có); phát trên loa truyền thanh xã.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hạn công khai: dự toán — trong vòng 15 ngày kể từ ngày HĐND phê duyệt; quyết toán — trong vòng 15 ngày kể từ ngày HĐND phê duyệt quyết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Công dân có quyền khiếu nại, tố cáo nếu phát hiện sai phạm trong quản lý, sử dụng ngân sách xã.</w:t>
      </w:r>
    </w:p>
    <w:p>
      <w:pPr>
        <w:pStyle w:val="Heading2"/>
        <w:spacing w:after="120" w:before="240"/>
      </w:pPr>
      <w:r>
        <w:t xml:space="preserve">Quyết toán ngân sách cấp xã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Cuối năm, bộ phận tài chính – kế toán xã lập báo cáo quyết toán thu – chi ngân sách xã.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Quy trình: kế toán xã lập báo cáo → UBND xem xét → trình HĐND phê duyệt quyết toán → gửi Phòng Tài chính – Kế hoạch (cấp huyện cũ) hoặc cơ quan tài chính cấp tỉnh thẩm định.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nộp quyết toán: theo quy định tại NĐ 73/2026 và TT 26/2026.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Kinh phí không sử dụng hết: xử lý theo quy định — hủy dự toán hoặc chuyển nguồn (nếu được phép).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2026-08-14T07:41:12.657Z</dcterms:created>
  <dcterms:modified xsi:type="dcterms:W3CDTF">2026-08-14T07:41:12.657Z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