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Nghị định 111/2025/NĐ-CP — Sửa đổi NĐ 60/2021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111/2025/NĐ-CP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Nghị định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22/5/2025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01/7/2025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Chính phủ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suaDoi: </w:t>
      </w:r>
      <w:r>
        <w:rPr>
          <w:rFonts w:ascii="Roboto" w:cs="Roboto" w:eastAsia="Roboto" w:hAnsi="Roboto"/>
          <w:sz w:val="22"/>
          <w:szCs w:val="22"/>
        </w:rPr>
        <w:t xml:space="preserve">NĐ 60/2021/NĐ-CP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Sửa đổi thẩm quyền ban hành danh mục DVSNC (khoản 3 Điều 4)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Trước sửa đổi: Bộ trưởng, Thủ trưởng cơ quan ngang bộ ban hành danh mục DVSNC sử dụng NSNN thuộc lĩnh vực quản lý.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Sau sửa đổi: Thủ tướng Chính phủ ban hành danh mục DVSNC sử dụng NSNN trên phạm vi toàn quốc, thống nhất giữa các ngành.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UBND cấp tỉnh ban hành danh mục DVSNC sử dụng NSNN tại địa phương, phù hợp với điều kiện thực tế.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Mục đích: tăng tính thống nhất, tránh chồng chéo giữa các ngành, các địa phương trong việc xác định DVSNC.</w:t>
      </w:r>
    </w:p>
    <w:p>
      <w:pPr>
        <w:pStyle w:val="Heading2"/>
        <w:spacing w:after="120" w:before="240"/>
      </w:pPr>
      <w:r>
        <w:t xml:space="preserve">Hoàn thiện quy định về giá dịch vụ sự nghiệp công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Giá DVSNC do cơ quan nhà nước có thẩm quyền quyết định: giá tối đa, giá tối thiểu hoặc khung giá.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NĐ 111/2025 bổ sung quy định: khi điều chỉnh giá DVSNC phải đánh giá tác động đến đối tượng thụ hưởng, đặc biệt là người nghèo, đối tượng chính sách.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Miễn, giảm giá DVSNC cho đối tượng chính sách: người có công, hộ nghèo, trẻ em dưới 6 tuổi, người cao tuổi.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Giá DVSNC phải được công bố công khai; không được thu vượt mức giá quy định.</w:t>
      </w:r>
    </w:p>
    <w:p>
      <w:pPr>
        <w:pStyle w:val="Heading2"/>
        <w:spacing w:after="120" w:before="240"/>
      </w:pPr>
      <w:r>
        <w:t xml:space="preserve">Sửa đổi Điều 35 — Giao quyền tự chủ tài chính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Trước sửa đổi: cơ quan quản lý cấp trên giao quyền tự chủ tài chính cho ĐVSNCL theo đề nghị của đơn vị.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Sau sửa đổi: việc giao quyền tự chủ tài chính phải căn cứ vào kết quả xác định mức độ tự bảo đảm chi thường xuyên của đơn vị.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Thời hạn giao quyền: 3 năm (trước đây là hàng năm); giúp đơn vị chủ động hơn trong kế hoạch tài chính trung hạn.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Đơn vị được giao quyền tự chủ phải xây dựng phương án hoạt động, cam kết mục tiêu, chỉ tiêu cụ thể.</w:t>
      </w:r>
    </w:p>
    <w:p>
      <w:pPr>
        <w:pStyle w:val="Heading2"/>
        <w:spacing w:after="120" w:before="240"/>
      </w:pPr>
      <w:r>
        <w:t xml:space="preserve">Tác động đến đơn vị sự nghiệp công lập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NĐ 111/2025 tạo thuận lợi cho ĐVSNCL: thời hạn giao quyền tự chủ dài hơn (3 năm), danh mục DVSNC thống nhất hơn.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Giá dịch vụ được điều chỉnh linh hoạt hơn, nhưng phải bảo đảm an sinh xã hội cho đối tượng yếu thế.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Kế toán tại ĐVSNCL cần cập nhật: cách xác định mức tự bảo đảm mới, cách tính giá dịch vụ, cách phân phối kết quả tài chính.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Đơn vị cần xây dựng phương án tự chủ tài chính trung hạn (3 năm) trình cơ quan quản lý phê duyệt.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2026-08-14T07:41:12.702Z</dcterms:created>
  <dcterms:modified xsi:type="dcterms:W3CDTF">2026-08-14T07:41:12.702Z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