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FA96E" w14:textId="77777777" w:rsidR="009E5FB4" w:rsidRDefault="00510EF7" w:rsidP="00510EF7">
      <w:pPr>
        <w:pStyle w:val="Title"/>
      </w:pPr>
      <w:bookmarkStart w:id="0" w:name="_GoBack"/>
      <w:bookmarkEnd w:id="0"/>
      <w:r>
        <w:t xml:space="preserve">Tournament Thresholds </w:t>
      </w:r>
    </w:p>
    <w:p w14:paraId="0433A85F" w14:textId="77777777" w:rsidR="00510EF7" w:rsidRDefault="00510EF7" w:rsidP="00510EF7">
      <w:pPr>
        <w:pStyle w:val="Heading1"/>
      </w:pPr>
      <w:r>
        <w:t>Summary</w:t>
      </w:r>
    </w:p>
    <w:p w14:paraId="4CCEFBF5" w14:textId="77777777" w:rsidR="00404249" w:rsidRDefault="00510EF7" w:rsidP="00404249">
      <w:r>
        <w:t>The approach is to use the private matches to estimate the cost function for improving Banner. With the cost function, simulated experimental data can be generated, and estimates derived from the simulated data. Th</w:t>
      </w:r>
      <w:r w:rsidR="00404249">
        <w:t>is</w:t>
      </w:r>
      <w:r>
        <w:t xml:space="preserve"> </w:t>
      </w:r>
      <w:r w:rsidR="00404249">
        <w:t>approach</w:t>
      </w:r>
      <w:r>
        <w:t xml:space="preserve"> requires </w:t>
      </w:r>
      <w:r w:rsidR="00404249" w:rsidRPr="00404249">
        <w:rPr>
          <w:rStyle w:val="IntenseEmphasis"/>
        </w:rPr>
        <w:t>large a</w:t>
      </w:r>
      <w:r w:rsidRPr="00404249">
        <w:rPr>
          <w:rStyle w:val="IntenseEmphasis"/>
        </w:rPr>
        <w:t>ssum</w:t>
      </w:r>
      <w:r w:rsidR="00404249" w:rsidRPr="00404249">
        <w:rPr>
          <w:rStyle w:val="IntenseEmphasis"/>
        </w:rPr>
        <w:t>ptions</w:t>
      </w:r>
      <w:r w:rsidRPr="00404249">
        <w:rPr>
          <w:rStyle w:val="IntenseEmphasis"/>
        </w:rPr>
        <w:t xml:space="preserve"> </w:t>
      </w:r>
      <w:r w:rsidR="00404249" w:rsidRPr="00404249">
        <w:t>on behavior and costs</w:t>
      </w:r>
      <w:r w:rsidR="00404249">
        <w:t>, but that is unavoidable</w:t>
      </w:r>
      <w:r w:rsidR="00404249" w:rsidRPr="00404249">
        <w:t>.</w:t>
      </w:r>
      <w:r w:rsidR="00404249">
        <w:t xml:space="preserve"> I use the Signals tournaments as a guide when making a decisions on various needed quantities. </w:t>
      </w:r>
    </w:p>
    <w:p w14:paraId="3BA4CFBA" w14:textId="77777777" w:rsidR="00404249" w:rsidRDefault="00B70624" w:rsidP="00404249">
      <w:pPr>
        <w:pStyle w:val="Heading1"/>
      </w:pPr>
      <w:r>
        <w:t>Assumptions</w:t>
      </w:r>
    </w:p>
    <w:p w14:paraId="3CC1F7B9" w14:textId="77777777" w:rsidR="00560D54" w:rsidRPr="00560D54" w:rsidRDefault="00560D54" w:rsidP="00560D54">
      <w:pPr>
        <w:pStyle w:val="Heading2"/>
      </w:pPr>
      <w:r>
        <w:t>Structural Assumptions</w:t>
      </w:r>
    </w:p>
    <w:p w14:paraId="78495649" w14:textId="77777777" w:rsidR="00404249" w:rsidRPr="00404249" w:rsidRDefault="00404249" w:rsidP="00B95386">
      <w:pPr>
        <w:pStyle w:val="ListParagraph"/>
        <w:numPr>
          <w:ilvl w:val="0"/>
          <w:numId w:val="2"/>
        </w:numPr>
      </w:pPr>
      <w:r>
        <w:t xml:space="preserve">Costs of obtaining a score of </w:t>
      </w:r>
      <m:oMath>
        <m:r>
          <w:rPr>
            <w:rFonts w:ascii="Cambria Math" w:hAnsi="Cambria Math"/>
          </w:rPr>
          <m:t>b</m:t>
        </m:r>
      </m:oMath>
      <w:r w:rsidRPr="00B95386">
        <w:rPr>
          <w:rFonts w:eastAsiaTheme="minorEastAsia"/>
        </w:rPr>
        <w:t xml:space="preserve"> are a function of ability (</w:t>
      </w:r>
      <m:oMath>
        <m:r>
          <w:rPr>
            <w:rFonts w:ascii="Cambria Math" w:eastAsiaTheme="minorEastAsia" w:hAnsi="Cambria Math"/>
          </w:rPr>
          <m:t>a</m:t>
        </m:r>
      </m:oMath>
      <w:r w:rsidRPr="00B95386">
        <w:rPr>
          <w:rFonts w:eastAsiaTheme="minorEastAsia"/>
        </w:rPr>
        <w:t>) (as measured by ratings):</w:t>
      </w:r>
      <w:r w:rsidRPr="00B95386">
        <w:rPr>
          <w:rFonts w:eastAsiaTheme="minorEastAsia"/>
        </w:rPr>
        <w:br/>
      </w:r>
      <m:oMathPara>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 δ</m:t>
          </m:r>
          <m:d>
            <m:dPr>
              <m:ctrlPr>
                <w:rPr>
                  <w:rFonts w:ascii="Cambria Math" w:hAnsi="Cambria Math"/>
                  <w:i/>
                </w:rPr>
              </m:ctrlPr>
            </m:dPr>
            <m:e>
              <m:r>
                <w:rPr>
                  <w:rFonts w:ascii="Cambria Math" w:hAnsi="Cambria Math"/>
                </w:rPr>
                <m:t>a</m:t>
              </m:r>
            </m:e>
          </m:d>
          <m:r>
            <w:rPr>
              <w:rFonts w:ascii="Cambria Math" w:hAnsi="Cambria Math"/>
            </w:rPr>
            <m:t xml:space="preserve">b </m:t>
          </m:r>
        </m:oMath>
      </m:oMathPara>
    </w:p>
    <w:p w14:paraId="308025CE" w14:textId="77777777" w:rsidR="00404249" w:rsidRPr="00404249" w:rsidRDefault="00404249" w:rsidP="00B95386">
      <w:pPr>
        <w:pStyle w:val="ListParagraph"/>
        <w:numPr>
          <w:ilvl w:val="0"/>
          <w:numId w:val="2"/>
        </w:numPr>
      </w:pPr>
      <w:r>
        <w:t>The marginal cost function is given by:</w:t>
      </w:r>
      <w:r>
        <w:br/>
      </w:r>
      <m:oMathPara>
        <m:oMath>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a</m:t>
                  </m:r>
                </m:e>
              </m:d>
            </m:den>
          </m:f>
          <m:r>
            <w:rPr>
              <w:rFonts w:ascii="Cambria Math" w:hAnsi="Cambria Math"/>
            </w:rPr>
            <m:t>=αa+β</m:t>
          </m:r>
        </m:oMath>
      </m:oMathPara>
    </w:p>
    <w:p w14:paraId="3F373045" w14:textId="77777777" w:rsidR="00B95386" w:rsidRPr="00443516" w:rsidRDefault="00404249" w:rsidP="00B95386">
      <w:pPr>
        <w:pStyle w:val="ListParagraph"/>
        <w:numPr>
          <w:ilvl w:val="0"/>
          <w:numId w:val="2"/>
        </w:numPr>
      </w:pPr>
      <w:r w:rsidRPr="00B95386">
        <w:t>In order to estimate costs and prizes</w:t>
      </w:r>
      <w:r w:rsidR="00B95386">
        <w:t>,</w:t>
      </w:r>
      <w:r w:rsidRPr="00B95386">
        <w:t xml:space="preserve"> we need to restrict </w:t>
      </w:r>
      <w:r w:rsidR="00B95386" w:rsidRPr="00B95386">
        <w:t>average marginal cost to be 1:</w:t>
      </w:r>
      <w:r w:rsidR="00B95386">
        <w:br/>
      </w:r>
      <m:oMathPara>
        <m:oMath>
          <m:nary>
            <m:naryP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f>
                <m:fPr>
                  <m:ctrlPr>
                    <w:rPr>
                      <w:rFonts w:ascii="Cambria Math" w:hAnsi="Cambria Math"/>
                    </w:rPr>
                  </m:ctrlPr>
                </m:fPr>
                <m:num>
                  <m:r>
                    <m:rPr>
                      <m:sty m:val="p"/>
                    </m:rPr>
                    <w:rPr>
                      <w:rFonts w:ascii="Cambria Math" w:hAnsi="Cambria Math"/>
                    </w:rPr>
                    <m:t>1</m:t>
                  </m:r>
                </m:num>
                <m:den>
                  <m:r>
                    <w:rPr>
                      <w:rFonts w:ascii="Cambria Math" w:hAnsi="Cambria Math"/>
                    </w:rPr>
                    <m:t>δ</m:t>
                  </m:r>
                </m:den>
              </m:f>
              <m:r>
                <w:rPr>
                  <w:rFonts w:ascii="Cambria Math" w:hAnsi="Cambria Math"/>
                </w:rPr>
                <m:t>dz</m:t>
              </m:r>
              <m:r>
                <m:rPr>
                  <m:sty m:val="p"/>
                </m:rPr>
                <w:rPr>
                  <w:rFonts w:ascii="Cambria Math" w:hAnsi="Cambria Math"/>
                </w:rPr>
                <m:t>=1 ⇒</m:t>
              </m:r>
              <m:r>
                <w:rPr>
                  <w:rFonts w:ascii="Cambria Math" w:hAnsi="Cambria Math"/>
                </w:rPr>
                <m:t>β</m:t>
              </m:r>
              <m:r>
                <m:rPr>
                  <m:sty m:val="p"/>
                </m:rPr>
                <w:rPr>
                  <w:rFonts w:ascii="Cambria Math" w:hAnsi="Cambria Math"/>
                </w:rPr>
                <m:t>=1-</m:t>
              </m:r>
              <m:f>
                <m:fPr>
                  <m:ctrlPr>
                    <w:rPr>
                      <w:rFonts w:ascii="Cambria Math" w:hAnsi="Cambria Math"/>
                    </w:rPr>
                  </m:ctrlPr>
                </m:fPr>
                <m:num>
                  <m:r>
                    <w:rPr>
                      <w:rFonts w:ascii="Cambria Math" w:hAnsi="Cambria Math"/>
                    </w:rPr>
                    <m:t>α</m:t>
                  </m:r>
                </m:num>
                <m:den>
                  <m:r>
                    <m:rPr>
                      <m:sty m:val="p"/>
                    </m:rPr>
                    <w:rPr>
                      <w:rFonts w:ascii="Cambria Math" w:hAnsi="Cambria Math"/>
                    </w:rPr>
                    <m:t>2</m:t>
                  </m:r>
                </m:den>
              </m:f>
              <m:r>
                <m:rPr>
                  <m:sty m:val="p"/>
                </m:rPr>
                <w:rPr>
                  <w:rFonts w:ascii="Cambria Math" w:hAnsi="Cambria Math"/>
                </w:rPr>
                <m:t xml:space="preserve"> </m:t>
              </m:r>
            </m:e>
          </m:nary>
        </m:oMath>
      </m:oMathPara>
    </w:p>
    <w:p w14:paraId="43439824" w14:textId="77777777" w:rsidR="002F0E14" w:rsidRPr="00560D54" w:rsidRDefault="00B95386" w:rsidP="00560D54">
      <w:pPr>
        <w:pStyle w:val="ListParagraph"/>
        <w:numPr>
          <w:ilvl w:val="0"/>
          <w:numId w:val="2"/>
        </w:numPr>
      </w:pPr>
      <w:r>
        <w:t>Assume the private competitors expended the same amount of effort</w:t>
      </w:r>
      <w:r w:rsidR="00560D54">
        <w:t xml:space="preserve"> (</w:t>
      </w:r>
      <m:oMath>
        <m:r>
          <w:rPr>
            <w:rFonts w:ascii="Cambria Math" w:hAnsi="Cambria Math"/>
          </w:rPr>
          <m:t>K</m:t>
        </m:r>
      </m:oMath>
      <w:r w:rsidR="00560D54">
        <w:t>)</w:t>
      </w:r>
      <w:r>
        <w:t xml:space="preserve"> for their submissions.</w:t>
      </w:r>
      <w:r w:rsidR="00560D54">
        <w:t xml:space="preserve"> Then OLS can be used to estimate the cost parameters (</w:t>
      </w:r>
      <m:oMath>
        <m:r>
          <w:rPr>
            <w:rFonts w:ascii="Cambria Math" w:hAnsi="Cambria Math"/>
          </w:rPr>
          <m:t>α, β</m:t>
        </m:r>
      </m:oMath>
      <w:r w:rsidR="00560D54">
        <w:rPr>
          <w:rFonts w:eastAsiaTheme="minorEastAsia"/>
        </w:rPr>
        <w:t>).</w:t>
      </w:r>
      <w:r w:rsidR="002F0E14">
        <w:br/>
      </w: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+β</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m:t>
          </m:r>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+β</m:t>
              </m:r>
            </m:e>
          </m:d>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m:t>
          </m:r>
          <m:d>
            <m:dPr>
              <m:ctrlPr>
                <w:rPr>
                  <w:rFonts w:ascii="Cambria Math" w:hAnsi="Cambria Math"/>
                  <w:i/>
                </w:rPr>
              </m:ctrlPr>
            </m:dPr>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+1</m:t>
              </m:r>
            </m:e>
          </m:d>
        </m:oMath>
      </m:oMathPara>
    </w:p>
    <w:p w14:paraId="13306516" w14:textId="77777777" w:rsidR="00560D54" w:rsidRDefault="00560D54" w:rsidP="00560D54">
      <w:pPr>
        <w:pStyle w:val="Heading2"/>
      </w:pPr>
      <w:r>
        <w:t>Environmental Assumptions</w:t>
      </w:r>
    </w:p>
    <w:p w14:paraId="42A2C5D3" w14:textId="77777777" w:rsidR="00560D54" w:rsidRDefault="00560D54" w:rsidP="00560D54">
      <w:pPr>
        <w:pStyle w:val="ListParagraph"/>
        <w:numPr>
          <w:ilvl w:val="0"/>
          <w:numId w:val="3"/>
        </w:numPr>
      </w:pPr>
      <w:r>
        <w:t>Given that the problem is improving a machine learning algorithm, pure marathon ratings should be both the most accurate measure of ability and be (fairly) universal among competitors.</w:t>
      </w:r>
    </w:p>
    <w:p w14:paraId="798BF868" w14:textId="77777777" w:rsidR="00560D54" w:rsidRPr="00560D54" w:rsidRDefault="00560D54" w:rsidP="00560D54">
      <w:pPr>
        <w:pStyle w:val="ListParagraph"/>
        <w:numPr>
          <w:ilvl w:val="0"/>
          <w:numId w:val="3"/>
        </w:numPr>
        <w:rPr>
          <w:rStyle w:val="IntenseEmphasis"/>
          <w:i w:val="0"/>
          <w:iCs w:val="0"/>
          <w:color w:val="auto"/>
        </w:rPr>
      </w:pPr>
      <w:r>
        <w:t xml:space="preserve">The distribution of marathon ratings will be similar to that of the Signals challenge. </w:t>
      </w:r>
      <w:r>
        <w:rPr>
          <w:rStyle w:val="IntenseEmphasis"/>
        </w:rPr>
        <w:t>I think the distribution from a recent marathon match will probably be closer to reality.</w:t>
      </w:r>
    </w:p>
    <w:p w14:paraId="09C595EF" w14:textId="77777777" w:rsidR="00B70624" w:rsidRDefault="00560D54" w:rsidP="00B70624">
      <w:pPr>
        <w:pStyle w:val="ListParagraph"/>
        <w:keepNext/>
        <w:ind w:left="360"/>
        <w:jc w:val="center"/>
      </w:pPr>
      <w:r>
        <w:rPr>
          <w:noProof/>
        </w:rPr>
        <w:lastRenderedPageBreak/>
        <w:drawing>
          <wp:inline distT="0" distB="0" distL="0" distR="0" wp14:anchorId="15198549" wp14:editId="0F1AF633">
            <wp:extent cx="4701376" cy="3528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athon_pdf.emf"/>
                    <pic:cNvPicPr/>
                  </pic:nvPicPr>
                  <pic:blipFill>
                    <a:blip r:embed="rId6">
                      <a:extLst>
                        <a:ext uri="{28A0092B-C50C-407E-A947-70E740481C1C}">
                          <a14:useLocalDpi xmlns:a14="http://schemas.microsoft.com/office/drawing/2010/main" val="0"/>
                        </a:ext>
                      </a:extLst>
                    </a:blip>
                    <a:stretch>
                      <a:fillRect/>
                    </a:stretch>
                  </pic:blipFill>
                  <pic:spPr>
                    <a:xfrm>
                      <a:off x="0" y="0"/>
                      <a:ext cx="4701376" cy="3528000"/>
                    </a:xfrm>
                    <a:prstGeom prst="rect">
                      <a:avLst/>
                    </a:prstGeom>
                  </pic:spPr>
                </pic:pic>
              </a:graphicData>
            </a:graphic>
          </wp:inline>
        </w:drawing>
      </w:r>
    </w:p>
    <w:p w14:paraId="7C15B7E1" w14:textId="77777777" w:rsidR="00560D54" w:rsidRDefault="00B70624" w:rsidP="00B70624">
      <w:pPr>
        <w:pStyle w:val="Caption"/>
        <w:jc w:val="center"/>
      </w:pPr>
      <w:r>
        <w:t xml:space="preserve">Figure </w:t>
      </w:r>
      <w:fldSimple w:instr=" SEQ Figure \* ARABIC ">
        <w:r w:rsidR="00D217F1">
          <w:rPr>
            <w:noProof/>
          </w:rPr>
          <w:t>1</w:t>
        </w:r>
      </w:fldSimple>
      <w:r>
        <w:t>: Assumed distribution of marathon ratings; from Signals experiment.</w:t>
      </w:r>
    </w:p>
    <w:p w14:paraId="683C2C92" w14:textId="77777777" w:rsidR="00B70624" w:rsidRDefault="00B70624" w:rsidP="00B70624">
      <w:pPr>
        <w:pStyle w:val="Heading1"/>
      </w:pPr>
      <w:r>
        <w:t>Cost Estimation</w:t>
      </w:r>
    </w:p>
    <w:p w14:paraId="6786C45D" w14:textId="77777777" w:rsidR="00B70624" w:rsidRDefault="00B70624" w:rsidP="00B70624">
      <w:pPr>
        <w:pStyle w:val="ListParagraph"/>
        <w:numPr>
          <w:ilvl w:val="0"/>
          <w:numId w:val="4"/>
        </w:numPr>
      </w:pPr>
      <w:r>
        <w:t>Rescale marathon ratings to the unit interval using the assumed distribution of marathon ratings.</w:t>
      </w:r>
    </w:p>
    <w:tbl>
      <w:tblPr>
        <w:tblStyle w:val="TableGrid"/>
        <w:tblW w:w="0" w:type="auto"/>
        <w:tblInd w:w="720" w:type="dxa"/>
        <w:tblLook w:val="04A0" w:firstRow="1" w:lastRow="0" w:firstColumn="1" w:lastColumn="0" w:noHBand="0" w:noVBand="1"/>
      </w:tblPr>
      <w:tblGrid>
        <w:gridCol w:w="3034"/>
        <w:gridCol w:w="2798"/>
        <w:gridCol w:w="2798"/>
      </w:tblGrid>
      <w:tr w:rsidR="00B70624" w14:paraId="669B91CE" w14:textId="77777777" w:rsidTr="00B70624">
        <w:tc>
          <w:tcPr>
            <w:tcW w:w="3034" w:type="dxa"/>
          </w:tcPr>
          <w:p w14:paraId="38281022" w14:textId="77777777" w:rsidR="00B70624" w:rsidRDefault="00B70624" w:rsidP="00B70624">
            <w:pPr>
              <w:jc w:val="center"/>
            </w:pPr>
            <w:r>
              <w:t>Rating</w:t>
            </w:r>
          </w:p>
        </w:tc>
        <w:tc>
          <w:tcPr>
            <w:tcW w:w="2798" w:type="dxa"/>
          </w:tcPr>
          <w:p w14:paraId="73FFB4DA" w14:textId="77777777" w:rsidR="00B70624" w:rsidRDefault="00B70624" w:rsidP="00B70624">
            <w:pPr>
              <w:jc w:val="center"/>
            </w:pPr>
            <w:r>
              <w:t>Ability</w:t>
            </w:r>
          </w:p>
        </w:tc>
        <w:tc>
          <w:tcPr>
            <w:tcW w:w="2798" w:type="dxa"/>
          </w:tcPr>
          <w:p w14:paraId="33C9FA7E" w14:textId="77777777" w:rsidR="00B70624" w:rsidRDefault="00B70624" w:rsidP="00B70624">
            <w:pPr>
              <w:jc w:val="center"/>
            </w:pPr>
            <w:r>
              <w:t>Score</w:t>
            </w:r>
          </w:p>
        </w:tc>
      </w:tr>
      <w:tr w:rsidR="00B70624" w14:paraId="289F1369" w14:textId="77777777" w:rsidTr="00B70624">
        <w:tc>
          <w:tcPr>
            <w:tcW w:w="3034" w:type="dxa"/>
          </w:tcPr>
          <w:p w14:paraId="79358A76" w14:textId="77777777" w:rsidR="00B70624" w:rsidRDefault="00B70624" w:rsidP="00B70624">
            <w:pPr>
              <w:jc w:val="center"/>
            </w:pPr>
            <w:r>
              <w:t>2296</w:t>
            </w:r>
          </w:p>
        </w:tc>
        <w:tc>
          <w:tcPr>
            <w:tcW w:w="2798" w:type="dxa"/>
          </w:tcPr>
          <w:p w14:paraId="160DD006" w14:textId="77777777" w:rsidR="00B70624" w:rsidRPr="00D34168" w:rsidRDefault="00B70624" w:rsidP="00B70624">
            <w:pPr>
              <w:jc w:val="center"/>
            </w:pPr>
            <w:r w:rsidRPr="00D34168">
              <w:t>0.73</w:t>
            </w:r>
          </w:p>
        </w:tc>
        <w:tc>
          <w:tcPr>
            <w:tcW w:w="2798" w:type="dxa"/>
          </w:tcPr>
          <w:p w14:paraId="2AF23319" w14:textId="77777777" w:rsidR="00B70624" w:rsidRDefault="00B70624" w:rsidP="00B70624">
            <w:pPr>
              <w:jc w:val="center"/>
            </w:pPr>
            <w:r w:rsidRPr="00B70624">
              <w:t>817883.23</w:t>
            </w:r>
          </w:p>
        </w:tc>
      </w:tr>
      <w:tr w:rsidR="00B70624" w14:paraId="10AE937E" w14:textId="77777777" w:rsidTr="00B70624">
        <w:tc>
          <w:tcPr>
            <w:tcW w:w="3034" w:type="dxa"/>
          </w:tcPr>
          <w:p w14:paraId="79B86800" w14:textId="77777777" w:rsidR="00B70624" w:rsidRDefault="00B70624" w:rsidP="00B70624">
            <w:pPr>
              <w:jc w:val="center"/>
            </w:pPr>
            <w:r>
              <w:t>2256</w:t>
            </w:r>
          </w:p>
        </w:tc>
        <w:tc>
          <w:tcPr>
            <w:tcW w:w="2798" w:type="dxa"/>
          </w:tcPr>
          <w:p w14:paraId="327AC56E" w14:textId="77777777" w:rsidR="00B70624" w:rsidRPr="00D34168" w:rsidRDefault="00B70624" w:rsidP="00B70624">
            <w:pPr>
              <w:jc w:val="center"/>
            </w:pPr>
            <w:r w:rsidRPr="00D34168">
              <w:t>0.7</w:t>
            </w:r>
            <w:r>
              <w:t>2</w:t>
            </w:r>
          </w:p>
        </w:tc>
        <w:tc>
          <w:tcPr>
            <w:tcW w:w="2798" w:type="dxa"/>
          </w:tcPr>
          <w:p w14:paraId="2AF4E980" w14:textId="77777777" w:rsidR="00B70624" w:rsidRDefault="00B70624" w:rsidP="00B70624">
            <w:pPr>
              <w:jc w:val="center"/>
            </w:pPr>
            <w:r w:rsidRPr="00B70624">
              <w:t>833310.61</w:t>
            </w:r>
          </w:p>
        </w:tc>
      </w:tr>
      <w:tr w:rsidR="00B70624" w14:paraId="164B956D" w14:textId="77777777" w:rsidTr="00B70624">
        <w:tc>
          <w:tcPr>
            <w:tcW w:w="3034" w:type="dxa"/>
          </w:tcPr>
          <w:p w14:paraId="145D00E6" w14:textId="77777777" w:rsidR="00B70624" w:rsidRDefault="00B70624" w:rsidP="00B70624">
            <w:pPr>
              <w:jc w:val="center"/>
            </w:pPr>
            <w:r>
              <w:t>1967</w:t>
            </w:r>
          </w:p>
        </w:tc>
        <w:tc>
          <w:tcPr>
            <w:tcW w:w="2798" w:type="dxa"/>
          </w:tcPr>
          <w:p w14:paraId="4EF82CE7" w14:textId="77777777" w:rsidR="00B70624" w:rsidRPr="00D34168" w:rsidRDefault="00B70624" w:rsidP="00B70624">
            <w:pPr>
              <w:jc w:val="center"/>
            </w:pPr>
            <w:r w:rsidRPr="00D34168">
              <w:t>0.6</w:t>
            </w:r>
            <w:r>
              <w:t>2</w:t>
            </w:r>
          </w:p>
        </w:tc>
        <w:tc>
          <w:tcPr>
            <w:tcW w:w="2798" w:type="dxa"/>
          </w:tcPr>
          <w:p w14:paraId="21DF8059" w14:textId="77777777" w:rsidR="00B70624" w:rsidRDefault="00B70624" w:rsidP="00B70624">
            <w:pPr>
              <w:jc w:val="center"/>
            </w:pPr>
            <w:r w:rsidRPr="00B70624">
              <w:t>817602.71</w:t>
            </w:r>
          </w:p>
        </w:tc>
      </w:tr>
      <w:tr w:rsidR="00B70624" w14:paraId="45347FE3" w14:textId="77777777" w:rsidTr="00B70624">
        <w:tc>
          <w:tcPr>
            <w:tcW w:w="3034" w:type="dxa"/>
          </w:tcPr>
          <w:p w14:paraId="6CB027D3" w14:textId="77777777" w:rsidR="00B70624" w:rsidRDefault="00B70624" w:rsidP="00B70624">
            <w:pPr>
              <w:jc w:val="center"/>
            </w:pPr>
            <w:r>
              <w:t>1878</w:t>
            </w:r>
          </w:p>
        </w:tc>
        <w:tc>
          <w:tcPr>
            <w:tcW w:w="2798" w:type="dxa"/>
          </w:tcPr>
          <w:p w14:paraId="3CF4B074" w14:textId="77777777" w:rsidR="00B70624" w:rsidRDefault="00B70624" w:rsidP="00B70624">
            <w:pPr>
              <w:jc w:val="center"/>
            </w:pPr>
            <w:r w:rsidRPr="00D34168">
              <w:t>0.5</w:t>
            </w:r>
            <w:r>
              <w:t>9</w:t>
            </w:r>
          </w:p>
        </w:tc>
        <w:tc>
          <w:tcPr>
            <w:tcW w:w="2798" w:type="dxa"/>
          </w:tcPr>
          <w:p w14:paraId="12223413" w14:textId="77777777" w:rsidR="00B70624" w:rsidRDefault="00B70624" w:rsidP="00B70624">
            <w:pPr>
              <w:jc w:val="center"/>
            </w:pPr>
            <w:r w:rsidRPr="00B70624">
              <w:t>806013.33</w:t>
            </w:r>
          </w:p>
        </w:tc>
      </w:tr>
    </w:tbl>
    <w:p w14:paraId="0A1B1025" w14:textId="77777777" w:rsidR="00487B69" w:rsidRPr="00B70624" w:rsidRDefault="00B70624" w:rsidP="00B70624">
      <w:pPr>
        <w:pStyle w:val="ListParagraph"/>
        <w:numPr>
          <w:ilvl w:val="0"/>
          <w:numId w:val="4"/>
        </w:numPr>
      </w:pPr>
      <w:r>
        <w:t>Then the cost parameters as estimated by OLS are:</w:t>
      </w:r>
    </w:p>
    <w:tbl>
      <w:tblPr>
        <w:tblStyle w:val="TableGrid"/>
        <w:tblW w:w="0" w:type="auto"/>
        <w:tblInd w:w="720" w:type="dxa"/>
        <w:tblLook w:val="04A0" w:firstRow="1" w:lastRow="0" w:firstColumn="1" w:lastColumn="0" w:noHBand="0" w:noVBand="1"/>
      </w:tblPr>
      <w:tblGrid>
        <w:gridCol w:w="4424"/>
        <w:gridCol w:w="4432"/>
      </w:tblGrid>
      <w:tr w:rsidR="00487B69" w14:paraId="6A093A45" w14:textId="77777777" w:rsidTr="00487B69">
        <w:tc>
          <w:tcPr>
            <w:tcW w:w="4675" w:type="dxa"/>
          </w:tcPr>
          <w:p w14:paraId="4B470567" w14:textId="77777777" w:rsidR="00487B69" w:rsidRDefault="00487B69" w:rsidP="00487B69">
            <w:pPr>
              <w:jc w:val="center"/>
            </w:pPr>
            <w:r>
              <w:t>Parameter</w:t>
            </w:r>
          </w:p>
        </w:tc>
        <w:tc>
          <w:tcPr>
            <w:tcW w:w="4675" w:type="dxa"/>
          </w:tcPr>
          <w:p w14:paraId="7EA70F77" w14:textId="77777777" w:rsidR="00487B69" w:rsidRDefault="00487B69" w:rsidP="00487B69">
            <w:pPr>
              <w:jc w:val="center"/>
            </w:pPr>
            <w:r>
              <w:t>Estimate</w:t>
            </w:r>
          </w:p>
        </w:tc>
      </w:tr>
      <w:tr w:rsidR="00487B69" w14:paraId="7DA4FB5F" w14:textId="77777777" w:rsidTr="00487B69">
        <w:tc>
          <w:tcPr>
            <w:tcW w:w="4675" w:type="dxa"/>
          </w:tcPr>
          <w:p w14:paraId="7F0D5496" w14:textId="77777777" w:rsidR="00487B69" w:rsidRDefault="00487B69" w:rsidP="00487B69">
            <m:oMathPara>
              <m:oMath>
                <m:r>
                  <w:rPr>
                    <w:rFonts w:ascii="Cambria Math" w:hAnsi="Cambria Math"/>
                  </w:rPr>
                  <m:t>K</m:t>
                </m:r>
              </m:oMath>
            </m:oMathPara>
          </w:p>
        </w:tc>
        <w:tc>
          <w:tcPr>
            <w:tcW w:w="4675" w:type="dxa"/>
          </w:tcPr>
          <w:p w14:paraId="3D72F16F" w14:textId="77777777" w:rsidR="00487B69" w:rsidRDefault="00487B69" w:rsidP="00487B69">
            <w:pPr>
              <w:jc w:val="center"/>
            </w:pPr>
            <w:r w:rsidRPr="00487B69">
              <w:t>1600171.54</w:t>
            </w:r>
          </w:p>
        </w:tc>
      </w:tr>
      <w:tr w:rsidR="00487B69" w14:paraId="605953DA" w14:textId="77777777" w:rsidTr="00487B69">
        <w:tc>
          <w:tcPr>
            <w:tcW w:w="4675" w:type="dxa"/>
          </w:tcPr>
          <w:p w14:paraId="3D4C79BA" w14:textId="77777777" w:rsidR="00487B69" w:rsidRPr="00487B69" w:rsidRDefault="00487B69" w:rsidP="00487B69">
            <w:pPr>
              <w:rPr>
                <w:rFonts w:eastAsiaTheme="minorEastAsia"/>
              </w:rPr>
            </w:pPr>
            <m:oMathPara>
              <m:oMath>
                <m:r>
                  <w:rPr>
                    <w:rFonts w:ascii="Cambria Math" w:hAnsi="Cambria Math"/>
                  </w:rPr>
                  <m:t>α</m:t>
                </m:r>
              </m:oMath>
            </m:oMathPara>
          </w:p>
        </w:tc>
        <w:tc>
          <w:tcPr>
            <w:tcW w:w="4675" w:type="dxa"/>
          </w:tcPr>
          <w:p w14:paraId="39E6A51E" w14:textId="77777777" w:rsidR="00487B69" w:rsidRDefault="00487B69" w:rsidP="00487B69">
            <w:pPr>
              <w:jc w:val="center"/>
            </w:pPr>
            <w:r>
              <w:t>0.07</w:t>
            </w:r>
          </w:p>
        </w:tc>
      </w:tr>
      <w:tr w:rsidR="00487B69" w14:paraId="598C9FAA" w14:textId="77777777" w:rsidTr="00487B69">
        <w:tc>
          <w:tcPr>
            <w:tcW w:w="4675" w:type="dxa"/>
          </w:tcPr>
          <w:p w14:paraId="5DF2B7DF" w14:textId="77777777" w:rsidR="00487B69" w:rsidRDefault="00487B69" w:rsidP="00487B69">
            <m:oMathPara>
              <m:oMath>
                <m:r>
                  <w:rPr>
                    <w:rFonts w:ascii="Cambria Math" w:hAnsi="Cambria Math"/>
                  </w:rPr>
                  <m:t>β</m:t>
                </m:r>
              </m:oMath>
            </m:oMathPara>
          </w:p>
        </w:tc>
        <w:tc>
          <w:tcPr>
            <w:tcW w:w="4675" w:type="dxa"/>
          </w:tcPr>
          <w:p w14:paraId="4384D282" w14:textId="77777777" w:rsidR="00487B69" w:rsidRDefault="00487B69" w:rsidP="00487B69">
            <w:pPr>
              <w:jc w:val="center"/>
            </w:pPr>
            <w:r>
              <w:t>0.96</w:t>
            </w:r>
          </w:p>
        </w:tc>
      </w:tr>
    </w:tbl>
    <w:p w14:paraId="02D61FD1" w14:textId="77777777" w:rsidR="00487B69" w:rsidRDefault="00487B69" w:rsidP="00487B69">
      <w:pPr>
        <w:keepNext/>
        <w:jc w:val="center"/>
      </w:pPr>
      <w:r>
        <w:rPr>
          <w:noProof/>
        </w:rPr>
        <w:lastRenderedPageBreak/>
        <w:drawing>
          <wp:inline distT="0" distB="0" distL="0" distR="0" wp14:anchorId="6FF23794" wp14:editId="3A4B279F">
            <wp:extent cx="4701376" cy="352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ginal_cost.emf"/>
                    <pic:cNvPicPr/>
                  </pic:nvPicPr>
                  <pic:blipFill>
                    <a:blip r:embed="rId7">
                      <a:extLst>
                        <a:ext uri="{28A0092B-C50C-407E-A947-70E740481C1C}">
                          <a14:useLocalDpi xmlns:a14="http://schemas.microsoft.com/office/drawing/2010/main" val="0"/>
                        </a:ext>
                      </a:extLst>
                    </a:blip>
                    <a:stretch>
                      <a:fillRect/>
                    </a:stretch>
                  </pic:blipFill>
                  <pic:spPr>
                    <a:xfrm>
                      <a:off x="0" y="0"/>
                      <a:ext cx="4701376" cy="3528000"/>
                    </a:xfrm>
                    <a:prstGeom prst="rect">
                      <a:avLst/>
                    </a:prstGeom>
                  </pic:spPr>
                </pic:pic>
              </a:graphicData>
            </a:graphic>
          </wp:inline>
        </w:drawing>
      </w:r>
    </w:p>
    <w:p w14:paraId="6B8F4D58" w14:textId="77777777" w:rsidR="00B70624" w:rsidRDefault="00487B69" w:rsidP="00487B69">
      <w:pPr>
        <w:pStyle w:val="Caption"/>
        <w:jc w:val="center"/>
      </w:pPr>
      <w:r>
        <w:t xml:space="preserve">Figure </w:t>
      </w:r>
      <w:fldSimple w:instr=" SEQ Figure \* ARABIC ">
        <w:r w:rsidR="00D217F1">
          <w:rPr>
            <w:noProof/>
          </w:rPr>
          <w:t>2</w:t>
        </w:r>
      </w:fldSimple>
      <w:r>
        <w:t>: Marginal Costs</w:t>
      </w:r>
    </w:p>
    <w:p w14:paraId="7397208E" w14:textId="77777777" w:rsidR="00487B69" w:rsidRDefault="00487B69" w:rsidP="00487B69">
      <w:pPr>
        <w:pStyle w:val="Heading1"/>
      </w:pPr>
      <w:r>
        <w:t>Bid Function Estimate</w:t>
      </w:r>
    </w:p>
    <w:p w14:paraId="07C8D49C" w14:textId="77777777" w:rsidR="00487B69" w:rsidRPr="00F82D91" w:rsidRDefault="00F82D91" w:rsidP="00487B69">
      <w:pPr>
        <w:pStyle w:val="ListParagraph"/>
        <w:numPr>
          <w:ilvl w:val="0"/>
          <w:numId w:val="4"/>
        </w:numPr>
      </w:pPr>
      <m:oMath>
        <m:r>
          <w:rPr>
            <w:rFonts w:ascii="Cambria Math" w:hAnsi="Cambria Math"/>
          </w:rPr>
          <m:t>N=5</m:t>
        </m:r>
      </m:oMath>
    </w:p>
    <w:p w14:paraId="3E91233D" w14:textId="77777777" w:rsidR="00F82D91" w:rsidRDefault="00773830" w:rsidP="00487B69">
      <w:pPr>
        <w:pStyle w:val="ListParagraph"/>
        <w:numPr>
          <w:ilvl w:val="0"/>
          <w:numId w:val="4"/>
        </w:numPr>
      </w:pPr>
      <w:r>
        <w:t xml:space="preserve">Assume </w:t>
      </w:r>
      <w:r w:rsidR="005F4D1F">
        <w:t xml:space="preserve">the prizes are </w:t>
      </w:r>
      <m:oMath>
        <m:r>
          <w:rPr>
            <w:rFonts w:ascii="Cambria Math" w:hAnsi="Cambria Math"/>
          </w:rPr>
          <m:t>(2.7</m:t>
        </m:r>
        <m:r>
          <w:rPr>
            <w:rFonts w:ascii="Cambria Math" w:eastAsiaTheme="minorEastAsia" w:hAnsi="Cambria Math"/>
          </w:rPr>
          <m:t>K, 0.3K)</m:t>
        </m:r>
      </m:oMath>
      <w:r>
        <w:t xml:space="preserve"> </w:t>
      </w:r>
      <w:r w:rsidR="005F4D1F">
        <w:t xml:space="preserve">. A 90/10 split of 3 times the </w:t>
      </w:r>
      <w:r w:rsidR="00D217F1">
        <w:t>effort cost</w:t>
      </w:r>
      <w:r w:rsidR="005F4D1F">
        <w:t xml:space="preserve"> in the private matches.</w:t>
      </w:r>
      <w:r w:rsidR="00D217F1">
        <w:t xml:space="preserve"> </w:t>
      </w:r>
      <w:r w:rsidR="00D217F1">
        <w:rPr>
          <w:rStyle w:val="IntenseEmphasis"/>
        </w:rPr>
        <w:t>This is a big guess.</w:t>
      </w:r>
    </w:p>
    <w:p w14:paraId="6101A856" w14:textId="77777777" w:rsidR="00D217F1" w:rsidRDefault="00D217F1" w:rsidP="00D217F1">
      <w:pPr>
        <w:pStyle w:val="ListParagraph"/>
        <w:keepNext/>
      </w:pPr>
      <w:r>
        <w:rPr>
          <w:noProof/>
        </w:rPr>
        <w:lastRenderedPageBreak/>
        <w:drawing>
          <wp:inline distT="0" distB="0" distL="0" distR="0" wp14:anchorId="703BC62A" wp14:editId="402E3D6E">
            <wp:extent cx="4701376" cy="3528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d_function.emf"/>
                    <pic:cNvPicPr/>
                  </pic:nvPicPr>
                  <pic:blipFill>
                    <a:blip r:embed="rId8">
                      <a:extLst>
                        <a:ext uri="{28A0092B-C50C-407E-A947-70E740481C1C}">
                          <a14:useLocalDpi xmlns:a14="http://schemas.microsoft.com/office/drawing/2010/main" val="0"/>
                        </a:ext>
                      </a:extLst>
                    </a:blip>
                    <a:stretch>
                      <a:fillRect/>
                    </a:stretch>
                  </pic:blipFill>
                  <pic:spPr>
                    <a:xfrm>
                      <a:off x="0" y="0"/>
                      <a:ext cx="4701376" cy="3528000"/>
                    </a:xfrm>
                    <a:prstGeom prst="rect">
                      <a:avLst/>
                    </a:prstGeom>
                  </pic:spPr>
                </pic:pic>
              </a:graphicData>
            </a:graphic>
          </wp:inline>
        </w:drawing>
      </w:r>
    </w:p>
    <w:p w14:paraId="17A3C888" w14:textId="77777777" w:rsidR="00D217F1" w:rsidRDefault="00D217F1" w:rsidP="00D217F1">
      <w:pPr>
        <w:pStyle w:val="Caption"/>
        <w:jc w:val="center"/>
      </w:pPr>
      <w:r>
        <w:t xml:space="preserve">Figure </w:t>
      </w:r>
      <w:fldSimple w:instr=" SEQ Figure \* ARABIC ">
        <w:r>
          <w:rPr>
            <w:noProof/>
          </w:rPr>
          <w:t>3</w:t>
        </w:r>
      </w:fldSimple>
      <w:r>
        <w:t>: Estimated Bid Function</w:t>
      </w:r>
    </w:p>
    <w:p w14:paraId="0150C25B" w14:textId="77777777" w:rsidR="00D217F1" w:rsidRDefault="00D217F1" w:rsidP="00D217F1">
      <w:pPr>
        <w:pStyle w:val="Heading1"/>
      </w:pPr>
      <w:r>
        <w:t>Threshold Estimates</w:t>
      </w:r>
    </w:p>
    <w:p w14:paraId="123CD256" w14:textId="77777777" w:rsidR="00D217F1" w:rsidRDefault="00D217F1" w:rsidP="00D217F1">
      <w:pPr>
        <w:keepNext/>
        <w:jc w:val="center"/>
      </w:pPr>
      <w:r>
        <w:rPr>
          <w:noProof/>
        </w:rPr>
        <w:drawing>
          <wp:inline distT="0" distB="0" distL="0" distR="0" wp14:anchorId="48F78EAF" wp14:editId="5C29B4BA">
            <wp:extent cx="4701376" cy="3528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shold_ability.emf"/>
                    <pic:cNvPicPr/>
                  </pic:nvPicPr>
                  <pic:blipFill>
                    <a:blip r:embed="rId9">
                      <a:extLst>
                        <a:ext uri="{28A0092B-C50C-407E-A947-70E740481C1C}">
                          <a14:useLocalDpi xmlns:a14="http://schemas.microsoft.com/office/drawing/2010/main" val="0"/>
                        </a:ext>
                      </a:extLst>
                    </a:blip>
                    <a:stretch>
                      <a:fillRect/>
                    </a:stretch>
                  </pic:blipFill>
                  <pic:spPr>
                    <a:xfrm>
                      <a:off x="0" y="0"/>
                      <a:ext cx="4701376" cy="3528000"/>
                    </a:xfrm>
                    <a:prstGeom prst="rect">
                      <a:avLst/>
                    </a:prstGeom>
                  </pic:spPr>
                </pic:pic>
              </a:graphicData>
            </a:graphic>
          </wp:inline>
        </w:drawing>
      </w:r>
    </w:p>
    <w:p w14:paraId="425DE657" w14:textId="77777777" w:rsidR="00D217F1" w:rsidRDefault="00D217F1" w:rsidP="00D217F1">
      <w:pPr>
        <w:pStyle w:val="Caption"/>
        <w:jc w:val="center"/>
      </w:pPr>
      <w:r>
        <w:t xml:space="preserve">Figure </w:t>
      </w:r>
      <w:fldSimple w:instr=" SEQ Figure \* ARABIC ">
        <w:r>
          <w:rPr>
            <w:noProof/>
          </w:rPr>
          <w:t>4</w:t>
        </w:r>
      </w:fldSimple>
      <w:r>
        <w:t>: Ability Thresholds based on Score Threshold</w:t>
      </w:r>
    </w:p>
    <w:p w14:paraId="275A6652" w14:textId="77777777" w:rsidR="00D217F1" w:rsidRDefault="00D217F1" w:rsidP="00D217F1">
      <w:pPr>
        <w:keepNext/>
        <w:jc w:val="center"/>
      </w:pPr>
      <w:r>
        <w:rPr>
          <w:noProof/>
        </w:rPr>
        <w:lastRenderedPageBreak/>
        <w:drawing>
          <wp:inline distT="0" distB="0" distL="0" distR="0" wp14:anchorId="470725A7" wp14:editId="783C4896">
            <wp:extent cx="4701376" cy="3528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shold_score.emf"/>
                    <pic:cNvPicPr/>
                  </pic:nvPicPr>
                  <pic:blipFill>
                    <a:blip r:embed="rId10">
                      <a:extLst>
                        <a:ext uri="{28A0092B-C50C-407E-A947-70E740481C1C}">
                          <a14:useLocalDpi xmlns:a14="http://schemas.microsoft.com/office/drawing/2010/main" val="0"/>
                        </a:ext>
                      </a:extLst>
                    </a:blip>
                    <a:stretch>
                      <a:fillRect/>
                    </a:stretch>
                  </pic:blipFill>
                  <pic:spPr>
                    <a:xfrm>
                      <a:off x="0" y="0"/>
                      <a:ext cx="4701376" cy="3528000"/>
                    </a:xfrm>
                    <a:prstGeom prst="rect">
                      <a:avLst/>
                    </a:prstGeom>
                  </pic:spPr>
                </pic:pic>
              </a:graphicData>
            </a:graphic>
          </wp:inline>
        </w:drawing>
      </w:r>
    </w:p>
    <w:p w14:paraId="52141754" w14:textId="77777777" w:rsidR="00D217F1" w:rsidRPr="00D217F1" w:rsidRDefault="00D217F1" w:rsidP="00D217F1">
      <w:pPr>
        <w:pStyle w:val="Caption"/>
        <w:jc w:val="center"/>
      </w:pPr>
      <w:r>
        <w:t xml:space="preserve">Figure </w:t>
      </w:r>
      <w:fldSimple w:instr=" SEQ Figure \* ARABIC ">
        <w:r>
          <w:rPr>
            <w:noProof/>
          </w:rPr>
          <w:t>5</w:t>
        </w:r>
      </w:fldSimple>
      <w:r>
        <w:t>: Quantile  (of ability) Threshold based on Score Threshold</w:t>
      </w:r>
    </w:p>
    <w:p w14:paraId="67CFCC8D" w14:textId="77777777" w:rsidR="005F4D1F" w:rsidRPr="00487B69" w:rsidRDefault="005F4D1F" w:rsidP="005F4D1F">
      <w:pPr>
        <w:pStyle w:val="ListParagraph"/>
      </w:pPr>
    </w:p>
    <w:sectPr w:rsidR="005F4D1F" w:rsidRPr="0048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C615F"/>
    <w:multiLevelType w:val="hybridMultilevel"/>
    <w:tmpl w:val="7DAA7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30243B"/>
    <w:multiLevelType w:val="hybridMultilevel"/>
    <w:tmpl w:val="09DA7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E61F72"/>
    <w:multiLevelType w:val="hybridMultilevel"/>
    <w:tmpl w:val="D3C0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22961"/>
    <w:multiLevelType w:val="hybridMultilevel"/>
    <w:tmpl w:val="64D2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F7"/>
    <w:rsid w:val="002F0E14"/>
    <w:rsid w:val="00404249"/>
    <w:rsid w:val="00487B69"/>
    <w:rsid w:val="00510EF7"/>
    <w:rsid w:val="00560D54"/>
    <w:rsid w:val="005F4D1F"/>
    <w:rsid w:val="00773830"/>
    <w:rsid w:val="009E5FB4"/>
    <w:rsid w:val="00B70624"/>
    <w:rsid w:val="00B95386"/>
    <w:rsid w:val="00D217F1"/>
    <w:rsid w:val="00DE5A2B"/>
    <w:rsid w:val="00F8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0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0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0EF7"/>
    <w:pPr>
      <w:ind w:left="720"/>
      <w:contextualSpacing/>
    </w:pPr>
  </w:style>
  <w:style w:type="character" w:customStyle="1" w:styleId="Heading1Char">
    <w:name w:val="Heading 1 Char"/>
    <w:basedOn w:val="DefaultParagraphFont"/>
    <w:link w:val="Heading1"/>
    <w:uiPriority w:val="9"/>
    <w:rsid w:val="00510EF7"/>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404249"/>
    <w:rPr>
      <w:i/>
      <w:iCs/>
      <w:color w:val="404040" w:themeColor="text1" w:themeTint="BF"/>
    </w:rPr>
  </w:style>
  <w:style w:type="character" w:styleId="IntenseEmphasis">
    <w:name w:val="Intense Emphasis"/>
    <w:basedOn w:val="DefaultParagraphFont"/>
    <w:uiPriority w:val="21"/>
    <w:qFormat/>
    <w:rsid w:val="00404249"/>
    <w:rPr>
      <w:i/>
      <w:iCs/>
      <w:color w:val="5B9BD5" w:themeColor="accent1"/>
    </w:rPr>
  </w:style>
  <w:style w:type="paragraph" w:styleId="NoSpacing">
    <w:name w:val="No Spacing"/>
    <w:uiPriority w:val="1"/>
    <w:qFormat/>
    <w:rsid w:val="00404249"/>
    <w:pPr>
      <w:spacing w:after="0" w:line="240" w:lineRule="auto"/>
    </w:pPr>
  </w:style>
  <w:style w:type="character" w:styleId="PlaceholderText">
    <w:name w:val="Placeholder Text"/>
    <w:basedOn w:val="DefaultParagraphFont"/>
    <w:uiPriority w:val="99"/>
    <w:semiHidden/>
    <w:rsid w:val="00404249"/>
    <w:rPr>
      <w:color w:val="808080"/>
    </w:rPr>
  </w:style>
  <w:style w:type="paragraph" w:customStyle="1" w:styleId="myBodyText">
    <w:name w:val="myBodyText"/>
    <w:basedOn w:val="Normal"/>
    <w:autoRedefine/>
    <w:qFormat/>
    <w:rsid w:val="00B95386"/>
    <w:pPr>
      <w:spacing w:after="120" w:line="240" w:lineRule="auto"/>
      <w:jc w:val="both"/>
    </w:pPr>
    <w:rPr>
      <w:rFonts w:ascii="Cambria Math" w:eastAsiaTheme="minorEastAsia" w:hAnsi="Cambria Math"/>
      <w:i/>
    </w:rPr>
  </w:style>
  <w:style w:type="character" w:customStyle="1" w:styleId="Heading2Char">
    <w:name w:val="Heading 2 Char"/>
    <w:basedOn w:val="DefaultParagraphFont"/>
    <w:link w:val="Heading2"/>
    <w:uiPriority w:val="9"/>
    <w:rsid w:val="00560D5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70624"/>
    <w:pPr>
      <w:spacing w:after="200" w:line="240" w:lineRule="auto"/>
    </w:pPr>
    <w:rPr>
      <w:i/>
      <w:iCs/>
      <w:color w:val="44546A" w:themeColor="text2"/>
      <w:sz w:val="18"/>
      <w:szCs w:val="18"/>
    </w:rPr>
  </w:style>
  <w:style w:type="table" w:styleId="TableGrid">
    <w:name w:val="Table Grid"/>
    <w:basedOn w:val="TableNormal"/>
    <w:uiPriority w:val="39"/>
    <w:rsid w:val="00B70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5A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A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0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0EF7"/>
    <w:pPr>
      <w:ind w:left="720"/>
      <w:contextualSpacing/>
    </w:pPr>
  </w:style>
  <w:style w:type="character" w:customStyle="1" w:styleId="Heading1Char">
    <w:name w:val="Heading 1 Char"/>
    <w:basedOn w:val="DefaultParagraphFont"/>
    <w:link w:val="Heading1"/>
    <w:uiPriority w:val="9"/>
    <w:rsid w:val="00510EF7"/>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404249"/>
    <w:rPr>
      <w:i/>
      <w:iCs/>
      <w:color w:val="404040" w:themeColor="text1" w:themeTint="BF"/>
    </w:rPr>
  </w:style>
  <w:style w:type="character" w:styleId="IntenseEmphasis">
    <w:name w:val="Intense Emphasis"/>
    <w:basedOn w:val="DefaultParagraphFont"/>
    <w:uiPriority w:val="21"/>
    <w:qFormat/>
    <w:rsid w:val="00404249"/>
    <w:rPr>
      <w:i/>
      <w:iCs/>
      <w:color w:val="5B9BD5" w:themeColor="accent1"/>
    </w:rPr>
  </w:style>
  <w:style w:type="paragraph" w:styleId="NoSpacing">
    <w:name w:val="No Spacing"/>
    <w:uiPriority w:val="1"/>
    <w:qFormat/>
    <w:rsid w:val="00404249"/>
    <w:pPr>
      <w:spacing w:after="0" w:line="240" w:lineRule="auto"/>
    </w:pPr>
  </w:style>
  <w:style w:type="character" w:styleId="PlaceholderText">
    <w:name w:val="Placeholder Text"/>
    <w:basedOn w:val="DefaultParagraphFont"/>
    <w:uiPriority w:val="99"/>
    <w:semiHidden/>
    <w:rsid w:val="00404249"/>
    <w:rPr>
      <w:color w:val="808080"/>
    </w:rPr>
  </w:style>
  <w:style w:type="paragraph" w:customStyle="1" w:styleId="myBodyText">
    <w:name w:val="myBodyText"/>
    <w:basedOn w:val="Normal"/>
    <w:autoRedefine/>
    <w:qFormat/>
    <w:rsid w:val="00B95386"/>
    <w:pPr>
      <w:spacing w:after="120" w:line="240" w:lineRule="auto"/>
      <w:jc w:val="both"/>
    </w:pPr>
    <w:rPr>
      <w:rFonts w:ascii="Cambria Math" w:eastAsiaTheme="minorEastAsia" w:hAnsi="Cambria Math"/>
      <w:i/>
    </w:rPr>
  </w:style>
  <w:style w:type="character" w:customStyle="1" w:styleId="Heading2Char">
    <w:name w:val="Heading 2 Char"/>
    <w:basedOn w:val="DefaultParagraphFont"/>
    <w:link w:val="Heading2"/>
    <w:uiPriority w:val="9"/>
    <w:rsid w:val="00560D5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70624"/>
    <w:pPr>
      <w:spacing w:after="200" w:line="240" w:lineRule="auto"/>
    </w:pPr>
    <w:rPr>
      <w:i/>
      <w:iCs/>
      <w:color w:val="44546A" w:themeColor="text2"/>
      <w:sz w:val="18"/>
      <w:szCs w:val="18"/>
    </w:rPr>
  </w:style>
  <w:style w:type="table" w:styleId="TableGrid">
    <w:name w:val="Table Grid"/>
    <w:basedOn w:val="TableNormal"/>
    <w:uiPriority w:val="39"/>
    <w:rsid w:val="00B70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5A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A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342</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Menietti</dc:creator>
  <cp:keywords/>
  <dc:description/>
  <cp:lastModifiedBy>andrea</cp:lastModifiedBy>
  <cp:revision>2</cp:revision>
  <dcterms:created xsi:type="dcterms:W3CDTF">2015-02-21T22:00:00Z</dcterms:created>
  <dcterms:modified xsi:type="dcterms:W3CDTF">2015-02-21T22:00:00Z</dcterms:modified>
</cp:coreProperties>
</file>