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101.pdf" ContentType="application/pdf"/>
  <Override PartName="/word/media/rId97.pdf" ContentType="application/pdf"/>
  <Override PartName="/word/media/rId71.pdf" ContentType="application/pdf"/>
  <Override PartName="/word/media/rId66.pdf" ContentType="application/pdf"/>
  <Override PartName="/word/media/rId30.pdf" ContentType="application/pdf"/>
  <Override PartName="/word/media/rId3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Chatbots in K-12 Education: An Experimental Study of Socratic vs. Non-Socratic Approaches and the Role of Step-by-Step Reasoning</w:t>
      </w:r>
    </w:p>
    <w:p>
      <w:pPr>
        <w:pStyle w:val="Date"/>
      </w:pPr>
      <w:r>
        <w:t xml:space="preserve">This version: May 29, 2025</w:t>
      </w:r>
    </w:p>
    <w:bookmarkStart w:id="20" w:name="highlights"/>
    <w:p>
      <w:pPr>
        <w:pStyle w:val="Heading1"/>
      </w:pPr>
      <w:r>
        <w:t xml:space="preserve">Highlights</w:t>
      </w:r>
    </w:p>
    <w:p>
      <w:pPr>
        <w:numPr>
          <w:ilvl w:val="0"/>
          <w:numId w:val="1001"/>
        </w:numPr>
      </w:pPr>
      <w:r>
        <w:t xml:space="preserve">An experiment was conducted where K-12 students (N=122) used AI chatbots to solve school-related problems.</w:t>
      </w:r>
    </w:p>
    <w:p>
      <w:pPr>
        <w:numPr>
          <w:ilvl w:val="0"/>
          <w:numId w:val="1001"/>
        </w:numPr>
      </w:pPr>
      <w:r>
        <w:t xml:space="preserve">Two interventions were tested: (1) comparing AI-generated step-by-step explanations to predictions alone, and (2) contrasting AI chatbot support inspired by the Socratic method (guided questioning) versus non-Socratic (direct answers) support.</w:t>
      </w:r>
    </w:p>
    <w:p>
      <w:pPr>
        <w:numPr>
          <w:ilvl w:val="0"/>
          <w:numId w:val="1002"/>
        </w:numPr>
      </w:pPr>
      <w:r>
        <w:t xml:space="preserve">Participants performed better under step-by-step explanations. They also engaged more frequently with the Socratic AI, though this approach did not result in improved performance and retain of knowledge compared to the non-Socratic AI.</w:t>
      </w:r>
    </w:p>
    <w:p>
      <w:pPr>
        <w:numPr>
          <w:ilvl w:val="0"/>
          <w:numId w:val="1002"/>
        </w:numPr>
      </w:pPr>
      <w:r>
        <w:t xml:space="preserve">While students found interactions with the AI useful, they perceived the Socratic AI as less helpful than non-Socratic overall.</w:t>
      </w:r>
    </w:p>
    <w:p>
      <w:pPr>
        <w:numPr>
          <w:ilvl w:val="0"/>
          <w:numId w:val="1002"/>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investigate this question, we conducted a randomized experiment with students aged 14-16 (N=122), testing two interventions: (i) comparing AI-generated solutions with step-by-step explanations versus solutions alone, and (ii) Socratic AI chatbots promoting critical thinking through incremental guidance versus non-Socratic AI offering direct solutions. Students completed school-related tasks under these conditions. We collected students’ performance and interaction logs data, and their attitudes through self-reported surveys. Results indicated that AI-generated explanations significantly improved students’ performance over solutions alone,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overall positive perceptions of AI assistance, students exhibited limited retention failing to apply learned concepts to new situations when AI assistance was removed. These findings underscore both the potential and limitations of LLM-based chatbots in k-12 education, especially in balancing critical thinking development with user satisfaction.</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evaluation of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w:t>
      </w:r>
      <w:r>
        <w:t xml:space="preserve">and that by adding “Let’s think step by step’</w:t>
      </w:r>
      <w:r>
        <w:t xml:space="preserve">‘, LLMs can improve their performance significantly</w:t>
      </w:r>
      <w:r>
        <w:t xml:space="preserve"> </w:t>
      </w:r>
      <w:r>
        <w:t xml:space="preserve">(</w:t>
      </w:r>
      <w:hyperlink w:anchor="ref-kojima2022large">
        <w:r>
          <w:rPr>
            <w:rStyle w:val="Hyperlink"/>
          </w:rPr>
          <w:t xml:space="preserve">Kojima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w:t>
      </w:r>
      <w:r>
        <w:t xml:space="preserve"> </w:t>
      </w:r>
      <w:r>
        <w:t xml:space="preserve">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 setting, this may affect learning outcomes in a complex manner. Students may interpret well-written explanations as evidence that an answer is correct, even when it is not. Conversely, they may notice minor errors or inconsistencies in an explanation that reduces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like the Socratic Method have long been valued for promoting critical thinking and more profound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like ChatGPT, often focus on providing direct solutions or feedback, potentially limiting opportunities for active student engagement and reflection. Our study addresses this gap by conducting a parallel experimental intervention comparing Socratic-style AI interactions to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and techniques, like the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centers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offers a broad look at how chatbots are used in different areas of education</w:t>
      </w:r>
      <w:r>
        <w:t xml:space="preserve"> </w:t>
      </w:r>
      <w:r>
        <w:t xml:space="preserve">(</w:t>
      </w:r>
      <w:hyperlink w:anchor="ref-debets2025chatbots">
        <w:r>
          <w:rPr>
            <w:rStyle w:val="Hyperlink"/>
          </w:rPr>
          <w:t xml:space="preserve">Debets et al. 2025</w:t>
        </w:r>
      </w:hyperlink>
      <w:r>
        <w:t xml:space="preserve">)</w:t>
      </w:r>
      <w:r>
        <w:t xml:space="preserve">. It groups chatbot uses by roles like tutoring, giving feedback, and helping with administrative tasks, and examines how they are designed and used.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R. Wu and Yu 2024</w:t>
        </w:r>
      </w:hyperlink>
      <w:r>
        <w:t xml:space="preserve">)</w:t>
      </w:r>
      <w:r>
        <w:t xml:space="preserve">. However, most studies are short-term, may suffer from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Similarly,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integrating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the risk of which is hard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this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 study underscores both the potential and challenges of applying classical pedagical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3"/>
        </w:numPr>
      </w:pPr>
      <w:r>
        <w:rPr>
          <w:b/>
          <w:bCs/>
        </w:rPr>
        <w:t xml:space="preserve">User authentication</w:t>
      </w:r>
      <w:r>
        <w:t xml:space="preserve">: A secure and anonymous login system for students.</w:t>
      </w:r>
    </w:p>
    <w:p>
      <w:pPr>
        <w:pStyle w:val="Compact"/>
        <w:numPr>
          <w:ilvl w:val="0"/>
          <w:numId w:val="1003"/>
        </w:numPr>
      </w:pPr>
      <w:r>
        <w:rPr>
          <w:b/>
          <w:bCs/>
        </w:rPr>
        <w:t xml:space="preserve">Web Survey</w:t>
      </w:r>
      <w:r>
        <w:t xml:space="preserve">: A web interface to collect data from students, including answering survey questions and perform simple tasks, such as writing a short essay or solving simple math problems.</w:t>
      </w:r>
    </w:p>
    <w:p>
      <w:pPr>
        <w:pStyle w:val="Compact"/>
        <w:numPr>
          <w:ilvl w:val="0"/>
          <w:numId w:val="1003"/>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3"/>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3"/>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N=122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the experimental protocol complied with local laws and ethical research standards. The data privacy protection protocol was approved by the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(2) the accuracy of students’ final estimations, measured as the (absolute) difference between their final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allows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of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 solving activities. Accordingly, to acconut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7"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4"/>
        </w:numPr>
      </w:pPr>
      <w:r>
        <w:t xml:space="preserve">Yes</w:t>
      </w:r>
    </w:p>
    <w:p>
      <w:pPr>
        <w:pStyle w:val="Compact"/>
        <w:numPr>
          <w:ilvl w:val="0"/>
          <w:numId w:val="1000"/>
        </w:numPr>
      </w:pPr>
      <w:r>
        <w:t xml:space="preserve">No</w:t>
      </w:r>
    </w:p>
    <w:p>
      <w:pPr>
        <w:pStyle w:val="Compact"/>
        <w:numPr>
          <w:ilvl w:val="1"/>
          <w:numId w:val="1005"/>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Submission/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However, presenting students with AI-generated step-by-step reasoning may have influenced the accuracy of their revised estimates.</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Submission/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Submission/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6"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Submission/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Submission/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Submission/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(see Figure</w:t>
      </w:r>
      <w:r>
        <w:t xml:space="preserve"> </w:t>
      </w:r>
      <w:r>
        <w:t xml:space="preserve">3.10</w:t>
      </w:r>
      <w:r>
        <w:t xml:space="preserve">).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Submission/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Submission/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5"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Submission/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p>
      <w:pPr>
        <w:pStyle w:val="CaptionedFigure"/>
      </w:pPr>
      <w:r>
        <w:drawing>
          <wp:inline>
            <wp:extent cx="4572000" cy="3657600"/>
            <wp:effectExtent b="0" l="0" r="0" t="0"/>
            <wp:docPr descr="Figure 3.10: Regression coefficients and 95% confidence intervals from a linear regression using as dependent variable the (A) students’ self-reported confidence level and (B)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 title="" id="102" name="Picture"/>
            <a:graphic>
              <a:graphicData uri="http://schemas.openxmlformats.org/drawingml/2006/picture">
                <pic:pic>
                  <pic:nvPicPr>
                    <pic:cNvPr descr="Submission/main_report_files/figure-docx/interactions-1.pdf" id="103" name="Picture"/>
                    <pic:cNvPicPr>
                      <a:picLocks noChangeArrowheads="1" noChangeAspect="1"/>
                    </pic:cNvPicPr>
                  </pic:nvPicPr>
                  <pic:blipFill>
                    <a:blip r:embed="rId10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4" w:name="fig:interactions"/>
      <w:bookmarkEnd w:id="104"/>
      <w:r>
        <w:t xml:space="preserve">Figure 3.10: Regression coefficients and 95% confidence intervals from a linear regression using as dependent variable the (</w:t>
      </w:r>
      <w:r>
        <w:rPr>
          <w:b/>
          <w:bCs/>
        </w:rPr>
        <w:t xml:space="preserve">A</w:t>
      </w:r>
      <w:r>
        <w:t xml:space="preserve">) students’ self-reported confidence level and (</w:t>
      </w:r>
      <w:r>
        <w:rPr>
          <w:b/>
          <w:bCs/>
        </w:rPr>
        <w:t xml:space="preserve">B</w:t>
      </w:r>
      <w:r>
        <w:t xml:space="preserve">)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w:t>
      </w:r>
    </w:p>
    <w:bookmarkEnd w:id="105"/>
    <w:bookmarkEnd w:id="106"/>
    <w:bookmarkEnd w:id="107"/>
    <w:bookmarkStart w:id="111" w:name="discussion"/>
    <w:p>
      <w:pPr>
        <w:pStyle w:val="Heading1"/>
      </w:pPr>
      <w:r>
        <w:rPr>
          <w:rStyle w:val="SectionNumber"/>
        </w:rPr>
        <w:t xml:space="preserve">4</w:t>
      </w:r>
      <w:r>
        <w:tab/>
      </w:r>
      <w:r>
        <w:t xml:space="preserve">Discussion</w:t>
      </w:r>
    </w:p>
    <w:p>
      <w:pPr>
        <w:pStyle w:val="FirstParagraph"/>
      </w:pPr>
      <w:r>
        <w:t xml:space="preserve">The present study aims to contribute to our understanding of the impact of pedagogically aligned configurations of an LLM-based tool on high-school students’ learning and attitudes with a special focus on their critical thinking.</w:t>
      </w:r>
    </w:p>
    <w:bookmarkStart w:id="108" w:name="overview-of-the-findings"/>
    <w:p>
      <w:pPr>
        <w:pStyle w:val="Heading2"/>
      </w:pPr>
      <w:r>
        <w:rPr>
          <w:rStyle w:val="SectionNumber"/>
        </w:rPr>
        <w:t xml:space="preserve">4.1</w:t>
      </w:r>
      <w:r>
        <w:tab/>
      </w:r>
      <w:r>
        <w:t xml:space="preserve">Overview of the findings</w:t>
      </w:r>
    </w:p>
    <w:p>
      <w:pPr>
        <w:pStyle w:val="FirstParagraph"/>
      </w:pPr>
      <w:r>
        <w:t xml:space="preserve">With the rapid adoption of AI in education, the focus on students’ competencies and skills, such as critical thinking, has become particularly urgent</w:t>
      </w:r>
      <w:r>
        <w:t xml:space="preserve"> </w:t>
      </w:r>
      <w:r>
        <w:t xml:space="preserve">(</w:t>
      </w:r>
      <w:hyperlink w:anchor="ref-walter2024embracing">
        <w:r>
          <w:rPr>
            <w:rStyle w:val="Hyperlink"/>
          </w:rPr>
          <w:t xml:space="preserve">Walter 2024</w:t>
        </w:r>
      </w:hyperlink>
      <w:r>
        <w:t xml:space="preserve">;</w:t>
      </w:r>
      <w:r>
        <w:t xml:space="preserve"> </w:t>
      </w:r>
      <w:hyperlink w:anchor="ref-holmes2023guidance">
        <w:r>
          <w:rPr>
            <w:rStyle w:val="Hyperlink"/>
          </w:rPr>
          <w:t xml:space="preserve">Holmes, Miao, et al. 2023</w:t>
        </w:r>
      </w:hyperlink>
      <w:r>
        <w:t xml:space="preserve">)</w:t>
      </w:r>
      <w:r>
        <w:t xml:space="preserve">. Despite the rapidly increasing body of research on the impact of LLMs on students’ learning, most studies focus on participants in higher education</w:t>
      </w:r>
      <w:r>
        <w:t xml:space="preserve"> </w:t>
      </w:r>
      <w:r>
        <w:t xml:space="preserve">(e.g.,</w:t>
      </w:r>
      <w:r>
        <w:t xml:space="preserve"> </w:t>
      </w:r>
      <w:hyperlink w:anchor="ref-suriano2025student">
        <w:r>
          <w:rPr>
            <w:rStyle w:val="Hyperlink"/>
          </w:rPr>
          <w:t xml:space="preserve">Suriano et al. 2025</w:t>
        </w:r>
      </w:hyperlink>
      <w:r>
        <w:t xml:space="preserve">)</w:t>
      </w:r>
      <w:r>
        <w:t xml:space="preserve">, which do not necessarily generate insights that apply to younger students who have different cognitive maturity. In addition, despite the increasing research interest regarding the impact of LLMs on students’ learning, there is little consensus among researchers, especially due to students’ over-reliance on AI tools</w:t>
      </w:r>
      <w:r>
        <w:t xml:space="preserve"> </w:t>
      </w:r>
      <w:r>
        <w:t xml:space="preserve">(</w:t>
      </w:r>
      <w:hyperlink w:anchor="ref-zhai2024effects">
        <w:r>
          <w:rPr>
            <w:rStyle w:val="Hyperlink"/>
          </w:rPr>
          <w:t xml:space="preserve">Zhai, Wibowo, and Li 2024</w:t>
        </w:r>
      </w:hyperlink>
      <w:r>
        <w:t xml:space="preserve">)</w:t>
      </w:r>
      <w:r>
        <w:t xml:space="preserve">.</w:t>
      </w:r>
    </w:p>
    <w:p>
      <w:pPr>
        <w:pStyle w:val="BodyText"/>
      </w:pPr>
      <w:r>
        <w:t xml:space="preserve">The results of this study focus on the role of two interventions on the configuration of an LLM chatbot for educational support: (i) step-by-step explanations and (ii) the Socratic method with guiding questions. First, we found that students significantly benefit from AI-generated step-by-step reasoning accompanying solutions, mainly when performing open-ended tasks like estimating unknown quantities. This finding aligns with expectations of current research on the use of LLM chatbots and their ability to provide explanations for learning purposes</w:t>
      </w:r>
      <w:r>
        <w:t xml:space="preserve"> </w:t>
      </w:r>
      <w:r>
        <w:t xml:space="preserve">(</w:t>
      </w:r>
      <w:hyperlink w:anchor="ref-wu2024critical">
        <w:r>
          <w:rPr>
            <w:rStyle w:val="Hyperlink"/>
          </w:rPr>
          <w:t xml:space="preserve">Y. Wu 2024</w:t>
        </w:r>
      </w:hyperlink>
      <w:r>
        <w:t xml:space="preserve">)</w:t>
      </w:r>
      <w:r>
        <w:t xml:space="preserve">. It also aligns with previous research demonstrating that LLMs can enhance student performance</w:t>
      </w:r>
      <w:r>
        <w:t xml:space="preserve"> </w:t>
      </w:r>
      <w:r>
        <w:t xml:space="preserve">(</w:t>
      </w:r>
      <w:hyperlink w:anchor="ref-xing2025development">
        <w:r>
          <w:rPr>
            <w:rStyle w:val="Hyperlink"/>
          </w:rPr>
          <w:t xml:space="preserve">Xing et al. 2025</w:t>
        </w:r>
      </w:hyperlink>
      <w:r>
        <w:t xml:space="preserve">)</w:t>
      </w:r>
      <w:r>
        <w:t xml:space="preserve">. However, our results underscore that the key mechanism driving AI improvements is the step-by-step reasoning provided by the AI, which allows students to understand better and engage with problem-solving.</w:t>
      </w:r>
    </w:p>
    <w:p>
      <w:pPr>
        <w:pStyle w:val="BodyText"/>
      </w:pPr>
      <w:r>
        <w:t xml:space="preserve">Furthermore, our study reveals that step-by-step reasoning not only helps students in solving problems but also enhances students’ ability to evaluate AI-generated information critically. Critical thinking is indeed a complex cognitive process that involves evaluation and analysis of a given information</w:t>
      </w:r>
      <w:r>
        <w:t xml:space="preserve"> </w:t>
      </w:r>
      <w:r>
        <w:t xml:space="preserve">(</w:t>
      </w:r>
      <w:hyperlink w:anchor="ref-lai2011critical">
        <w:r>
          <w:rPr>
            <w:rStyle w:val="Hyperlink"/>
          </w:rPr>
          <w:t xml:space="preserve">Lai 2011</w:t>
        </w:r>
      </w:hyperlink>
      <w:r>
        <w:t xml:space="preserve">)</w:t>
      </w:r>
      <w:r>
        <w:t xml:space="preserve">. The mobilisation of students’ critical thinking in the specific task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instead of being presented as a</w:t>
      </w:r>
      <w:r>
        <w:t xml:space="preserve"> </w:t>
      </w:r>
      <w:r>
        <w:t xml:space="preserve">“black box”</w:t>
      </w:r>
      <w:r>
        <w:t xml:space="preserve"> </w:t>
      </w:r>
      <w:r>
        <w:t xml:space="preserve">(</w:t>
      </w:r>
      <w:hyperlink w:anchor="ref-bearman2023learning">
        <w:r>
          <w:rPr>
            <w:rStyle w:val="Hyperlink"/>
          </w:rPr>
          <w:t xml:space="preserve">Bearman and Ajjawi 2023</w:t>
        </w:r>
      </w:hyperlink>
      <w:r>
        <w:t xml:space="preserve">)</w:t>
      </w:r>
      <w:r>
        <w:t xml:space="preserve">.</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w:t>
      </w:r>
      <w:r>
        <w:t xml:space="preserve"> </w:t>
      </w:r>
      <w:r>
        <w:t xml:space="preserve">(</w:t>
      </w:r>
      <w:hyperlink w:anchor="ref-suriano2025student">
        <w:r>
          <w:rPr>
            <w:rStyle w:val="Hyperlink"/>
          </w:rPr>
          <w:t xml:space="preserve">Suriano et al. 2025</w:t>
        </w:r>
      </w:hyperlink>
      <w:r>
        <w:t xml:space="preserve">)</w:t>
      </w:r>
      <w:r>
        <w:t xml:space="preserve">. However, contrary to our expectations, we found no significant differences in students’ self-reported confidence in the accuracy of their answers or in the correctness of their responses despite the more frequent interactions with the Socratic AI. Additionally, the Socratic AI’s perceived helpfulness was rated lower compared to the non-Socratic AI.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In addition, while recent research attempts to understand the quality of Socratic LLMs for critical thinking</w:t>
      </w:r>
      <w:r>
        <w:t xml:space="preserve"> </w:t>
      </w:r>
      <w:r>
        <w:t xml:space="preserve">(e.g.,</w:t>
      </w:r>
      <w:r>
        <w:t xml:space="preserve"> </w:t>
      </w:r>
      <w:hyperlink w:anchor="ref-favero2024enhancing">
        <w:r>
          <w:rPr>
            <w:rStyle w:val="Hyperlink"/>
          </w:rPr>
          <w:t xml:space="preserve">Favero et al. 2024</w:t>
        </w:r>
      </w:hyperlink>
      <w:r>
        <w:t xml:space="preserve">)</w:t>
      </w:r>
      <w:r>
        <w:t xml:space="preserve">, these studies use simulations without experiments with human participants. Our results underscore the need for adapting existing pedagogical paradigms or proposing new ones for integrating LLM tools into pedagogical practices effectively.</w:t>
      </w:r>
    </w:p>
    <w:p>
      <w:pPr>
        <w:pStyle w:val="BodyText"/>
      </w:pPr>
      <w:r>
        <w:t xml:space="preserve">Our findings also indicate that simply interacting with AI cannot promote meaningful and lasting learning.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do not scaffold effective learning, and the mere implementation of Socratic AI does not mitigate this risk.</w:t>
      </w:r>
    </w:p>
    <w:p>
      <w:pPr>
        <w:pStyle w:val="BodyText"/>
      </w:pPr>
      <w:r>
        <w:t xml:space="preserve">Our results suggest that AI has great potential as an educational tool, but its implementation requires careful considerations.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bookmarkEnd w:id="108"/>
    <w:bookmarkStart w:id="109" w:name="limitations-of-the-study-and-future-work"/>
    <w:p>
      <w:pPr>
        <w:pStyle w:val="Heading2"/>
      </w:pPr>
      <w:r>
        <w:rPr>
          <w:rStyle w:val="SectionNumber"/>
        </w:rPr>
        <w:t xml:space="preserve">4.2</w:t>
      </w:r>
      <w:r>
        <w:tab/>
      </w:r>
      <w:r>
        <w:t xml:space="preserve">Limitations of the study and future work</w:t>
      </w:r>
    </w:p>
    <w:p>
      <w:pPr>
        <w:pStyle w:val="FirstParagraph"/>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 term results are important to foster adoption, it is unclear the effectiveness of AI in the long-term.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recognize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p>
      <w:pPr>
        <w:pStyle w:val="BodyText"/>
      </w:pPr>
      <w:r>
        <w:t xml:space="preserve">Our future work includes a large-scale study with a representative sample in a country in Europe, where we aim to address the above-mentioned limitations.</w:t>
      </w:r>
    </w:p>
    <w:bookmarkEnd w:id="109"/>
    <w:bookmarkStart w:id="110" w:name="concluding-remarks"/>
    <w:p>
      <w:pPr>
        <w:pStyle w:val="Heading2"/>
      </w:pPr>
      <w:r>
        <w:rPr>
          <w:rStyle w:val="SectionNumber"/>
        </w:rPr>
        <w:t xml:space="preserve">4.3</w:t>
      </w:r>
      <w:r>
        <w:tab/>
      </w:r>
      <w:r>
        <w:t xml:space="preserve">Concluding remarks</w:t>
      </w:r>
    </w:p>
    <w:p>
      <w:pPr>
        <w:pStyle w:val="FirstParagraph"/>
      </w:pPr>
      <w:r>
        <w:t xml:space="preserve">While our study focused on comparing a fairly general pedagogical approach—Socratic AI, future research should explore this pedagogical method in a more nuanced way and consider alternative pedagogical approaches to facilitate scalability of AI tools across diverse tasks and educational contexts. Yet, our findings have important implications for designing AI tutors, highlighting the importance of providing transparent AI-generated step-by-step reasoning and the challenges of fostering learning through guided AI-student interactions. Therefore, AI systems must engage students interactively and provide learning opportunities for students’ critical thinking and problem-solving skills to maximise their educational value. Future developments should focus on refining the integration of AI-generated reasoning and ensuring that AI tools are adaptable to various learning tasks and students’ needs.</w:t>
      </w:r>
    </w:p>
    <w:bookmarkEnd w:id="110"/>
    <w:bookmarkEnd w:id="111"/>
    <w:bookmarkStart w:id="172" w:name="references"/>
    <w:p>
      <w:pPr>
        <w:pStyle w:val="Heading1"/>
      </w:pPr>
      <w:r>
        <w:t xml:space="preserve">References</w:t>
      </w:r>
    </w:p>
    <w:bookmarkStart w:id="171" w:name="refs"/>
    <w:bookmarkStart w:id="112" w:name="ref-bearman2023learning"/>
    <w:p>
      <w:pPr>
        <w:pStyle w:val="Bibliography"/>
      </w:pPr>
      <w:r>
        <w:t xml:space="preserve">Bearman, Margaret, and Rola Ajjawi. 2023.</w:t>
      </w:r>
      <w:r>
        <w:t xml:space="preserve"> </w:t>
      </w:r>
      <w:r>
        <w:t xml:space="preserve">“Learning to Work with the Black Box: Pedagogy for a World with Artificial Intelligence.”</w:t>
      </w:r>
      <w:r>
        <w:t xml:space="preserve"> </w:t>
      </w:r>
      <w:r>
        <w:rPr>
          <w:i/>
          <w:iCs/>
        </w:rPr>
        <w:t xml:space="preserve">British Journal of Educational Technology</w:t>
      </w:r>
      <w:r>
        <w:t xml:space="preserve"> </w:t>
      </w:r>
      <w:r>
        <w:t xml:space="preserve">54 (5): 1160–73.</w:t>
      </w:r>
    </w:p>
    <w:bookmarkEnd w:id="112"/>
    <w:bookmarkStart w:id="113"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13"/>
    <w:bookmarkStart w:id="114"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14"/>
    <w:bookmarkStart w:id="115"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15"/>
    <w:bookmarkStart w:id="116"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16"/>
    <w:bookmarkStart w:id="117"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7"/>
    <w:bookmarkStart w:id="118"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8"/>
    <w:bookmarkStart w:id="119"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9"/>
    <w:bookmarkStart w:id="120"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20"/>
    <w:bookmarkStart w:id="121"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21"/>
    <w:bookmarkStart w:id="122"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22"/>
    <w:bookmarkStart w:id="123"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23"/>
    <w:bookmarkStart w:id="124"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24"/>
    <w:bookmarkStart w:id="125" w:name="ref-favero2024enhancing"/>
    <w:p>
      <w:pPr>
        <w:pStyle w:val="Bibliography"/>
      </w:pPr>
      <w:r>
        <w:t xml:space="preserve">Favero, Lucile, Juan Antonio Pérez-Ortiz, Tanja Käser, and Nuria Oliver. 2024.</w:t>
      </w:r>
      <w:r>
        <w:t xml:space="preserve"> </w:t>
      </w:r>
      <w:r>
        <w:t xml:space="preserve">“Enhancing Critical Thinking in Education by Means of a Socratic Chatbot.”</w:t>
      </w:r>
      <w:r>
        <w:t xml:space="preserve"> </w:t>
      </w:r>
      <w:r>
        <w:rPr>
          <w:i/>
          <w:iCs/>
        </w:rPr>
        <w:t xml:space="preserve">arXiv Preprint arXiv:2409.05511</w:t>
      </w:r>
      <w:r>
        <w:t xml:space="preserve">.</w:t>
      </w:r>
    </w:p>
    <w:bookmarkEnd w:id="125"/>
    <w:bookmarkStart w:id="126"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26"/>
    <w:bookmarkStart w:id="127"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27"/>
    <w:bookmarkStart w:id="128"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8"/>
    <w:bookmarkStart w:id="129"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9"/>
    <w:bookmarkStart w:id="130" w:name="ref-holmes2023guidance"/>
    <w:p>
      <w:pPr>
        <w:pStyle w:val="Bibliography"/>
      </w:pPr>
      <w:r>
        <w:t xml:space="preserve">Holmes, Wayne, Fengchun Miao, et al. 2023.</w:t>
      </w:r>
      <w:r>
        <w:t xml:space="preserve"> </w:t>
      </w:r>
      <w:r>
        <w:rPr>
          <w:i/>
          <w:iCs/>
        </w:rPr>
        <w:t xml:space="preserve">Guidance for Generative AI in Education and Research</w:t>
      </w:r>
      <w:r>
        <w:t xml:space="preserve">. UNESCO Publishing.</w:t>
      </w:r>
    </w:p>
    <w:bookmarkEnd w:id="130"/>
    <w:bookmarkStart w:id="131"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31"/>
    <w:bookmarkStart w:id="132"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32"/>
    <w:bookmarkStart w:id="134"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33">
        <w:r>
          <w:rPr>
            <w:rStyle w:val="Hyperlink"/>
          </w:rPr>
          <w:t xml:space="preserve">https://arxiv.org/pdf/2110.14207.pdf</w:t>
        </w:r>
      </w:hyperlink>
      <w:r>
        <w:t xml:space="preserve">.</w:t>
      </w:r>
    </w:p>
    <w:bookmarkEnd w:id="134"/>
    <w:bookmarkStart w:id="135"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35"/>
    <w:bookmarkStart w:id="136"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36"/>
    <w:bookmarkStart w:id="137" w:name="ref-kojima2022large"/>
    <w:p>
      <w:pPr>
        <w:pStyle w:val="Bibliography"/>
      </w:pPr>
      <w:r>
        <w:t xml:space="preserve">Kojima, Takeshi, Shixiang Shane Gu, Machel Reid, Yutaka Matsuo, and Yusuke Iwasawa. 2022.</w:t>
      </w:r>
      <w:r>
        <w:t xml:space="preserve"> </w:t>
      </w:r>
      <w:r>
        <w:t xml:space="preserve">“Large Language Models Are Zero-Shot Reasoners.”</w:t>
      </w:r>
      <w:r>
        <w:t xml:space="preserve"> </w:t>
      </w:r>
      <w:r>
        <w:rPr>
          <w:i/>
          <w:iCs/>
        </w:rPr>
        <w:t xml:space="preserve">Advances in Neural Information Processing Systems</w:t>
      </w:r>
      <w:r>
        <w:t xml:space="preserve"> </w:t>
      </w:r>
      <w:r>
        <w:t xml:space="preserve">35: 22199–213.</w:t>
      </w:r>
    </w:p>
    <w:bookmarkEnd w:id="137"/>
    <w:bookmarkStart w:id="138" w:name="ref-lai2011critical"/>
    <w:p>
      <w:pPr>
        <w:pStyle w:val="Bibliography"/>
      </w:pPr>
      <w:r>
        <w:t xml:space="preserve">Lai, Emily R. 2011.</w:t>
      </w:r>
      <w:r>
        <w:t xml:space="preserve"> </w:t>
      </w:r>
      <w:r>
        <w:t xml:space="preserve">“Critical Thinking: A Literature Review.”</w:t>
      </w:r>
      <w:r>
        <w:t xml:space="preserve"> </w:t>
      </w:r>
      <w:r>
        <w:rPr>
          <w:i/>
          <w:iCs/>
        </w:rPr>
        <w:t xml:space="preserve">Pearson’s Research Reports</w:t>
      </w:r>
      <w:r>
        <w:t xml:space="preserve"> </w:t>
      </w:r>
      <w:r>
        <w:t xml:space="preserve">6 (1): 40–41.</w:t>
      </w:r>
    </w:p>
    <w:bookmarkEnd w:id="138"/>
    <w:bookmarkStart w:id="139" w:name="ref-lam2011socratic"/>
    <w:p>
      <w:pPr>
        <w:pStyle w:val="Bibliography"/>
      </w:pPr>
      <w:r>
        <w:t xml:space="preserve">Lam, Faith. 2011.</w:t>
      </w:r>
      <w:r>
        <w:t xml:space="preserve"> </w:t>
      </w:r>
      <w:r>
        <w:t xml:space="preserve">“The Socratic Method as an Approach to Learning and Its Benefits.”</w:t>
      </w:r>
    </w:p>
    <w:bookmarkEnd w:id="139"/>
    <w:bookmarkStart w:id="140"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40"/>
    <w:bookmarkStart w:id="141"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41"/>
    <w:bookmarkStart w:id="142"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42"/>
    <w:bookmarkStart w:id="143"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43"/>
    <w:bookmarkStart w:id="144"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44"/>
    <w:bookmarkStart w:id="145"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45"/>
    <w:bookmarkStart w:id="146"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46"/>
    <w:bookmarkStart w:id="147"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47"/>
    <w:bookmarkStart w:id="148"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48"/>
    <w:bookmarkStart w:id="149"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49"/>
    <w:bookmarkStart w:id="150"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50"/>
    <w:bookmarkStart w:id="152"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51">
        <w:r>
          <w:rPr>
            <w:rStyle w:val="Hyperlink"/>
          </w:rPr>
          <w:t xml:space="preserve">https://www.wired.com/2015/01/coin-jar-crowd-wisdom-experiment-results/</w:t>
        </w:r>
      </w:hyperlink>
      <w:r>
        <w:t xml:space="preserve">.</w:t>
      </w:r>
    </w:p>
    <w:bookmarkEnd w:id="152"/>
    <w:bookmarkStart w:id="153" w:name="ref-suriano2025student"/>
    <w:p>
      <w:pPr>
        <w:pStyle w:val="Bibliography"/>
      </w:pPr>
      <w:r>
        <w:t xml:space="preserve">Suriano, Rossella, Alessio Plebe, Alessandro Acciai, and Rosa Angela Fabio. 2025.</w:t>
      </w:r>
      <w:r>
        <w:t xml:space="preserve"> </w:t>
      </w:r>
      <w:r>
        <w:t xml:space="preserve">“Student Interaction with ChatGPT Can Promote Complex Critical Thinking Skills.”</w:t>
      </w:r>
      <w:r>
        <w:t xml:space="preserve"> </w:t>
      </w:r>
      <w:r>
        <w:rPr>
          <w:i/>
          <w:iCs/>
        </w:rPr>
        <w:t xml:space="preserve">Learning and Instruction</w:t>
      </w:r>
      <w:r>
        <w:t xml:space="preserve"> </w:t>
      </w:r>
      <w:r>
        <w:t xml:space="preserve">95: 102011.</w:t>
      </w:r>
    </w:p>
    <w:bookmarkEnd w:id="153"/>
    <w:bookmarkStart w:id="154"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54"/>
    <w:bookmarkStart w:id="155"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55"/>
    <w:bookmarkStart w:id="156"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56"/>
    <w:bookmarkStart w:id="157"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57"/>
    <w:bookmarkStart w:id="159"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58">
        <w:r>
          <w:rPr>
            <w:rStyle w:val="Hyperlink"/>
          </w:rPr>
          <w:t xml:space="preserve">https://doi.org/10.18559/ebr.2023.2.743</w:t>
        </w:r>
      </w:hyperlink>
      <w:r>
        <w:t xml:space="preserve">.</w:t>
      </w:r>
    </w:p>
    <w:bookmarkEnd w:id="159"/>
    <w:bookmarkStart w:id="160" w:name="ref-walter2024embracing"/>
    <w:p>
      <w:pPr>
        <w:pStyle w:val="Bibliography"/>
      </w:pPr>
      <w:r>
        <w:t xml:space="preserve">Walter, Yoshija. 2024.</w:t>
      </w:r>
      <w:r>
        <w:t xml:space="preserve"> </w:t>
      </w:r>
      <w:r>
        <w:t xml:space="preserve">“Embracing the Future of Artificial Intelligence in the Classroom: The Relevance of AI Literacy, Prompt Engineering, and Critical Thinking in Modern Education.”</w:t>
      </w:r>
      <w:r>
        <w:t xml:space="preserve"> </w:t>
      </w:r>
      <w:r>
        <w:rPr>
          <w:i/>
          <w:iCs/>
        </w:rPr>
        <w:t xml:space="preserve">International Journal of Educational Technology in Higher Education</w:t>
      </w:r>
      <w:r>
        <w:t xml:space="preserve"> </w:t>
      </w:r>
      <w:r>
        <w:t xml:space="preserve">21 (1): 15.</w:t>
      </w:r>
    </w:p>
    <w:bookmarkEnd w:id="160"/>
    <w:bookmarkStart w:id="161"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61"/>
    <w:bookmarkStart w:id="162"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62"/>
    <w:bookmarkStart w:id="163"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63"/>
    <w:bookmarkStart w:id="164"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64"/>
    <w:bookmarkStart w:id="165" w:name="ref-wu2024critical"/>
    <w:p>
      <w:pPr>
        <w:pStyle w:val="Bibliography"/>
      </w:pPr>
      <w:r>
        <w:t xml:space="preserve">Wu, Yi. 2024.</w:t>
      </w:r>
      <w:r>
        <w:t xml:space="preserve"> </w:t>
      </w:r>
      <w:r>
        <w:t xml:space="preserve">“Critical Thinking Pedagogics Design in an Era of ChatGPT and Other AI Tools—Shifting from Teaching</w:t>
      </w:r>
      <w:r>
        <w:t xml:space="preserve"> </w:t>
      </w:r>
      <w:r>
        <w:t xml:space="preserve">‘What’</w:t>
      </w:r>
      <w:r>
        <w:t xml:space="preserve"> </w:t>
      </w:r>
      <w:r>
        <w:t xml:space="preserve">to Teaching</w:t>
      </w:r>
      <w:r>
        <w:t xml:space="preserve"> </w:t>
      </w:r>
      <w:r>
        <w:t xml:space="preserve">‘Why’</w:t>
      </w:r>
      <w:r>
        <w:t xml:space="preserve"> </w:t>
      </w:r>
      <w:r>
        <w:t xml:space="preserve">and</w:t>
      </w:r>
      <w:r>
        <w:t xml:space="preserve"> </w:t>
      </w:r>
      <w:r>
        <w:t xml:space="preserve">‘How’</w:t>
      </w:r>
      <w:r>
        <w:t xml:space="preserve">.”</w:t>
      </w:r>
      <w:r>
        <w:t xml:space="preserve"> </w:t>
      </w:r>
      <w:r>
        <w:rPr>
          <w:i/>
          <w:iCs/>
        </w:rPr>
        <w:t xml:space="preserve">Journal of Education and Development</w:t>
      </w:r>
      <w:r>
        <w:t xml:space="preserve"> </w:t>
      </w:r>
      <w:r>
        <w:t xml:space="preserve">8 (1): 1.</w:t>
      </w:r>
    </w:p>
    <w:bookmarkEnd w:id="165"/>
    <w:bookmarkStart w:id="166"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66"/>
    <w:bookmarkStart w:id="167"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67"/>
    <w:bookmarkStart w:id="168"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68"/>
    <w:bookmarkStart w:id="169"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69"/>
    <w:bookmarkStart w:id="170" w:name="ref-zhai2024effects"/>
    <w:p>
      <w:pPr>
        <w:pStyle w:val="Bibliography"/>
      </w:pPr>
      <w:r>
        <w:t xml:space="preserve">Zhai, Chunpeng, Santoso Wibowo, and Lily D Li. 2024.</w:t>
      </w:r>
      <w:r>
        <w:t xml:space="preserve"> </w:t>
      </w:r>
      <w:r>
        <w:t xml:space="preserve">“The Effects of over-Reliance on AI Dialogue Systems on Students’ Cognitive Abilities: A Systematic Review.”</w:t>
      </w:r>
      <w:r>
        <w:t xml:space="preserve"> </w:t>
      </w:r>
      <w:r>
        <w:rPr>
          <w:i/>
          <w:iCs/>
        </w:rPr>
        <w:t xml:space="preserve">Smart Learning Environments</w:t>
      </w:r>
      <w:r>
        <w:t xml:space="preserve"> </w:t>
      </w:r>
      <w:r>
        <w:t xml:space="preserve">11 (1): 28.</w:t>
      </w:r>
    </w:p>
    <w:bookmarkEnd w:id="170"/>
    <w:bookmarkEnd w:id="171"/>
    <w:bookmarkEnd w:id="172"/>
    <w:bookmarkStart w:id="177" w:name="supporting-information"/>
    <w:p>
      <w:pPr>
        <w:pStyle w:val="Heading1"/>
      </w:pPr>
      <w:r>
        <w:rPr>
          <w:rStyle w:val="SectionNumber"/>
        </w:rPr>
        <w:t xml:space="preserve">5</w:t>
      </w:r>
      <w:r>
        <w:tab/>
      </w:r>
      <w:r>
        <w:t xml:space="preserve">Supporting Information</w:t>
      </w:r>
    </w:p>
    <w:bookmarkStart w:id="174"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73" w:name="tab:explanation"/>
      <w:bookmarkEnd w:id="173"/>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74"/>
    <w:bookmarkStart w:id="175"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6"/>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6"/>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6"/>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6"/>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6"/>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6"/>
        </w:numPr>
      </w:pPr>
      <m:oMath>
        <m:sSub>
          <m:e>
            <m:r>
              <m:t>ϵ</m:t>
            </m:r>
          </m:e>
          <m:sub>
            <m:r>
              <m:t>i</m:t>
            </m:r>
            <m:r>
              <m:t>j</m:t>
            </m:r>
          </m:sub>
        </m:sSub>
      </m:oMath>
      <w:r>
        <w:t xml:space="preserve"> </w:t>
      </w:r>
      <w:r>
        <w:t xml:space="preserve">is the error term.</w:t>
      </w:r>
    </w:p>
    <w:p>
      <w:pPr>
        <w:pStyle w:val="FirstParagraph"/>
      </w:pPr>
      <w:r>
        <w:t xml:space="preserve">The regression specification described above assumes homogeneous treatment effects across individuals and tasks. To relax this assumption, we employed a more flexible model that allows the average treatment effect,</w:t>
      </w:r>
      <w:r>
        <w:t xml:space="preserve"> </w:t>
      </w:r>
      <m:oMath>
        <m:r>
          <m:t>γ</m:t>
        </m:r>
      </m:oMath>
      <w:r>
        <w:t xml:space="preserve">, to vary based on individual-level and task-specific factors. Specifically, we included interaction terms between the treatment indicator and variables such as the student’s gender, academic performance (as measured by school grades), prior experience with ChatGPT, and school location. Additionally, we accounted for heterogeneity in treatment effects across tasks by estimating separate regressions for each task-specific subset of the data. The results are shown in Figure</w:t>
      </w:r>
      <w:r>
        <w:t xml:space="preserve"> </w:t>
      </w:r>
      <w:r>
        <w:t xml:space="preserve">3.10</w:t>
      </w:r>
      <w:r>
        <w:t xml:space="preserve">, Figure</w:t>
      </w:r>
      <w:r>
        <w:t xml:space="preserve"> </w:t>
      </w:r>
      <w:r>
        <w:t xml:space="preserve">3.6</w:t>
      </w:r>
      <w:r>
        <w:t xml:space="preserve">, and Figure</w:t>
      </w:r>
      <w:r>
        <w:t xml:space="preserve"> </w:t>
      </w:r>
      <w:r>
        <w:t xml:space="preserve">3.8</w:t>
      </w:r>
      <w:r>
        <w:t xml:space="preserve">.</w:t>
      </w:r>
    </w:p>
    <w:p>
      <w:r>
        <w:br w:type="page"/>
      </w:r>
    </w:p>
    <w:bookmarkEnd w:id="175"/>
    <w:bookmarkStart w:id="176" w:name="sec:questionnaire"/>
    <w:p>
      <w:pPr>
        <w:pStyle w:val="Heading2"/>
      </w:pPr>
      <w:r>
        <w:rPr>
          <w:rStyle w:val="SectionNumber"/>
        </w:rPr>
        <w:t xml:space="preserve">5.3</w:t>
      </w:r>
      <w:r>
        <w:tab/>
      </w:r>
      <w:r>
        <w:t xml:space="preserve">Questionnaire</w:t>
      </w:r>
    </w:p>
    <w:p>
      <w:pPr>
        <w:numPr>
          <w:ilvl w:val="0"/>
          <w:numId w:val="1007"/>
        </w:numPr>
      </w:pPr>
      <w:r>
        <w:t xml:space="preserve">Do you agree or disagree that society will benefit from a future of AI?</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7"/>
        </w:numPr>
      </w:pPr>
      <w:r>
        <w:t xml:space="preserve">Do you agree or disagree that AI is dangerous?</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7"/>
        </w:numPr>
      </w:pPr>
      <w:r>
        <w:t xml:space="preserve">Do you agree or disagree that AI will foster students’ learning in the future?</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7"/>
        </w:numPr>
      </w:pPr>
      <w:r>
        <w:t xml:space="preserve">Do you agree or disagree that AI is often misused by students?</w:t>
      </w:r>
    </w:p>
    <w:p>
      <w:pPr>
        <w:pStyle w:val="Compact"/>
        <w:numPr>
          <w:ilvl w:val="1"/>
          <w:numId w:val="1011"/>
        </w:numPr>
      </w:pPr>
      <w:r>
        <w:t xml:space="preserve">Strongly Agree</w:t>
      </w:r>
    </w:p>
    <w:p>
      <w:pPr>
        <w:pStyle w:val="Compact"/>
        <w:numPr>
          <w:ilvl w:val="1"/>
          <w:numId w:val="1011"/>
        </w:numPr>
      </w:pPr>
      <w:r>
        <w:t xml:space="preserve">Agree</w:t>
      </w:r>
    </w:p>
    <w:p>
      <w:pPr>
        <w:pStyle w:val="Compact"/>
        <w:numPr>
          <w:ilvl w:val="1"/>
          <w:numId w:val="1011"/>
        </w:numPr>
      </w:pPr>
      <w:r>
        <w:t xml:space="preserve">Neutral</w:t>
      </w:r>
    </w:p>
    <w:p>
      <w:pPr>
        <w:pStyle w:val="Compact"/>
        <w:numPr>
          <w:ilvl w:val="1"/>
          <w:numId w:val="1011"/>
        </w:numPr>
      </w:pPr>
      <w:r>
        <w:t xml:space="preserve">Disagree</w:t>
      </w:r>
    </w:p>
    <w:p>
      <w:pPr>
        <w:pStyle w:val="Compact"/>
        <w:numPr>
          <w:ilvl w:val="1"/>
          <w:numId w:val="1011"/>
        </w:numPr>
      </w:pPr>
      <w:r>
        <w:t xml:space="preserve">Strongly Disagree</w:t>
      </w:r>
    </w:p>
    <w:p>
      <w:pPr>
        <w:numPr>
          <w:ilvl w:val="0"/>
          <w:numId w:val="1007"/>
        </w:numPr>
      </w:pPr>
      <w:r>
        <w:t xml:space="preserve">How easy or difficult would it be for you to explain how sound waves transfer in the air or other materials?</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7"/>
        </w:numPr>
      </w:pPr>
      <w:r>
        <w:t xml:space="preserve">How easy or difficult would it be for you to write about the impact of technology on teenagers’ well-being?</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7"/>
        </w:numPr>
      </w:pPr>
      <w:r>
        <w:t xml:space="preserve">How easy or difficult would it be for you to guess how many litres of water are in an Olympic swimming pool?</w:t>
      </w:r>
    </w:p>
    <w:p>
      <w:pPr>
        <w:pStyle w:val="Compact"/>
        <w:numPr>
          <w:ilvl w:val="1"/>
          <w:numId w:val="1014"/>
        </w:numPr>
      </w:pPr>
      <w:r>
        <w:t xml:space="preserve">I could do this easily</w:t>
      </w:r>
    </w:p>
    <w:p>
      <w:pPr>
        <w:pStyle w:val="Compact"/>
        <w:numPr>
          <w:ilvl w:val="1"/>
          <w:numId w:val="1014"/>
        </w:numPr>
      </w:pPr>
      <w:r>
        <w:t xml:space="preserve">I could do this with a bit of effort</w:t>
      </w:r>
    </w:p>
    <w:p>
      <w:pPr>
        <w:pStyle w:val="Compact"/>
        <w:numPr>
          <w:ilvl w:val="1"/>
          <w:numId w:val="1014"/>
        </w:numPr>
      </w:pPr>
      <w:r>
        <w:t xml:space="preserve">I would struggle to do this on my own</w:t>
      </w:r>
    </w:p>
    <w:p>
      <w:pPr>
        <w:pStyle w:val="Compact"/>
        <w:numPr>
          <w:ilvl w:val="1"/>
          <w:numId w:val="1014"/>
        </w:numPr>
      </w:pPr>
      <w:r>
        <w:t xml:space="preserve">I couldn’t do this on my own</w:t>
      </w:r>
    </w:p>
    <w:p>
      <w:pPr>
        <w:numPr>
          <w:ilvl w:val="0"/>
          <w:numId w:val="1007"/>
        </w:numPr>
      </w:pPr>
      <w:r>
        <w:t xml:space="preserve">You see a jar filled with different coins; you must guess the total value of coins in US dollars.</w:t>
      </w:r>
    </w:p>
    <w:p>
      <w:pPr>
        <w:numPr>
          <w:ilvl w:val="0"/>
          <w:numId w:val="1007"/>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7"/>
        </w:numPr>
      </w:pPr>
      <w:r>
        <w:t xml:space="preserve">We asked the same question to a group of 600 people of various backgrounds. People’s mean guess was $596. How accurate is this guess?</w:t>
      </w:r>
    </w:p>
    <w:p>
      <w:pPr>
        <w:pStyle w:val="Compact"/>
        <w:numPr>
          <w:ilvl w:val="1"/>
          <w:numId w:val="1016"/>
        </w:numPr>
      </w:pPr>
      <w:r>
        <w:t xml:space="preserve">Correct</w:t>
      </w:r>
    </w:p>
    <w:p>
      <w:pPr>
        <w:pStyle w:val="Compact"/>
        <w:numPr>
          <w:ilvl w:val="1"/>
          <w:numId w:val="1016"/>
        </w:numPr>
      </w:pPr>
      <w:r>
        <w:t xml:space="preserve">Mostly Correct</w:t>
      </w:r>
    </w:p>
    <w:p>
      <w:pPr>
        <w:pStyle w:val="Compact"/>
        <w:numPr>
          <w:ilvl w:val="1"/>
          <w:numId w:val="1016"/>
        </w:numPr>
      </w:pPr>
      <w:r>
        <w:t xml:space="preserve">Partially Correct</w:t>
      </w:r>
    </w:p>
    <w:p>
      <w:pPr>
        <w:pStyle w:val="Compact"/>
        <w:numPr>
          <w:ilvl w:val="1"/>
          <w:numId w:val="1016"/>
        </w:numPr>
      </w:pPr>
      <w:r>
        <w:t xml:space="preserve">Mostly incorrect</w:t>
      </w:r>
    </w:p>
    <w:p>
      <w:pPr>
        <w:pStyle w:val="Compact"/>
        <w:numPr>
          <w:ilvl w:val="1"/>
          <w:numId w:val="1016"/>
        </w:numPr>
      </w:pPr>
      <w:r>
        <w:t xml:space="preserve">Incorrect</w:t>
      </w:r>
    </w:p>
    <w:p>
      <w:pPr>
        <w:numPr>
          <w:ilvl w:val="0"/>
          <w:numId w:val="1007"/>
        </w:numPr>
      </w:pPr>
      <w:r>
        <w:t xml:space="preserve">Given the information from the AI ($213) and the people’s average ($596), what is your final guess of the value of coins in the jar?</w:t>
      </w:r>
    </w:p>
    <w:p>
      <w:pPr>
        <w:numPr>
          <w:ilvl w:val="0"/>
          <w:numId w:val="1007"/>
        </w:numPr>
      </w:pPr>
      <w:r>
        <w:t xml:space="preserve">[Task 1] How much water in litres do students consume at our school each week? Interact with the AI tutor at the bottom of this page before answering. [Randomly assign SOCRATIC / NON-SOCRATIC AI Tutor]</w:t>
      </w:r>
    </w:p>
    <w:p>
      <w:pPr>
        <w:numPr>
          <w:ilvl w:val="0"/>
          <w:numId w:val="1007"/>
        </w:numPr>
      </w:pPr>
      <w:r>
        <w:t xml:space="preserve">How confident are you that the answer you provided is accurate?</w:t>
      </w:r>
    </w:p>
    <w:p>
      <w:pPr>
        <w:pStyle w:val="Compact"/>
        <w:numPr>
          <w:ilvl w:val="1"/>
          <w:numId w:val="1017"/>
        </w:numPr>
      </w:pPr>
      <w:r>
        <w:t xml:space="preserve">Very confident</w:t>
      </w:r>
    </w:p>
    <w:p>
      <w:pPr>
        <w:pStyle w:val="Compact"/>
        <w:numPr>
          <w:ilvl w:val="1"/>
          <w:numId w:val="1017"/>
        </w:numPr>
      </w:pPr>
      <w:r>
        <w:t xml:space="preserve">Confident</w:t>
      </w:r>
    </w:p>
    <w:p>
      <w:pPr>
        <w:pStyle w:val="Compact"/>
        <w:numPr>
          <w:ilvl w:val="1"/>
          <w:numId w:val="1017"/>
        </w:numPr>
      </w:pPr>
      <w:r>
        <w:t xml:space="preserve">Neutral</w:t>
      </w:r>
    </w:p>
    <w:p>
      <w:pPr>
        <w:pStyle w:val="Compact"/>
        <w:numPr>
          <w:ilvl w:val="1"/>
          <w:numId w:val="1017"/>
        </w:numPr>
      </w:pPr>
      <w:r>
        <w:t xml:space="preserve">Not very confident</w:t>
      </w:r>
    </w:p>
    <w:p>
      <w:pPr>
        <w:pStyle w:val="Compact"/>
        <w:numPr>
          <w:ilvl w:val="1"/>
          <w:numId w:val="1017"/>
        </w:numPr>
      </w:pPr>
      <w:r>
        <w:t xml:space="preserve">Not confident at all</w:t>
      </w:r>
    </w:p>
    <w:p>
      <w:pPr>
        <w:numPr>
          <w:ilvl w:val="0"/>
          <w:numId w:val="1007"/>
        </w:numPr>
      </w:pPr>
      <w:r>
        <w:t xml:space="preserve">How helpful was interacting with the AI tutor?</w:t>
      </w:r>
    </w:p>
    <w:p>
      <w:pPr>
        <w:pStyle w:val="Compact"/>
        <w:numPr>
          <w:ilvl w:val="1"/>
          <w:numId w:val="1018"/>
        </w:numPr>
      </w:pPr>
      <w:r>
        <w:t xml:space="preserve">Very helpful</w:t>
      </w:r>
    </w:p>
    <w:p>
      <w:pPr>
        <w:pStyle w:val="Compact"/>
        <w:numPr>
          <w:ilvl w:val="1"/>
          <w:numId w:val="1018"/>
        </w:numPr>
      </w:pPr>
      <w:r>
        <w:t xml:space="preserve">Helpful</w:t>
      </w:r>
    </w:p>
    <w:p>
      <w:pPr>
        <w:pStyle w:val="Compact"/>
        <w:numPr>
          <w:ilvl w:val="1"/>
          <w:numId w:val="1018"/>
        </w:numPr>
      </w:pPr>
      <w:r>
        <w:t xml:space="preserve">Neutral</w:t>
      </w:r>
    </w:p>
    <w:p>
      <w:pPr>
        <w:pStyle w:val="Compact"/>
        <w:numPr>
          <w:ilvl w:val="1"/>
          <w:numId w:val="1018"/>
        </w:numPr>
      </w:pPr>
      <w:r>
        <w:t xml:space="preserve">Not very helpful</w:t>
      </w:r>
    </w:p>
    <w:p>
      <w:pPr>
        <w:pStyle w:val="Compact"/>
        <w:numPr>
          <w:ilvl w:val="1"/>
          <w:numId w:val="1018"/>
        </w:numPr>
      </w:pPr>
      <w:r>
        <w:t xml:space="preserve">Not helpful at all</w:t>
      </w:r>
    </w:p>
    <w:p>
      <w:pPr>
        <w:numPr>
          <w:ilvl w:val="0"/>
          <w:numId w:val="1007"/>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7"/>
        </w:numPr>
      </w:pPr>
      <w:r>
        <w:t xml:space="preserve">Now, interact with the AI tutor at the bottom of this page before answering. [SOCRATIC / NON-SOCRATIC]. [Repeat question 15.]</w:t>
      </w:r>
    </w:p>
    <w:p>
      <w:pPr>
        <w:pStyle w:val="Compact"/>
        <w:numPr>
          <w:ilvl w:val="1"/>
          <w:numId w:val="1020"/>
        </w:numPr>
      </w:pPr>
      <w:r>
        <w:t xml:space="preserve">Very Positive</w:t>
      </w:r>
    </w:p>
    <w:p>
      <w:pPr>
        <w:pStyle w:val="Compact"/>
        <w:numPr>
          <w:ilvl w:val="1"/>
          <w:numId w:val="1020"/>
        </w:numPr>
      </w:pPr>
      <w:r>
        <w:t xml:space="preserve">Positive</w:t>
      </w:r>
    </w:p>
    <w:p>
      <w:pPr>
        <w:pStyle w:val="Compact"/>
        <w:numPr>
          <w:ilvl w:val="1"/>
          <w:numId w:val="1020"/>
        </w:numPr>
      </w:pPr>
      <w:r>
        <w:t xml:space="preserve">Neutral</w:t>
      </w:r>
    </w:p>
    <w:p>
      <w:pPr>
        <w:pStyle w:val="Compact"/>
        <w:numPr>
          <w:ilvl w:val="1"/>
          <w:numId w:val="1020"/>
        </w:numPr>
      </w:pPr>
      <w:r>
        <w:t xml:space="preserve">Negative</w:t>
      </w:r>
    </w:p>
    <w:p>
      <w:pPr>
        <w:pStyle w:val="Compact"/>
        <w:numPr>
          <w:ilvl w:val="1"/>
          <w:numId w:val="1020"/>
        </w:numPr>
      </w:pPr>
      <w:r>
        <w:t xml:space="preserve">Very Negative</w:t>
      </w:r>
    </w:p>
    <w:p>
      <w:pPr>
        <w:numPr>
          <w:ilvl w:val="0"/>
          <w:numId w:val="1007"/>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7"/>
        </w:numPr>
      </w:pPr>
      <w:r>
        <w:t xml:space="preserve">How confident are you that the arguments or facts in your essay are accurate?</w:t>
      </w:r>
    </w:p>
    <w:p>
      <w:pPr>
        <w:pStyle w:val="Compact"/>
        <w:numPr>
          <w:ilvl w:val="1"/>
          <w:numId w:val="1021"/>
        </w:numPr>
      </w:pPr>
      <w:r>
        <w:t xml:space="preserve">Very confident</w:t>
      </w:r>
    </w:p>
    <w:p>
      <w:pPr>
        <w:pStyle w:val="Compact"/>
        <w:numPr>
          <w:ilvl w:val="1"/>
          <w:numId w:val="1021"/>
        </w:numPr>
      </w:pPr>
      <w:r>
        <w:t xml:space="preserve">Confident</w:t>
      </w:r>
    </w:p>
    <w:p>
      <w:pPr>
        <w:pStyle w:val="Compact"/>
        <w:numPr>
          <w:ilvl w:val="1"/>
          <w:numId w:val="1021"/>
        </w:numPr>
      </w:pPr>
      <w:r>
        <w:t xml:space="preserve">Neutral</w:t>
      </w:r>
    </w:p>
    <w:p>
      <w:pPr>
        <w:pStyle w:val="Compact"/>
        <w:numPr>
          <w:ilvl w:val="1"/>
          <w:numId w:val="1021"/>
        </w:numPr>
      </w:pPr>
      <w:r>
        <w:t xml:space="preserve">Not very confident</w:t>
      </w:r>
    </w:p>
    <w:p>
      <w:pPr>
        <w:pStyle w:val="Compact"/>
        <w:numPr>
          <w:ilvl w:val="1"/>
          <w:numId w:val="1021"/>
        </w:numPr>
      </w:pPr>
      <w:r>
        <w:t xml:space="preserve">Not confident at all</w:t>
      </w:r>
    </w:p>
    <w:p>
      <w:pPr>
        <w:numPr>
          <w:ilvl w:val="0"/>
          <w:numId w:val="1007"/>
        </w:numPr>
      </w:pPr>
      <w:r>
        <w:t xml:space="preserve">How helpful was interacting with the AI tutor before writing the essay?</w:t>
      </w:r>
    </w:p>
    <w:p>
      <w:pPr>
        <w:pStyle w:val="Compact"/>
        <w:numPr>
          <w:ilvl w:val="1"/>
          <w:numId w:val="1022"/>
        </w:numPr>
      </w:pPr>
      <w:r>
        <w:t xml:space="preserve">Very helpful</w:t>
      </w:r>
    </w:p>
    <w:p>
      <w:pPr>
        <w:pStyle w:val="Compact"/>
        <w:numPr>
          <w:ilvl w:val="1"/>
          <w:numId w:val="1022"/>
        </w:numPr>
      </w:pPr>
      <w:r>
        <w:t xml:space="preserve">Helpful</w:t>
      </w:r>
    </w:p>
    <w:p>
      <w:pPr>
        <w:pStyle w:val="Compact"/>
        <w:numPr>
          <w:ilvl w:val="1"/>
          <w:numId w:val="1022"/>
        </w:numPr>
      </w:pPr>
      <w:r>
        <w:t xml:space="preserve">Neutral</w:t>
      </w:r>
    </w:p>
    <w:p>
      <w:pPr>
        <w:pStyle w:val="Compact"/>
        <w:numPr>
          <w:ilvl w:val="1"/>
          <w:numId w:val="1022"/>
        </w:numPr>
      </w:pPr>
      <w:r>
        <w:t xml:space="preserve">Not very helpful</w:t>
      </w:r>
    </w:p>
    <w:p>
      <w:pPr>
        <w:pStyle w:val="Compact"/>
        <w:numPr>
          <w:ilvl w:val="1"/>
          <w:numId w:val="1022"/>
        </w:numPr>
      </w:pPr>
      <w:r>
        <w:t xml:space="preserve">Not helpful at all</w:t>
      </w:r>
    </w:p>
    <w:p>
      <w:pPr>
        <w:numPr>
          <w:ilvl w:val="0"/>
          <w:numId w:val="1007"/>
        </w:numPr>
      </w:pPr>
      <w:r>
        <w:t xml:space="preserve">Can you explain why this interaction was helpful or wasn’t? [TEXT]</w:t>
      </w:r>
    </w:p>
    <w:p>
      <w:pPr>
        <w:numPr>
          <w:ilvl w:val="0"/>
          <w:numId w:val="1007"/>
        </w:numPr>
      </w:pPr>
      <w:r>
        <w:t xml:space="preserve">[Task 3] Does sound travel faster in water than air? And if so, why?</w:t>
      </w:r>
    </w:p>
    <w:p>
      <w:pPr>
        <w:pStyle w:val="Compact"/>
        <w:numPr>
          <w:ilvl w:val="1"/>
          <w:numId w:val="1023"/>
        </w:numPr>
      </w:pPr>
      <w:r>
        <w:t xml:space="preserve">Sound travels slower in water due to its higher density</w:t>
      </w:r>
    </w:p>
    <w:p>
      <w:pPr>
        <w:pStyle w:val="Compact"/>
        <w:numPr>
          <w:ilvl w:val="1"/>
          <w:numId w:val="1023"/>
        </w:numPr>
      </w:pPr>
      <w:r>
        <w:t xml:space="preserve">Sound travels faster in water due to its higher density [correct answer]</w:t>
      </w:r>
    </w:p>
    <w:p>
      <w:pPr>
        <w:pStyle w:val="Compact"/>
        <w:numPr>
          <w:ilvl w:val="1"/>
          <w:numId w:val="1023"/>
        </w:numPr>
      </w:pPr>
      <w:r>
        <w:t xml:space="preserve">Sound travels at the same speed in both water and air, regardless of density</w:t>
      </w:r>
    </w:p>
    <w:p>
      <w:pPr>
        <w:pStyle w:val="Compact"/>
        <w:numPr>
          <w:ilvl w:val="1"/>
          <w:numId w:val="1023"/>
        </w:numPr>
      </w:pPr>
      <w:r>
        <w:t xml:space="preserve">Sound travels slower in water due to its lower density</w:t>
      </w:r>
    </w:p>
    <w:p>
      <w:pPr>
        <w:pStyle w:val="Compact"/>
        <w:numPr>
          <w:ilvl w:val="1"/>
          <w:numId w:val="1023"/>
        </w:numPr>
      </w:pPr>
      <w:r>
        <w:t xml:space="preserve">Sound travels faster in water due to its lower density</w:t>
      </w:r>
    </w:p>
    <w:p>
      <w:pPr>
        <w:numPr>
          <w:ilvl w:val="0"/>
          <w:numId w:val="1007"/>
        </w:numPr>
      </w:pPr>
      <w:r>
        <w:t xml:space="preserve">Now, interact with the AI tutor at the bottom of this page before answering. [SOCRATIC / NON-SOCRATIC] [Repeat question 21.]</w:t>
      </w:r>
    </w:p>
    <w:p>
      <w:pPr>
        <w:numPr>
          <w:ilvl w:val="0"/>
          <w:numId w:val="1007"/>
        </w:numPr>
      </w:pPr>
      <w:r>
        <w:t xml:space="preserve">How confident are you that the answer you provided is accurate?</w:t>
      </w:r>
    </w:p>
    <w:p>
      <w:pPr>
        <w:pStyle w:val="Compact"/>
        <w:numPr>
          <w:ilvl w:val="1"/>
          <w:numId w:val="1024"/>
        </w:numPr>
      </w:pPr>
      <w:r>
        <w:t xml:space="preserve">Very confident</w:t>
      </w:r>
    </w:p>
    <w:p>
      <w:pPr>
        <w:pStyle w:val="Compact"/>
        <w:numPr>
          <w:ilvl w:val="1"/>
          <w:numId w:val="1024"/>
        </w:numPr>
      </w:pPr>
      <w:r>
        <w:t xml:space="preserve">Confident</w:t>
      </w:r>
    </w:p>
    <w:p>
      <w:pPr>
        <w:pStyle w:val="Compact"/>
        <w:numPr>
          <w:ilvl w:val="1"/>
          <w:numId w:val="1024"/>
        </w:numPr>
      </w:pPr>
      <w:r>
        <w:t xml:space="preserve">Neutral</w:t>
      </w:r>
    </w:p>
    <w:p>
      <w:pPr>
        <w:pStyle w:val="Compact"/>
        <w:numPr>
          <w:ilvl w:val="1"/>
          <w:numId w:val="1024"/>
        </w:numPr>
      </w:pPr>
      <w:r>
        <w:t xml:space="preserve">Not very confident</w:t>
      </w:r>
    </w:p>
    <w:p>
      <w:pPr>
        <w:pStyle w:val="Compact"/>
        <w:numPr>
          <w:ilvl w:val="1"/>
          <w:numId w:val="1024"/>
        </w:numPr>
      </w:pPr>
      <w:r>
        <w:t xml:space="preserve">Not confident at all</w:t>
      </w:r>
    </w:p>
    <w:p>
      <w:pPr>
        <w:numPr>
          <w:ilvl w:val="0"/>
          <w:numId w:val="1007"/>
        </w:numPr>
      </w:pPr>
      <w:r>
        <w:t xml:space="preserve">How helpful was interacting with the AI tutor?</w:t>
      </w:r>
    </w:p>
    <w:p>
      <w:pPr>
        <w:pStyle w:val="Compact"/>
        <w:numPr>
          <w:ilvl w:val="1"/>
          <w:numId w:val="1025"/>
        </w:numPr>
      </w:pPr>
      <w:r>
        <w:t xml:space="preserve">Very helpful</w:t>
      </w:r>
    </w:p>
    <w:p>
      <w:pPr>
        <w:pStyle w:val="Compact"/>
        <w:numPr>
          <w:ilvl w:val="1"/>
          <w:numId w:val="1025"/>
        </w:numPr>
      </w:pPr>
      <w:r>
        <w:t xml:space="preserve">Helpful</w:t>
      </w:r>
    </w:p>
    <w:p>
      <w:pPr>
        <w:pStyle w:val="Compact"/>
        <w:numPr>
          <w:ilvl w:val="1"/>
          <w:numId w:val="1025"/>
        </w:numPr>
      </w:pPr>
      <w:r>
        <w:t xml:space="preserve">Neutral</w:t>
      </w:r>
    </w:p>
    <w:p>
      <w:pPr>
        <w:pStyle w:val="Compact"/>
        <w:numPr>
          <w:ilvl w:val="1"/>
          <w:numId w:val="1025"/>
        </w:numPr>
      </w:pPr>
      <w:r>
        <w:t xml:space="preserve">Not very helpful</w:t>
      </w:r>
    </w:p>
    <w:p>
      <w:pPr>
        <w:pStyle w:val="Compact"/>
        <w:numPr>
          <w:ilvl w:val="1"/>
          <w:numId w:val="1025"/>
        </w:numPr>
      </w:pPr>
      <w:r>
        <w:t xml:space="preserve">Not helpful at all</w:t>
      </w:r>
    </w:p>
    <w:p>
      <w:pPr>
        <w:numPr>
          <w:ilvl w:val="0"/>
          <w:numId w:val="1007"/>
        </w:numPr>
      </w:pPr>
      <w:r>
        <w:t xml:space="preserve">[Verification question] In which of the following materials does sound travel faster?</w:t>
      </w:r>
    </w:p>
    <w:p>
      <w:pPr>
        <w:pStyle w:val="Compact"/>
        <w:numPr>
          <w:ilvl w:val="1"/>
          <w:numId w:val="1026"/>
        </w:numPr>
      </w:pPr>
      <w:r>
        <w:t xml:space="preserve">Rubber</w:t>
      </w:r>
    </w:p>
    <w:p>
      <w:pPr>
        <w:pStyle w:val="Compact"/>
        <w:numPr>
          <w:ilvl w:val="1"/>
          <w:numId w:val="1026"/>
        </w:numPr>
      </w:pPr>
      <w:r>
        <w:t xml:space="preserve">Cold Air</w:t>
      </w:r>
    </w:p>
    <w:p>
      <w:pPr>
        <w:pStyle w:val="Compact"/>
        <w:numPr>
          <w:ilvl w:val="1"/>
          <w:numId w:val="1026"/>
        </w:numPr>
      </w:pPr>
      <w:r>
        <w:t xml:space="preserve">Warm Air</w:t>
      </w:r>
    </w:p>
    <w:p>
      <w:pPr>
        <w:pStyle w:val="Compact"/>
        <w:numPr>
          <w:ilvl w:val="1"/>
          <w:numId w:val="1026"/>
        </w:numPr>
      </w:pPr>
      <w:r>
        <w:t xml:space="preserve">Gold</w:t>
      </w:r>
    </w:p>
    <w:p>
      <w:pPr>
        <w:pStyle w:val="Compact"/>
        <w:numPr>
          <w:ilvl w:val="1"/>
          <w:numId w:val="1026"/>
        </w:numPr>
      </w:pPr>
      <w:r>
        <w:t xml:space="preserve">Water [correct answer]</w:t>
      </w:r>
    </w:p>
    <w:p>
      <w:pPr>
        <w:numPr>
          <w:ilvl w:val="0"/>
          <w:numId w:val="1007"/>
        </w:numPr>
      </w:pPr>
      <w:r>
        <w:t xml:space="preserve">What is your average grade at school?</w:t>
      </w:r>
    </w:p>
    <w:p>
      <w:pPr>
        <w:numPr>
          <w:ilvl w:val="0"/>
          <w:numId w:val="1007"/>
        </w:numPr>
      </w:pPr>
      <w:r>
        <w:t xml:space="preserve">How many hours per day do you spend completing homework assignments?</w:t>
      </w:r>
    </w:p>
    <w:p>
      <w:pPr>
        <w:numPr>
          <w:ilvl w:val="0"/>
          <w:numId w:val="1007"/>
        </w:numPr>
      </w:pPr>
      <w:r>
        <w:t xml:space="preserve">How often do you complete your homework assignment on time?</w:t>
      </w:r>
    </w:p>
    <w:p>
      <w:pPr>
        <w:numPr>
          <w:ilvl w:val="0"/>
          <w:numId w:val="1007"/>
        </w:numPr>
      </w:pPr>
      <w:r>
        <w:t xml:space="preserve">What single factor contributes the most to your ability to complete homework assignments on time?</w:t>
      </w:r>
    </w:p>
    <w:p>
      <w:pPr>
        <w:numPr>
          <w:ilvl w:val="0"/>
          <w:numId w:val="1007"/>
        </w:numPr>
      </w:pPr>
      <w:r>
        <w:t xml:space="preserve">Have you ever used ChatGPT before today?</w:t>
      </w:r>
    </w:p>
    <w:p>
      <w:pPr>
        <w:numPr>
          <w:ilvl w:val="0"/>
          <w:numId w:val="1007"/>
        </w:numPr>
      </w:pPr>
      <w:r>
        <w:t xml:space="preserve">In your opinion, how many of your classmates are using ChatGPT for homework?</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for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101" Target="media/rId101.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Chatbots in K-12 Education: An Experimental Study of Socratic vs. Non-Socratic Approaches and the Role of Step-by-Step Reasoning</dc:title>
  <dc:creator/>
  <cp:keywords/>
  <dcterms:created xsi:type="dcterms:W3CDTF">2025-05-29T12:13:26Z</dcterms:created>
  <dcterms:modified xsi:type="dcterms:W3CDTF">2025-05-29T12:13:26Z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29,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tables">
    <vt:lpwstr>True</vt:lpwstr>
  </property>
  <property fmtid="{D5CDD505-2E9C-101B-9397-08002B2CF9AE}" pid="15" name="toc">
    <vt:lpwstr>False</vt:lpwstr>
  </property>
</Properties>
</file>