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Blindbandit Legal, Privacy, Safety, Media Suite, and Accessibility Master Package</w:t>
      </w:r>
    </w:p>
    <w:p>
      <w:pPr>
        <w:widowControl/>
      </w:pPr>
      <w:r>
        <w:t>mrblindbandit.net | Blindbandit Records | Version 2026.09.13</w:t>
      </w:r>
    </w:p>
    <w:p>
      <w:pPr>
        <w:widowControl/>
      </w:pPr>
      <w:r>
        <w:t>Prepared for Kaeleb Savon Heck, professionally known as Mr. Blindbandit.</w:t>
      </w:r>
    </w:p>
    <w:p>
      <w:pPr>
        <w:widowControl/>
      </w:pPr>
      <w:r>
        <w:t>This package deliberately uses headings, paragraphs, and lists instead of charts or tables so it is easy to navigate with VoiceOver and other screen readers.</w:t>
      </w:r>
    </w:p>
    <w:p>
      <w:pPr>
        <w:widowControl/>
      </w:pPr>
      <w:r>
        <w:t>Accessibility target: WCAG 2.2 Level AA. The standard is WCAG, not “GAFC,” and there is no WCAG 2.8 standard. WCAG 2.2 is the current W3C Recommendation used as the target in this package.</w:t>
      </w:r>
    </w:p>
    <w:p>
      <w:pPr>
        <w:widowControl/>
      </w:pPr>
      <w:r>
        <w:t>Important use note: this is a detailed compliance-oriented audit, drafting package, and engineering specification. It is not a government certification and cannot make a site compliant merely by adding legal text. Public drafts should be published only together with the code, consent, security, retention, moderation, and filing steps identified as launch gates below.</w:t>
      </w:r>
    </w:p>
    <w:p>
      <w:pPr>
        <w:pStyle w:val="Heading2"/>
        <w:widowControl/>
      </w:pPr>
      <w:r>
        <w:t>Navigation map</w:t>
      </w:r>
    </w:p>
    <w:p>
      <w:pPr>
        <w:pStyle w:val="ListBullet"/>
        <w:widowControl/>
      </w:pPr>
      <w:r>
        <w:t>Part I - Executive audit and the changes that matter most.</w:t>
      </w:r>
    </w:p>
    <w:p>
      <w:pPr>
        <w:pStyle w:val="ListBullet"/>
        <w:widowControl/>
      </w:pPr>
      <w:r>
        <w:t>Part II - Officer and governance assignments naming Kaeleb Savon Heck.</w:t>
      </w:r>
    </w:p>
    <w:p>
      <w:pPr>
        <w:pStyle w:val="ListBullet"/>
        <w:widowControl/>
      </w:pPr>
      <w:r>
        <w:t>Parts III through XVII - publish-ready public policies and terms.</w:t>
      </w:r>
    </w:p>
    <w:p>
      <w:pPr>
        <w:pStyle w:val="ListBullet"/>
        <w:widowControl/>
      </w:pPr>
      <w:r>
        <w:t>Parts XVIII through XXI - internal privacy, retention, incident, and moderation procedures.</w:t>
      </w:r>
    </w:p>
    <w:p>
      <w:pPr>
        <w:pStyle w:val="ListBullet"/>
        <w:widowControl/>
      </w:pPr>
      <w:r>
        <w:t>Part XXII - Work mode implementation checklist, including code changes.</w:t>
      </w:r>
    </w:p>
    <w:p>
      <w:pPr>
        <w:pStyle w:val="ListBullet"/>
        <w:widowControl/>
      </w:pPr>
      <w:r>
        <w:t>Part XXIII - WCAG 2.2 Level AA website and Media Suite accessibility audit plan.</w:t>
      </w:r>
    </w:p>
    <w:p>
      <w:pPr>
        <w:pStyle w:val="ListBullet"/>
        <w:widowControl/>
      </w:pPr>
      <w:r>
        <w:t>Part XXIV - conditional jurisdiction launch gates.</w:t>
      </w:r>
    </w:p>
    <w:p>
      <w:pPr>
        <w:pStyle w:val="ListBullet"/>
        <w:widowControl/>
      </w:pPr>
      <w:r>
        <w:t>Part XXV - final go-live audit script for Work mode.</w:t>
      </w:r>
    </w:p>
    <w:p>
      <w:pPr>
        <w:pStyle w:val="ListBullet"/>
        <w:widowControl/>
      </w:pPr>
      <w:r>
        <w:t>Part XXVI - primary legal and technical sources used for this package.</w:t>
      </w:r>
    </w:p>
    <w:p>
      <w:pPr>
        <w:pStyle w:val="ListBullet"/>
        <w:widowControl/>
      </w:pPr>
      <w:r>
        <w:t>Supplement A - consumer transactions, cancellations, refunds, and complaints for any future direct paid sales.</w:t>
      </w:r>
    </w:p>
    <w:p>
      <w:pPr>
        <w:pStyle w:val="ListBullet"/>
        <w:widowControl/>
      </w:pPr>
      <w:r>
        <w:t>Supplement B - illegal-content notices and moderation appeals for the public community.</w:t>
      </w:r>
    </w:p>
    <w:p>
      <w:pPr>
        <w:widowControl/>
      </w:pPr>
      <w:r>
        <w:br w:type="page"/>
      </w:r>
    </w:p>
    <w:p>
      <w:pPr>
        <w:pStyle w:val="Heading1"/>
        <w:widowControl/>
      </w:pPr>
      <w:r>
        <w:t>Part I - Executive audit: what must be improved</w:t>
      </w:r>
    </w:p>
    <w:p>
      <w:pPr>
        <w:pStyle w:val="DocumentNote"/>
        <w:widowControl/>
      </w:pPr>
      <w:r>
        <w:t>INTERNAL / OWNER OPERATIONS - keep this section off the public website unless a specific subsection says otherwise.</w:t>
      </w:r>
    </w:p>
    <w:p>
      <w:pPr>
        <w:widowControl/>
      </w:pPr>
      <w:r>
        <w:t>The current Privacy Policy is no longer the weak document. It is already unusually detailed for an independent artist and label site. The Terms of Service remain the largest drafting gap because the site now has authentication, a public community, submissions, advertising, a private label portal, local-browser conversion tools, and a growing Media Suite that the short Terms do not fully govern.</w:t>
      </w:r>
    </w:p>
    <w:p>
      <w:pPr>
        <w:pStyle w:val="Heading2"/>
        <w:widowControl/>
      </w:pPr>
      <w:r>
        <w:t>Immediate launch-gate items</w:t>
      </w:r>
    </w:p>
    <w:p>
      <w:pPr>
        <w:ind w:left="317" w:hanging="317"/>
        <w:widowControl/>
      </w:pPr>
      <w:r>
        <w:t>1. Replace the existing short Terms of Service with the full Terms in Part III. The replacement must cover accounts, minors, community content, moderation, submissions, the Media Suite, third-party services, intellectual property, copyright notices, security, advertising, suspension, liability, indemnity, governing law, electronic communications, and the relationship between website terms and signed label contracts.</w:t>
      </w:r>
    </w:p>
    <w:p>
      <w:pPr>
        <w:ind w:left="317" w:hanging="317"/>
        <w:widowControl/>
      </w:pPr>
      <w:r>
        <w:t>2. Publish the expanded Privacy Policy in Part IV only after Work confirms that each promise about retention, consent, local processing, advertising, and data-subject requests matches the actual code and vendor configuration.</w:t>
      </w:r>
    </w:p>
    <w:p>
      <w:pPr>
        <w:ind w:left="317" w:hanging="317"/>
        <w:widowControl/>
      </w:pPr>
      <w:r>
        <w:t>3. Formally use Kaeleb Savon Heck as the site Data Protection Officer / Privacy Officer and complete the applicable Philippine National Privacy Commission registration or exemption path. The public site should simply identify the officer and contact route; the filing mechanics belong in the private checklist, not in public policy text.</w:t>
      </w:r>
    </w:p>
    <w:p>
      <w:pPr>
        <w:ind w:left="317" w:hanging="317"/>
        <w:widowControl/>
      </w:pPr>
      <w:r>
        <w:t>4. Register a U.S. Copyright Office DMCA designated agent if the service wants Section 512 safe-harbor protection for user-hosted community material. Until registration succeeds, do not falsely describe the public Copyright Officer as a registered DMCA agent.</w:t>
      </w:r>
    </w:p>
    <w:p>
      <w:pPr>
        <w:ind w:left="317" w:hanging="317"/>
        <w:widowControl/>
      </w:pPr>
      <w:r>
        <w:t>5. Turn on the Google AdSense Privacy &amp; messaging European regulations message and Consent Mode configuration, and verify that non-essential advertising or tracking does not run before the required choice in the EEA, United Kingdom, and Switzerland.</w:t>
      </w:r>
    </w:p>
    <w:p>
      <w:pPr>
        <w:ind w:left="317" w:hanging="317"/>
        <w:widowControl/>
      </w:pPr>
      <w:r>
        <w:t>6. Implement a permanent Privacy Choices control so a visitor can reopen the consent interface later. Do not rely on consent that cannot be withdrawn or changed.</w:t>
      </w:r>
    </w:p>
    <w:p>
      <w:pPr>
        <w:ind w:left="317" w:hanging="317"/>
        <w:widowControl/>
      </w:pPr>
      <w:r>
        <w:t>7. Create actual retention behavior, not just a retention paragraph. Add deletion jobs or review workflows for submissions, security logs, support messages, moderation records, temporary media, and backups, and document legal holds so automatic deletion pauses only when needed.</w:t>
      </w:r>
    </w:p>
    <w:p>
      <w:pPr>
        <w:ind w:left="317" w:hanging="317"/>
        <w:widowControl/>
      </w:pPr>
      <w:r>
        <w:t>8. Implement a data-subject request workflow for access, correction, deletion, objection, restriction, portability where applicable, withdrawal of consent, and complaint escalation. Record request date, verification, action, legal basis for any refusal, completion date, and response copy.</w:t>
      </w:r>
    </w:p>
    <w:p>
      <w:pPr>
        <w:ind w:left="317" w:hanging="317"/>
        <w:widowControl/>
      </w:pPr>
      <w:r>
        <w:t>9. Implement a proper public content-reporting and appeal path. Copyright reports, child-safety reports, privacy/doxxing reports, illegal-content reports, impersonation, scams, harassment, and ordinary community-rule reports should not all be forced into one vague email workflow.</w:t>
      </w:r>
    </w:p>
    <w:p>
      <w:pPr>
        <w:ind w:left="317" w:hanging="317"/>
        <w:widowControl/>
      </w:pPr>
      <w:r>
        <w:t>10. Run the WCAG 2.2 AA remediation and testing program in Part XXIII, including VoiceOver acceptance testing. Automated scanners alone are not enough to claim full conformance.</w:t>
      </w:r>
    </w:p>
    <w:p>
      <w:pPr>
        <w:pStyle w:val="Heading2"/>
        <w:widowControl/>
      </w:pPr>
      <w:r>
        <w:t>Site-specific findings from the current live pages</w:t>
      </w:r>
    </w:p>
    <w:p>
      <w:pPr>
        <w:pStyle w:val="ListBullet"/>
        <w:widowControl/>
      </w:pPr>
      <w:r>
        <w:t>Positive: the live site exposes a Skip to content link, a dedicated accessibility hub, larger-text/high-contrast/pause-motion controls, privacy/cookie/copyright/safety/advertising pages, and role-based contact addresses.</w:t>
      </w:r>
    </w:p>
    <w:p>
      <w:pPr>
        <w:pStyle w:val="ListBullet"/>
        <w:widowControl/>
      </w:pPr>
      <w:r>
        <w:t>Positive: the current Privacy Policy explains Clerk authentication, AdSense, media embeds, music submissions, community data, local-browser conversion, security safeguards, children, rights, international processing, and incident response.</w:t>
      </w:r>
    </w:p>
    <w:p>
      <w:pPr>
        <w:pStyle w:val="ListBullet"/>
        <w:widowControl/>
      </w:pPr>
      <w:r>
        <w:t>Positive: the current converter disclosure says selected media stays in browser memory and that the FFmpeg WebAssembly engine is retrieved from jsDelivr. The Media Suite should preserve this privacy-first local-processing model whenever technically possible.</w:t>
      </w:r>
    </w:p>
    <w:p>
      <w:pPr>
        <w:pStyle w:val="ListBullet"/>
        <w:widowControl/>
      </w:pPr>
      <w:r>
        <w:t>Gap: the live retention section is still general. A real retention schedule and matching deletion code are needed.</w:t>
      </w:r>
    </w:p>
    <w:p>
      <w:pPr>
        <w:pStyle w:val="ListBullet"/>
        <w:widowControl/>
      </w:pPr>
      <w:r>
        <w:t>Gap: the current Privacy Policy gives processing grounds in a single general paragraph instead of mapping major purposes to their likely lawful basis.</w:t>
      </w:r>
    </w:p>
    <w:p>
      <w:pPr>
        <w:pStyle w:val="ListBullet"/>
        <w:widowControl/>
      </w:pPr>
      <w:r>
        <w:t>Gap: the privacy notice should identify the DPO/Privacy Officer, mention the Philippine National Privacy Commission as a complaint route, and add a clear California Do Not Track disclosure.</w:t>
      </w:r>
    </w:p>
    <w:p>
      <w:pPr>
        <w:pStyle w:val="ListBullet"/>
        <w:widowControl/>
      </w:pPr>
      <w:r>
        <w:t>Gap: current public Terms are only a handful of sections and are materially behind the site’s actual feature set.</w:t>
      </w:r>
    </w:p>
    <w:p>
      <w:pPr>
        <w:pStyle w:val="ListBullet"/>
        <w:widowControl/>
      </w:pPr>
      <w:r>
        <w:t>Gap: the public copyright page currently uses a general copyright concern process. That is honest, but Section 512 safe-harbor positioning should not be activated until the Copyright Office designation is completed.</w:t>
      </w:r>
    </w:p>
    <w:p>
      <w:pPr>
        <w:pStyle w:val="ListBullet"/>
        <w:widowControl/>
      </w:pPr>
      <w:r>
        <w:t>Gap: the upcoming Media Suite needs explicit rights warranties, no-DRM/no-stream-ripping language, local-processing disclosures, output-quality disclaimers, and accessible non-drag alternatives for timeline and waveform tools.</w:t>
      </w:r>
    </w:p>
    <w:p>
      <w:pPr>
        <w:pStyle w:val="ListBullet"/>
        <w:widowControl/>
      </w:pPr>
      <w:r>
        <w:t>Accessibility uncertainty: a text crawl can confirm headings, links, labels, and some accessible copy, but it cannot prove focus order, focus trapping, color contrast, visual reflow, pointer target size, live-region behavior, or screen-reader interaction with custom JavaScript. Those items require code inspection and interactive testing.</w:t>
      </w:r>
    </w:p>
    <w:p>
      <w:pPr>
        <w:widowControl/>
      </w:pPr>
      <w:r>
        <w:br w:type="page"/>
      </w:r>
    </w:p>
    <w:p>
      <w:pPr>
        <w:pStyle w:val="Heading1"/>
        <w:widowControl/>
      </w:pPr>
      <w:r>
        <w:t>Part II - Officer and governance assignments</w:t>
      </w:r>
    </w:p>
    <w:p>
      <w:pPr>
        <w:pStyle w:val="DocumentNote"/>
        <w:widowControl/>
      </w:pPr>
      <w:r>
        <w:t>INTERNAL / OWNER OPERATIONS - keep this section off the public website unless a specific subsection says otherwise.</w:t>
      </w:r>
    </w:p>
    <w:p>
      <w:pPr>
        <w:widowControl/>
      </w:pPr>
      <w:r>
        <w:t>For this website and its internal operating procedures, assign the following roles to Kaeleb Savon Heck. These titles make responsibility explicit. They do not imply that a separate government filing has already been completed.</w:t>
      </w:r>
    </w:p>
    <w:p>
      <w:pPr>
        <w:pStyle w:val="Heading2"/>
        <w:widowControl/>
      </w:pPr>
      <w:r>
        <w:t>Website Operator / Personal Information Controller Lead</w:t>
      </w:r>
    </w:p>
    <w:p>
      <w:pPr>
        <w:widowControl/>
      </w:pPr>
      <w:r>
        <w:t>Kaeleb Savon Heck. Primary role address: business@mrblindbandit.net.</w:t>
      </w:r>
    </w:p>
    <w:p>
      <w:pPr>
        <w:pStyle w:val="Heading2"/>
        <w:widowControl/>
      </w:pPr>
      <w:r>
        <w:t>Data Protection Officer / Privacy Officer</w:t>
      </w:r>
    </w:p>
    <w:p>
      <w:pPr>
        <w:widowControl/>
      </w:pPr>
      <w:r>
        <w:t>Kaeleb Savon Heck. Primary role address: privacy@mrblindbandit.net.</w:t>
      </w:r>
    </w:p>
    <w:p>
      <w:pPr>
        <w:pStyle w:val="Heading2"/>
        <w:widowControl/>
      </w:pPr>
      <w:r>
        <w:t>Copyright Officer</w:t>
      </w:r>
    </w:p>
    <w:p>
      <w:pPr>
        <w:widowControl/>
      </w:pPr>
      <w:r>
        <w:t>Kaeleb Savon Heck. Primary role address: copyright@mrblindbandit.net.</w:t>
      </w:r>
    </w:p>
    <w:p>
      <w:pPr>
        <w:pStyle w:val="Heading2"/>
        <w:widowControl/>
      </w:pPr>
      <w:r>
        <w:t>Accessibility Coordinator</w:t>
      </w:r>
    </w:p>
    <w:p>
      <w:pPr>
        <w:widowControl/>
      </w:pPr>
      <w:r>
        <w:t>Kaeleb Savon Heck. Primary role address: accessibility@mrblindbandit.net.</w:t>
      </w:r>
    </w:p>
    <w:p>
      <w:pPr>
        <w:pStyle w:val="Heading2"/>
        <w:widowControl/>
      </w:pPr>
      <w:r>
        <w:t>Child Safety and Trust Officer</w:t>
      </w:r>
    </w:p>
    <w:p>
      <w:pPr>
        <w:widowControl/>
      </w:pPr>
      <w:r>
        <w:t>Kaeleb Savon Heck. Primary role address: safety@mrblindbandit.net.</w:t>
      </w:r>
    </w:p>
    <w:p>
      <w:pPr>
        <w:pStyle w:val="Heading2"/>
        <w:widowControl/>
      </w:pPr>
      <w:r>
        <w:t>Security and Incident Response Lead</w:t>
      </w:r>
    </w:p>
    <w:p>
      <w:pPr>
        <w:widowControl/>
      </w:pPr>
      <w:r>
        <w:t>Kaeleb Savon Heck. Primary role address: security@mrblindbandit.net.</w:t>
      </w:r>
    </w:p>
    <w:p>
      <w:pPr>
        <w:pStyle w:val="Heading2"/>
        <w:widowControl/>
      </w:pPr>
      <w:r>
        <w:t>Community Moderation Lead</w:t>
      </w:r>
    </w:p>
    <w:p>
      <w:pPr>
        <w:widowControl/>
      </w:pPr>
      <w:r>
        <w:t>Kaeleb Savon Heck. Primary role address: support@mrblindbandit.net.</w:t>
      </w:r>
    </w:p>
    <w:p>
      <w:pPr>
        <w:pStyle w:val="Heading2"/>
        <w:widowControl/>
      </w:pPr>
      <w:r>
        <w:t>Records and Retention Officer</w:t>
      </w:r>
    </w:p>
    <w:p>
      <w:pPr>
        <w:widowControl/>
      </w:pPr>
      <w:r>
        <w:t>Kaeleb Savon Heck. Primary role address: privacy@mrblindbandit.net.</w:t>
      </w:r>
    </w:p>
    <w:p>
      <w:pPr>
        <w:pStyle w:val="Heading2"/>
        <w:widowControl/>
      </w:pPr>
      <w:r>
        <w:t>Advertising and Sponsorship Compliance Officer</w:t>
      </w:r>
    </w:p>
    <w:p>
      <w:pPr>
        <w:widowControl/>
      </w:pPr>
      <w:r>
        <w:t>Kaeleb Savon Heck. Primary role address: advertising@mrblindbandit.net.</w:t>
      </w:r>
    </w:p>
    <w:p>
      <w:pPr>
        <w:pStyle w:val="Heading2"/>
        <w:widowControl/>
      </w:pPr>
      <w:r>
        <w:t>Legal Notices Contact</w:t>
      </w:r>
    </w:p>
    <w:p>
      <w:pPr>
        <w:widowControl/>
      </w:pPr>
      <w:r>
        <w:t>Kaeleb Savon Heck. Primary role address: legal@mrblindbandit.net.</w:t>
      </w:r>
    </w:p>
    <w:p>
      <w:pPr>
        <w:pStyle w:val="Heading2"/>
        <w:widowControl/>
      </w:pPr>
      <w:r>
        <w:t>Online Safety Responsible Individual if a jurisdiction requires one</w:t>
      </w:r>
    </w:p>
    <w:p>
      <w:pPr>
        <w:widowControl/>
      </w:pPr>
      <w:r>
        <w:t>Kaeleb Savon Heck. Primary role address: safety@mrblindbandit.net.</w:t>
      </w:r>
    </w:p>
    <w:p>
      <w:pPr>
        <w:widowControl/>
      </w:pPr>
      <w:r>
        <w:t>Use role inboxes rather than a personal email account for continuity, auditability, and future delegation. Give the owner full access, require multi-factor authentication, and route critical notices to a second monitored mailbox where practical.</w:t>
      </w:r>
    </w:p>
    <w:p>
      <w:pPr>
        <w:widowControl/>
      </w:pPr>
      <w:r>
        <w:br w:type="page"/>
      </w:r>
    </w:p>
    <w:p>
      <w:pPr>
        <w:pStyle w:val="Heading1"/>
        <w:widowControl/>
      </w:pPr>
      <w:r>
        <w:t>Part III - Website Terms of Service</w:t>
      </w:r>
    </w:p>
    <w:p>
      <w:pPr>
        <w:pStyle w:val="DocumentNote"/>
        <w:widowControl/>
      </w:pPr>
      <w:r>
        <w:t>PUBLIC WEBSITE DRAFT - intended to be publishable as written after the corresponding launch-gate implementation checks in Part XXII are completed.</w:t>
      </w:r>
    </w:p>
    <w:p>
      <w:pPr>
        <w:pStyle w:val="DocumentNote"/>
        <w:widowControl/>
      </w:pPr>
      <w:r>
        <w:t>Effective and last updated: September 13, 2026</w:t>
      </w:r>
    </w:p>
    <w:p>
      <w:pPr>
        <w:widowControl/>
      </w:pPr>
      <w:r>
        <w:t>These Terms of Service govern use of mrblindbandit.net and related public website services operated by Kaeleb Savon Heck, professionally known as Mr. Blindbandit, in connection with Blindbandit Records. They cover the public website, account entry points, fan community, submission systems, browser utilities, Media Suite tools, and public-facing interactions. Separate signed agreements govern label, distribution, licensing, booking, employment, contractor, and other professional relationships when one exists.</w:t>
      </w:r>
    </w:p>
    <w:p>
      <w:pPr>
        <w:pStyle w:val="Heading2"/>
        <w:widowControl/>
      </w:pPr>
      <w:r>
        <w:t>1. Acceptance of these Terms</w:t>
      </w:r>
    </w:p>
    <w:p>
      <w:pPr>
        <w:widowControl/>
      </w:pPr>
      <w:r>
        <w:t>By accessing the website, creating an account, posting in the community, submitting music, using the Media Suite, joining a mailing list, or otherwise using an interactive feature, you agree to these Terms and the policies incorporated by reference. If you do not agree, do not use the applicable interactive feature.</w:t>
      </w:r>
    </w:p>
    <w:p>
      <w:pPr>
        <w:widowControl/>
      </w:pPr>
      <w:r>
        <w:t>If you use the site on behalf of a company, band, label, organization, or other person, you represent that you have authority to bind that person for the activity you perform.</w:t>
      </w:r>
    </w:p>
    <w:p>
      <w:pPr>
        <w:pStyle w:val="Heading2"/>
        <w:widowControl/>
      </w:pPr>
      <w:r>
        <w:t>2. Incorporated policies</w:t>
      </w:r>
    </w:p>
    <w:p>
      <w:pPr>
        <w:widowControl/>
      </w:pPr>
      <w:r>
        <w:t>The Privacy Policy, Cookies and Storage Notice, Copyright Policy, Community Guidelines, Child Safety Policy, Advertising and Sponsorship Disclosure, Music Submission Terms, Media Suite Terms, and Accessibility Statement are incorporated into these Terms to the extent relevant to the feature being used. A separate label-portal notice and portal terms apply to invitation-only client functions.</w:t>
      </w:r>
    </w:p>
    <w:p>
      <w:pPr>
        <w:widowControl/>
      </w:pPr>
      <w:r>
        <w:t>If a signed agreement between Blindbandit Records and a client conflicts with these general website Terms about the subject specifically covered by the signed agreement, the signed agreement controls for that subject.</w:t>
      </w:r>
    </w:p>
    <w:p>
      <w:pPr>
        <w:pStyle w:val="Heading2"/>
        <w:widowControl/>
      </w:pPr>
      <w:r>
        <w:t>3. Eligibility, age, and legal capacity</w:t>
      </w:r>
    </w:p>
    <w:p>
      <w:pPr>
        <w:widowControl/>
      </w:pPr>
      <w:r>
        <w:t>The general public pages are intended for a general audience. Children under 13 must not create an account, post community content, subscribe to marketing, submit music, or knowingly provide personal information through interactive forms.</w:t>
      </w:r>
    </w:p>
    <w:p>
      <w:pPr>
        <w:widowControl/>
      </w:pPr>
      <w:r>
        <w:t>Users aged 13 through 17 may use ordinary public community features only where permitted by applicable law and with any required parent or guardian permission. A minor may not bind Blindbandit Records to a commercial agreement. Music or professional submissions by a minor may require parent or guardian authorization before negotiations, contracting, monetization, distribution, licensing, payment, or release services proceed.</w:t>
      </w:r>
    </w:p>
    <w:p>
      <w:pPr>
        <w:widowControl/>
      </w:pPr>
      <w:r>
        <w:t>Paid services, legally binding electronic signatures, and client agreements require the legal capacity to contract or participation by an authorized parent, guardian, or lawful representative.</w:t>
      </w:r>
    </w:p>
    <w:p>
      <w:pPr>
        <w:pStyle w:val="Heading2"/>
        <w:widowControl/>
      </w:pPr>
      <w:r>
        <w:t>4. Accounts and authentication</w:t>
      </w:r>
    </w:p>
    <w:p>
      <w:pPr>
        <w:widowControl/>
      </w:pPr>
      <w:r>
        <w:t>You must provide accurate information reasonably required for the account feature, protect credentials, use multi-factor authentication when available, and notify security@mrblindbandit.net if you believe an account is compromised.</w:t>
      </w:r>
    </w:p>
    <w:p>
      <w:pPr>
        <w:widowControl/>
      </w:pPr>
      <w:r>
        <w:t>You may not share invitation-only label access, bypass role restrictions, impersonate another person, automate unauthorized logins, harvest sessions, interfere with authentication, or attempt to obtain another person’s one-time codes or recovery credentials.</w:t>
      </w:r>
    </w:p>
    <w:p>
      <w:pPr>
        <w:widowControl/>
      </w:pPr>
      <w:r>
        <w:t>Community identity and label-portal identity may use related authentication technology but do not confer the same permissions. A community account never creates label-client status.</w:t>
      </w:r>
    </w:p>
    <w:p>
      <w:pPr>
        <w:pStyle w:val="Heading2"/>
        <w:widowControl/>
      </w:pPr>
      <w:r>
        <w:t>5. Community participation and user content</w:t>
      </w:r>
    </w:p>
    <w:p>
      <w:pPr>
        <w:widowControl/>
      </w:pPr>
      <w:r>
        <w:t>When you post a comment, community message, poll response, profile information, or other public contribution, you remain responsible for it. You grant the operator a worldwide, non-exclusive, royalty-free license to host, cache, reproduce, display, format, transmit, moderate, and make technical copies of that contribution solely as reasonably necessary to operate, secure, moderate, promote, archive, and provide the community feature. This license ends when the content is deleted from active service, except for reasonable backup, evidentiary, legal, and already-shared copies.</w:t>
      </w:r>
    </w:p>
    <w:p>
      <w:pPr>
        <w:widowControl/>
      </w:pPr>
      <w:r>
        <w:t>You represent that you have the rights necessary to post the content and that doing so does not violate another person’s copyright, trademark, privacy, publicity, confidentiality, contractual, or other rights.</w:t>
      </w:r>
    </w:p>
    <w:p>
      <w:pPr>
        <w:widowControl/>
      </w:pPr>
      <w:r>
        <w:t>Public posts may be copied, quoted, indexed, linked, or viewed outside the context in which they were posted. Do not place secrets, credentials, home addresses, financial data, government identifiers, intimate information, or private third-party information in public content.</w:t>
      </w:r>
    </w:p>
    <w:p>
      <w:pPr>
        <w:pStyle w:val="Heading2"/>
        <w:widowControl/>
      </w:pPr>
      <w:r>
        <w:t>6. Prohibited conduct</w:t>
      </w:r>
    </w:p>
    <w:p>
      <w:pPr>
        <w:widowControl/>
      </w:pPr>
      <w:r>
        <w:t>You may not use the service to harass, threaten, stalk, exploit, dox, defraud, impersonate, spam, distribute malware, defeat security controls, conduct credential attacks, organize unlawful transactions, facilitate sexual exploitation, publish non-consensual intimate material, promote terrorism, encourage imminent violence, or intentionally interfere with the service.</w:t>
      </w:r>
    </w:p>
    <w:p>
      <w:pPr>
        <w:widowControl/>
      </w:pPr>
      <w:r>
        <w:t>You may not use automated means to scrape private or access-controlled areas, overload the service, manipulate advertising impressions or clicks, manufacture fake engagement, bypass rate limits, defeat robot or security controls, or test security outside the scope of the published security reporting rules.</w:t>
      </w:r>
    </w:p>
    <w:p>
      <w:pPr>
        <w:widowControl/>
      </w:pPr>
      <w:r>
        <w:t>You may not upload or process files that you do not have the legal right to possess or use, nor use any tool to defeat DRM, access controls, paywalls, encryption, or technical restrictions.</w:t>
      </w:r>
    </w:p>
    <w:p>
      <w:pPr>
        <w:pStyle w:val="Heading2"/>
        <w:widowControl/>
      </w:pPr>
      <w:r>
        <w:t>7. Moderation, restriction, and appeals</w:t>
      </w:r>
    </w:p>
    <w:p>
      <w:pPr>
        <w:widowControl/>
      </w:pPr>
      <w:r>
        <w:t>The operator may remove, limit, label, demote, preserve, or restrict content or accounts when reasonably believed necessary to enforce these Terms, protect users, investigate abuse, comply with law, preserve evidence, address security risk, or protect the service. Moderation can be imperfect and is not a guarantee that every prohibited item will be detected immediately.</w:t>
      </w:r>
    </w:p>
    <w:p>
      <w:pPr>
        <w:widowControl/>
      </w:pPr>
      <w:r>
        <w:t>Where reasonably practicable, the affected user may receive a reason category and a route to appeal. Serious child-safety, credible threat, fraud, security, legal-preservation, or emergency matters may be restricted before notice. Abuse of the reporting or appeal process can itself be restricted.</w:t>
      </w:r>
    </w:p>
    <w:p>
      <w:pPr>
        <w:pStyle w:val="Heading2"/>
        <w:widowControl/>
      </w:pPr>
      <w:r>
        <w:t>8. Music submissions and professional inquiries</w:t>
      </w:r>
    </w:p>
    <w:p>
      <w:pPr>
        <w:widowControl/>
      </w:pPr>
      <w:r>
        <w:t>A submission is an invitation to review, not an offer or acceptance of a record deal, distribution agreement, license, booking, endorsement, employment relationship, fiduciary relationship, or confidential relationship.</w:t>
      </w:r>
    </w:p>
    <w:p>
      <w:pPr>
        <w:widowControl/>
      </w:pPr>
      <w:r>
        <w:t>Unless a separate confidentiality agreement was signed before submission, unsolicited material is not treated as confidential. Do not submit material that you are contractually prohibited from sharing. You retain ownership of your material, subject only to the limited technical permission necessary to receive, secure, transcode if necessary for review, play internally, evaluate, and respond to the submission.</w:t>
      </w:r>
    </w:p>
    <w:p>
      <w:pPr>
        <w:widowControl/>
      </w:pPr>
      <w:r>
        <w:t>Blindbandit Records does not promise that a submission will be reviewed within a particular time, accepted, released, distributed, monetized, or returned. Similar ideas, titles, styles, themes, or concepts may independently exist or be received from others.</w:t>
      </w:r>
    </w:p>
    <w:p>
      <w:pPr>
        <w:pStyle w:val="Heading2"/>
        <w:widowControl/>
      </w:pPr>
      <w:r>
        <w:t>9. Media Suite and browser utilities</w:t>
      </w:r>
    </w:p>
    <w:p>
      <w:pPr>
        <w:widowControl/>
      </w:pPr>
      <w:r>
        <w:t>The Media Suite may include an audio/video-to-audio converter, art-track generator, media or audio clipper, silence trimmer, audiogram generator, loudness normalizer, loudness and quality checker, metadata editor, waveform image generator, artwork resizer, lyric-video tool, thumbnail tools, and related utilities.</w:t>
      </w:r>
    </w:p>
    <w:p>
      <w:pPr>
        <w:widowControl/>
      </w:pPr>
      <w:r>
        <w:t>Unless the interface clearly states otherwise before processing begins, supported Media Suite tools are intended to process selected files locally in the visitor’s browser. The website does not acquire ownership of a user’s source file merely because the tool processes it.</w:t>
      </w:r>
    </w:p>
    <w:p>
      <w:pPr>
        <w:widowControl/>
      </w:pPr>
      <w:r>
        <w:t>You are responsible for keeping an original backup and confirming the output before deleting or replacing source material. Conversion, trimming, normalization, metadata editing, resizing, waveform generation, art-track rendering, or other processing can change technical properties, metadata, timing, loudness, quality, encoding, or compatibility. The tools do not guarantee acceptance by Apple Music, Spotify, YouTube, DistroKid, Symphonic, a broadcaster, a mastering standard, or any other third party.</w:t>
      </w:r>
    </w:p>
    <w:p>
      <w:pPr>
        <w:widowControl/>
      </w:pPr>
      <w:r>
        <w:t>An art-track or lyric-video output does not create distribution rights, Content ID rights, copyright ownership, publishing rights, synchronization rights, or permission to use underlying music, artwork, lyrics, fonts, trademarks, or footage. You must possess the rights needed for your intended output and distribution.</w:t>
      </w:r>
    </w:p>
    <w:p>
      <w:pPr>
        <w:pStyle w:val="Heading2"/>
        <w:widowControl/>
      </w:pPr>
      <w:r>
        <w:t>10. No circumvention or stream ripping</w:t>
      </w:r>
    </w:p>
    <w:p>
      <w:pPr>
        <w:widowControl/>
      </w:pPr>
      <w:r>
        <w:t>The Media Suite is a file-processing utility, not a system for downloading protected streams or defeating technological measures. Do not use it to circumvent DRM, extract protected platform streams, bypass subscriber controls, or copy material in violation of law or platform terms.</w:t>
      </w:r>
    </w:p>
    <w:p>
      <w:pPr>
        <w:pStyle w:val="Heading2"/>
        <w:widowControl/>
      </w:pPr>
      <w:r>
        <w:t>11. Output responsibility and technical limits</w:t>
      </w:r>
    </w:p>
    <w:p>
      <w:pPr>
        <w:widowControl/>
      </w:pPr>
      <w:r>
        <w:t>Browser performance, device memory, file size, codec support, WebAssembly capability, available storage, network delivery of software components, and third-party browser restrictions can affect whether processing succeeds. The operator may impose reasonable size, duration, format, queue, memory, or rate limits.</w:t>
      </w:r>
    </w:p>
    <w:p>
      <w:pPr>
        <w:widowControl/>
      </w:pPr>
      <w:r>
        <w:t>If a tool identifies loudness, clipping, sample rate, bitrate, metadata, dimensions, or another technical attribute, the result is informational and may not substitute for a professional quality-control process where a distributor, label, broadcaster, manufacturer, or contract requires one.</w:t>
      </w:r>
    </w:p>
    <w:p>
      <w:pPr>
        <w:pStyle w:val="Heading2"/>
        <w:widowControl/>
      </w:pPr>
      <w:r>
        <w:t>12. Third-party services, embeds, and links</w:t>
      </w:r>
    </w:p>
    <w:p>
      <w:pPr>
        <w:widowControl/>
      </w:pPr>
      <w:r>
        <w:t>The site may link to or embed services operated by Google, Spotify, Apple, YouTube, Clerk, PayPal, Wise, social networks, form providers, CDNs, or other companies. Their services are governed by their own terms and privacy practices. Availability, content, pricing, eligibility, and accessibility of third-party services can change without control by the operator.</w:t>
      </w:r>
    </w:p>
    <w:p>
      <w:pPr>
        <w:widowControl/>
      </w:pPr>
      <w:r>
        <w:t>A link, embed, or mention is not automatically an endorsement or warranty.</w:t>
      </w:r>
    </w:p>
    <w:p>
      <w:pPr>
        <w:pStyle w:val="Heading2"/>
        <w:widowControl/>
      </w:pPr>
      <w:r>
        <w:t>13. Advertising, affiliate links, and sponsorships</w:t>
      </w:r>
    </w:p>
    <w:p>
      <w:pPr>
        <w:widowControl/>
      </w:pPr>
      <w:r>
        <w:t>Public pages may display advertising. Sponsored content, free products, affiliate relationships, or other material connections will be disclosed where required and should be disclosed with the relevant endorsement or recommendation, not merely on a separate policy page.</w:t>
      </w:r>
    </w:p>
    <w:p>
      <w:pPr>
        <w:widowControl/>
      </w:pPr>
      <w:r>
        <w:t>You may not artificially click advertisements, instruct others to click ads as a form of support, use automated ad interaction, or otherwise manipulate ad delivery or measurement.</w:t>
      </w:r>
    </w:p>
    <w:p>
      <w:pPr>
        <w:pStyle w:val="Heading2"/>
        <w:widowControl/>
      </w:pPr>
      <w:r>
        <w:t>14. Support payments and tips</w:t>
      </w:r>
    </w:p>
    <w:p>
      <w:pPr>
        <w:widowControl/>
      </w:pPr>
      <w:r>
        <w:t>Off-site support links may allow voluntary payments through third-party payment services. Unless a page or separate agreement expressly states otherwise, support is voluntary, does not purchase equity, royalties, ownership, governance rights, a tax-deductible charitable donation, or a guaranteed product or service, and is subject to the payment provider’s rules.</w:t>
      </w:r>
    </w:p>
    <w:p>
      <w:pPr>
        <w:pStyle w:val="Heading2"/>
        <w:widowControl/>
      </w:pPr>
      <w:r>
        <w:t>15. Intellectual property belonging to the operator and others</w:t>
      </w:r>
    </w:p>
    <w:p>
      <w:pPr>
        <w:widowControl/>
      </w:pPr>
      <w:r>
        <w:t>The website design, original text, branding, logos, artwork, recordings, photographs, videos, code, and other materials may be protected by copyright, trademark, contract, or other rights. Rights remain with their respective owners. No license is granted except the limited right to access and use the website in accordance with these Terms.</w:t>
      </w:r>
    </w:p>
    <w:p>
      <w:pPr>
        <w:widowControl/>
      </w:pPr>
      <w:r>
        <w:t>You may share ordinary links to public pages. Commercial copying, republication, scraping, dataset creation, model training from access-controlled content, redistribution, or use of trademarks in a way that suggests sponsorship or affiliation requires permission unless applicable law independently permits it.</w:t>
      </w:r>
    </w:p>
    <w:p>
      <w:pPr>
        <w:pStyle w:val="Heading2"/>
        <w:widowControl/>
      </w:pPr>
      <w:r>
        <w:t>16. Copyright complaints</w:t>
      </w:r>
    </w:p>
    <w:p>
      <w:pPr>
        <w:widowControl/>
      </w:pPr>
      <w:r>
        <w:t>Copyright concerns should be sent to copyright@mrblindbandit.net with sufficient information to identify the work, locate the disputed material, contact the complaining party, and explain the basis for the request. The operator may request additional information, preserve relevant records, remove or restrict material, and notify the affected user.</w:t>
      </w:r>
    </w:p>
    <w:p>
      <w:pPr>
        <w:widowControl/>
      </w:pPr>
      <w:r>
        <w:t>Where a statutory notice-and-takedown system applies and the operator has completed the required service-provider formalities for that system, qualifying notices and counter-notices will be handled according to the applicable procedure.</w:t>
      </w:r>
    </w:p>
    <w:p>
      <w:pPr>
        <w:pStyle w:val="Heading2"/>
        <w:widowControl/>
      </w:pPr>
      <w:r>
        <w:t>17. Privacy and data protection</w:t>
      </w:r>
    </w:p>
    <w:p>
      <w:pPr>
        <w:widowControl/>
      </w:pPr>
      <w:r>
        <w:t>Personal information is handled according to the Privacy Policy and related notices. Do not use the community or Media Suite to collect, expose, or process another person’s personal information unlawfully. If a feature displays a consent or privacy choice, do not attempt to bypass or defeat that choice.</w:t>
      </w:r>
    </w:p>
    <w:p>
      <w:pPr>
        <w:pStyle w:val="Heading2"/>
        <w:widowControl/>
      </w:pPr>
      <w:r>
        <w:t>18. Accessibility</w:t>
      </w:r>
    </w:p>
    <w:p>
      <w:pPr>
        <w:widowControl/>
      </w:pPr>
      <w:r>
        <w:t>The operator intends the service to be usable by people with disabilities and targets WCAG 2.2 Level AA for website functionality under direct control. Accessibility feedback may be sent to accessibility@mrblindbandit.net. Third-party embeds and destinations can have their own accessibility limitations.</w:t>
      </w:r>
    </w:p>
    <w:p>
      <w:pPr>
        <w:pStyle w:val="Heading2"/>
        <w:widowControl/>
      </w:pPr>
      <w:r>
        <w:t>19. Security reporting</w:t>
      </w:r>
    </w:p>
    <w:p>
      <w:pPr>
        <w:widowControl/>
      </w:pPr>
      <w:r>
        <w:t>Good-faith reports of suspected vulnerabilities should be sent privately to security@mrblindbandit.net. Do not publicly disclose personal data, credentials, secret keys, or an unpatched vulnerability before the operator has a reasonable opportunity to investigate. The Security and Vulnerability Disclosure Policy defines authorized and prohibited testing.</w:t>
      </w:r>
    </w:p>
    <w:p>
      <w:pPr>
        <w:pStyle w:val="Heading2"/>
        <w:widowControl/>
      </w:pPr>
      <w:r>
        <w:t>20. Service changes and availability</w:t>
      </w:r>
    </w:p>
    <w:p>
      <w:pPr>
        <w:widowControl/>
      </w:pPr>
      <w:r>
        <w:t>The service may add, remove, suspend, repair, redesign, or discontinue features. Maintenance, third-party outages, browser changes, security events, legal requirements, resource limits, or abuse can affect availability. No uptime, preservation, delivery, review-time, or feature-continuity guarantee is made unless a separate signed service agreement says otherwise.</w:t>
      </w:r>
    </w:p>
    <w:p>
      <w:pPr>
        <w:pStyle w:val="Heading2"/>
        <w:widowControl/>
      </w:pPr>
      <w:r>
        <w:t>21. Suspension and termination</w:t>
      </w:r>
    </w:p>
    <w:p>
      <w:pPr>
        <w:widowControl/>
      </w:pPr>
      <w:r>
        <w:t>The operator may suspend or terminate access for material or repeated violations, security risk, fraud, unlawful activity, abuse of staff or users, nonpayment under a separate agreement, or legal requirements. Where reasonable and safe, the user may receive notice and a chance to appeal. Termination does not erase rights or obligations that by their nature survive, including intellectual-property rights, payment obligations, legal holds, security records, dispute provisions, and liability limitations.</w:t>
      </w:r>
    </w:p>
    <w:p>
      <w:pPr>
        <w:pStyle w:val="Heading2"/>
        <w:widowControl/>
      </w:pPr>
      <w:r>
        <w:t>22. Disclaimers</w:t>
      </w:r>
    </w:p>
    <w:p>
      <w:pPr>
        <w:widowControl/>
      </w:pPr>
      <w:r>
        <w:t>To the maximum extent permitted by applicable law, the public website and free utilities are provided on an “as is” and “as available” basis. The operator does not warrant uninterrupted operation, error-free conversion, preservation of metadata, commercial results, distribution acceptance, platform availability, or that every harmful user contribution will be detected.</w:t>
      </w:r>
    </w:p>
    <w:p>
      <w:pPr>
        <w:widowControl/>
      </w:pPr>
      <w:r>
        <w:t>Nothing in these Terms excludes warranties, guarantees, remedies, or consumer rights that applicable law does not permit to be excluded.</w:t>
      </w:r>
    </w:p>
    <w:p>
      <w:pPr>
        <w:pStyle w:val="Heading2"/>
        <w:widowControl/>
      </w:pPr>
      <w:r>
        <w:t>23. Limitation of liability</w:t>
      </w:r>
    </w:p>
    <w:p>
      <w:pPr>
        <w:widowControl/>
      </w:pPr>
      <w:r>
        <w:t>To the maximum extent permitted by law, the operator will not be liable for indirect, incidental, special, exemplary, punitive, or consequential losses arising from free public-site use, including lost profits, lost opportunity, lost data, reputational loss, or third-party service failure, where such exclusion is legally permitted.</w:t>
      </w:r>
    </w:p>
    <w:p>
      <w:pPr>
        <w:widowControl/>
      </w:pPr>
      <w:r>
        <w:t>For claims arising solely from free public-site or free Media Suite use, aggregate liability will not exceed the greater of the amount the claimant actually paid directly to the operator for the specific website service during the twelve months before the event or US$100, except where applicable law forbids that limitation. This limitation does not apply to liability that cannot lawfully be limited, including where a jurisdiction prohibits limitation for fraud, intentional misconduct, gross negligence, death or personal injury, or mandatory consumer remedies.</w:t>
      </w:r>
    </w:p>
    <w:p>
      <w:pPr>
        <w:pStyle w:val="Heading2"/>
        <w:widowControl/>
      </w:pPr>
      <w:r>
        <w:t>24. Indemnity</w:t>
      </w:r>
    </w:p>
    <w:p>
      <w:pPr>
        <w:widowControl/>
      </w:pPr>
      <w:r>
        <w:t>To the extent permitted by law, a user who uses the service commercially or submits content agrees to defend and indemnify the operator against third-party claims arising from that user’s unlawful content, infringement, fraud, deliberate security abuse, or material breach of these Terms. This does not require a consumer to surrender non-waivable rights or indemnify the operator for the operator’s own unlawful conduct.</w:t>
      </w:r>
    </w:p>
    <w:p>
      <w:pPr>
        <w:pStyle w:val="Heading2"/>
        <w:widowControl/>
      </w:pPr>
      <w:r>
        <w:t>25. Electronic communications and signatures</w:t>
      </w:r>
    </w:p>
    <w:p>
      <w:pPr>
        <w:widowControl/>
      </w:pPr>
      <w:r>
        <w:t>You consent to receive service-related notices electronically where legally permitted, including by email, account notice, or website posting. Marketing communications are governed separately and can be unsubscribed from.</w:t>
      </w:r>
    </w:p>
    <w:p>
      <w:pPr>
        <w:widowControl/>
      </w:pPr>
      <w:r>
        <w:t>Clicking “reviewed,” viewing a document, or acknowledging receipt does not by itself create an electronic signature unless the interface expressly identifies an action as a signature or acceptance of a specified agreement and captures the records necessary for that purpose.</w:t>
      </w:r>
    </w:p>
    <w:p>
      <w:pPr>
        <w:pStyle w:val="Heading2"/>
        <w:widowControl/>
      </w:pPr>
      <w:r>
        <w:t>26. Governing law and disputes</w:t>
      </w:r>
    </w:p>
    <w:p>
      <w:pPr>
        <w:widowControl/>
      </w:pPr>
      <w:r>
        <w:t>Unless a separate signed agreement says otherwise, these general website Terms are governed by the laws of the Republic of the Philippines, without regard to conflict-of-laws principles, while preserving any mandatory consumer or data-protection rights that cannot lawfully be waived based on the user’s location.</w:t>
      </w:r>
    </w:p>
    <w:p>
      <w:pPr>
        <w:widowControl/>
      </w:pPr>
      <w:r>
        <w:t>To the extent a dispute may lawfully be required to proceed in a particular forum, the parties should first attempt good-faith informal resolution through legal@mrblindbandit.net. Nothing here prevents either party from seeking urgent relief where necessary to protect safety, security, intellectual property, or evidence.</w:t>
      </w:r>
    </w:p>
    <w:p>
      <w:pPr>
        <w:pStyle w:val="Heading2"/>
        <w:widowControl/>
      </w:pPr>
      <w:r>
        <w:t>27. No forced arbitration or class-waiver term in these general Terms</w:t>
      </w:r>
    </w:p>
    <w:p>
      <w:pPr>
        <w:widowControl/>
      </w:pPr>
      <w:r>
        <w:t>These general website Terms do not impose mandatory private arbitration or a class-action waiver. A separate negotiated commercial agreement may contain different dispute procedures if legally valid and expressly agreed.</w:t>
      </w:r>
    </w:p>
    <w:p>
      <w:pPr>
        <w:pStyle w:val="Heading2"/>
        <w:widowControl/>
      </w:pPr>
      <w:r>
        <w:t>28. Assignment, severability, waiver, and entire terms</w:t>
      </w:r>
    </w:p>
    <w:p>
      <w:pPr>
        <w:widowControl/>
      </w:pPr>
      <w:r>
        <w:t>You may not assign an account or a personal right under these Terms to evade restrictions without consent. The operator may assign website operations as part of a legitimate reorganization, transfer, or succession subject to applicable law and privacy obligations.</w:t>
      </w:r>
    </w:p>
    <w:p>
      <w:pPr>
        <w:widowControl/>
      </w:pPr>
      <w:r>
        <w:t>If a provision is unenforceable, it should be enforced to the maximum lawful extent and the remainder should continue. Failure to enforce a provision once is not a permanent waiver. These Terms and incorporated policies form the general agreement for public website use except where a separate signed agreement controls.</w:t>
      </w:r>
    </w:p>
    <w:p>
      <w:pPr>
        <w:pStyle w:val="Heading2"/>
        <w:widowControl/>
      </w:pPr>
      <w:r>
        <w:t>29. Changes to these Terms</w:t>
      </w:r>
    </w:p>
    <w:p>
      <w:pPr>
        <w:widowControl/>
      </w:pPr>
      <w:r>
        <w:t>The effective date identifies the current version. Material changes may receive additional notice where appropriate. Changes do not retroactively rewrite a separate signed agreement unless that agreement lawfully permits the change. Continued use can evidence acceptance only where applicable law allows that method; consent will still be requested where the law requires affirmative consent.</w:t>
      </w:r>
    </w:p>
    <w:p>
      <w:pPr>
        <w:pStyle w:val="Heading2"/>
        <w:widowControl/>
      </w:pPr>
      <w:r>
        <w:t>30. Contact</w:t>
      </w:r>
    </w:p>
    <w:p>
      <w:pPr>
        <w:widowControl/>
      </w:pPr>
      <w:r>
        <w:t>Website and business questions: business@mrblindbandit.net. Legal notices: legal@mrblindbandit.net. Privacy: privacy@mrblindbandit.net. Copyright: copyright@mrblindbandit.net. Safety: safety@mrblindbandit.net. Security: security@mrblindbandit.net. Accessibility: accessibility@mrblindbandit.net.</w:t>
      </w:r>
    </w:p>
    <w:p>
      <w:pPr>
        <w:widowControl/>
      </w:pPr>
      <w:r>
        <w:br w:type="page"/>
      </w:r>
    </w:p>
    <w:p>
      <w:pPr>
        <w:pStyle w:val="Heading1"/>
        <w:widowControl/>
      </w:pPr>
      <w:r>
        <w:t>Part IV - Privacy Policy</w:t>
      </w:r>
    </w:p>
    <w:p>
      <w:pPr>
        <w:pStyle w:val="DocumentNote"/>
        <w:widowControl/>
      </w:pPr>
      <w:r>
        <w:t>PUBLIC WEBSITE DRAFT - intended to be publishable as written after the corresponding launch-gate implementation checks in Part XXII are completed.</w:t>
      </w:r>
    </w:p>
    <w:p>
      <w:pPr>
        <w:pStyle w:val="DocumentNote"/>
        <w:widowControl/>
      </w:pPr>
      <w:r>
        <w:t>Effective and last updated: September 13, 2026</w:t>
      </w:r>
    </w:p>
    <w:p>
      <w:pPr>
        <w:widowControl/>
      </w:pPr>
      <w:r>
        <w:t>This Privacy Policy explains information practices for the official Mr. Blindbandit website and Blindbandit Records public services. It covers public pages, authentication, community participation, contact and submission forms, newsletters, advertising, browser utilities, and Media Suite features. A separate notice in Part XII applies to the invitation-only label portal.</w:t>
      </w:r>
    </w:p>
    <w:p>
      <w:pPr>
        <w:pStyle w:val="Heading2"/>
        <w:widowControl/>
      </w:pPr>
      <w:r>
        <w:t>1. Controller, operator, and Data Protection Officer</w:t>
      </w:r>
    </w:p>
    <w:p>
      <w:pPr>
        <w:widowControl/>
      </w:pPr>
      <w:r>
        <w:t>The website is operated by Kaeleb Savon Heck, professionally known as Mr. Blindbandit, in connection with Blindbandit Records. Postal contact: Purok 6-A, Mabuhay, Barangay Capungagan, Davao del Norte 8113, Philippines. Philippine telephone: +63 962 695 4905. United States telephone: +1 540 926 9791.</w:t>
      </w:r>
    </w:p>
    <w:p>
      <w:pPr>
        <w:widowControl/>
      </w:pPr>
      <w:r>
        <w:t>Kaeleb Savon Heck serves as Data Protection Officer / Privacy Officer for the website. Privacy questions and rights requests should be sent to privacy@mrblindbandit.net. Legal notices may be sent to legal@mrblindbandit.net.</w:t>
      </w:r>
    </w:p>
    <w:p>
      <w:pPr>
        <w:pStyle w:val="Heading2"/>
        <w:widowControl/>
      </w:pPr>
      <w:r>
        <w:t>2. Scope</w:t>
      </w:r>
    </w:p>
    <w:p>
      <w:pPr>
        <w:widowControl/>
      </w:pPr>
      <w:r>
        <w:t>This Policy covers information processed through mrblindbandit.net public pages and features under the operator’s control. Third-party destinations, streaming platforms, payment services, identity providers, and embedded services have their own privacy practices. The private label portal has a supplemental notice because it handles additional contractual, royalty, messaging, and client records.</w:t>
      </w:r>
    </w:p>
    <w:p>
      <w:pPr>
        <w:pStyle w:val="Heading2"/>
        <w:widowControl/>
      </w:pPr>
      <w:r>
        <w:t>3. Categories of information</w:t>
      </w:r>
    </w:p>
    <w:p>
      <w:pPr>
        <w:widowControl/>
      </w:pPr>
      <w:r>
        <w:t>Depending on the feature, the service may process names, artist or organization names, email addresses, telephone numbers voluntarily included in a message, account identifiers, display names, profile details, community posts and comments, poll responses, timestamps, music metadata, project descriptions, listening links, uploaded submission files, support messages, consent choices, accessibility and browser preferences, device and browser information, IP addresses, security and authentication events, rate-limit data, referral information, advertising request information, and records needed to document a request or legal obligation.</w:t>
      </w:r>
    </w:p>
    <w:p>
      <w:pPr>
        <w:widowControl/>
      </w:pPr>
      <w:r>
        <w:t>The service does not intentionally request passwords, complete payment-card numbers, banking credentials, government identity numbers, or highly sensitive personal data in ordinary public forms. Do not place that information in a public post or an unsolicited message.</w:t>
      </w:r>
    </w:p>
    <w:p>
      <w:pPr>
        <w:pStyle w:val="Heading2"/>
        <w:widowControl/>
      </w:pPr>
      <w:r>
        <w:t>4. Sources</w:t>
      </w:r>
    </w:p>
    <w:p>
      <w:pPr>
        <w:widowControl/>
      </w:pPr>
      <w:r>
        <w:t>Information comes from visitors, account holders, people making submissions or inquiries, authorized label administrators, service providers performing authentication or delivery functions, ordinary browser/network requests, public professional links intentionally submitted for review, and security or moderation events generated by use of the service.</w:t>
      </w:r>
    </w:p>
    <w:p>
      <w:pPr>
        <w:widowControl/>
      </w:pPr>
      <w:r>
        <w:t>The operator does not ask a user to provide personal data obtained unlawfully or private information about another person without authorization.</w:t>
      </w:r>
    </w:p>
    <w:p>
      <w:pPr>
        <w:pStyle w:val="Heading2"/>
        <w:widowControl/>
      </w:pPr>
      <w:r>
        <w:t>5. Music submissions</w:t>
      </w:r>
    </w:p>
    <w:p>
      <w:pPr>
        <w:widowControl/>
      </w:pPr>
      <w:r>
        <w:t>Demo and project submissions may include contact details, project metadata, ownership or permission confirmations, listening links, messages, and optional audio. They are used to receive, secure, organize, evaluate, and respond to the submission; prevent fraud or abuse; document permission; and preserve records needed for an active negotiation or dispute. A submission does not enroll the sender in unrelated marketing.</w:t>
      </w:r>
    </w:p>
    <w:p>
      <w:pPr>
        <w:pStyle w:val="Heading2"/>
        <w:widowControl/>
      </w:pPr>
      <w:r>
        <w:t>6. Professional, licensing, press, partnership, and booking inquiries</w:t>
      </w:r>
    </w:p>
    <w:p>
      <w:pPr>
        <w:widowControl/>
      </w:pPr>
      <w:r>
        <w:t>Information in a professional inquiry is used to understand the proposal, verify or communicate with the sender, evaluate availability and fit, negotiate terms, prevent abuse, document decisions, and keep records reasonably needed for business and legal purposes. Sending an inquiry is not acceptance of a booking, license, partnership, endorsement, or contract.</w:t>
      </w:r>
    </w:p>
    <w:p>
      <w:pPr>
        <w:pStyle w:val="Heading2"/>
        <w:widowControl/>
      </w:pPr>
      <w:r>
        <w:t>7. Community information</w:t>
      </w:r>
    </w:p>
    <w:p>
      <w:pPr>
        <w:widowControl/>
      </w:pPr>
      <w:r>
        <w:t>Community display names, posts, comments, poll choices where displayed, and posting times may be public. Public contributions can be indexed or copied by others. Reports, moderator notes, account identifiers, enforcement history, and security signals are restricted to authorized processing except where disclosure is legally required.</w:t>
      </w:r>
    </w:p>
    <w:p>
      <w:pPr>
        <w:widowControl/>
      </w:pPr>
      <w:r>
        <w:t>Do not post home addresses, private phone numbers, passwords, financial credentials, government identifiers, intimate information, or another person’s personal data without authorization.</w:t>
      </w:r>
    </w:p>
    <w:p>
      <w:pPr>
        <w:pStyle w:val="Heading2"/>
        <w:widowControl/>
      </w:pPr>
      <w:r>
        <w:t>8. Accounts and authentication</w:t>
      </w:r>
    </w:p>
    <w:p>
      <w:pPr>
        <w:widowControl/>
      </w:pPr>
      <w:r>
        <w:t>Clerk and configured identity providers may process identifiers, email addresses, profile information, device data, cookies, login events, multifactor settings, and fraud signals according to their role and configuration. Community and label-portal permissions are separate even when related authentication technology is used.</w:t>
      </w:r>
    </w:p>
    <w:p>
      <w:pPr>
        <w:widowControl/>
      </w:pPr>
      <w:r>
        <w:t>Passwords and secret authentication keys should never be sent through ordinary email or community posts.</w:t>
      </w:r>
    </w:p>
    <w:p>
      <w:pPr>
        <w:pStyle w:val="Heading2"/>
        <w:widowControl/>
      </w:pPr>
      <w:r>
        <w:t>9. Audio converter and Media Suite</w:t>
      </w:r>
    </w:p>
    <w:p>
      <w:pPr>
        <w:widowControl/>
      </w:pPr>
      <w:r>
        <w:t>Supported Media Suite tools are designed to process selected source files locally in the visitor’s browser unless the interface clearly states otherwise before processing. This can include conversion, clipping, silence trimming, waveform analysis, loudness analysis or normalization, metadata editing, artwork resizing, audiogram generation, art-track rendering, lyric-video generation, and related processing.</w:t>
      </w:r>
    </w:p>
    <w:p>
      <w:pPr>
        <w:widowControl/>
      </w:pPr>
      <w:r>
        <w:t>When local processing is used, the source media is not uploaded to Blindbandit Records merely to perform the transformation. The browser may still download software components, fonts, libraries, codecs, or other assets from the website or an identified content-delivery provider, which can cause the delivery provider to receive ordinary request information such as IP address, browser data, timing, and security logs.</w:t>
      </w:r>
    </w:p>
    <w:p>
      <w:pPr>
        <w:widowControl/>
      </w:pPr>
      <w:r>
        <w:t>If a future Media Suite feature requires server-side upload, cloud rendering, AI processing, or temporary storage, the interface must disclose that fact before the file leaves the device, and this Policy must be updated if the new processing is material.</w:t>
      </w:r>
    </w:p>
    <w:p>
      <w:pPr>
        <w:pStyle w:val="Heading2"/>
        <w:widowControl/>
      </w:pPr>
      <w:r>
        <w:t>10. Browser utilities and local storage</w:t>
      </w:r>
    </w:p>
    <w:p>
      <w:pPr>
        <w:widowControl/>
      </w:pPr>
      <w:r>
        <w:t>Accessibility preferences, planner state, checklist state, privacy choices, and certain utility settings may be stored locally on the device. Local storage remains until cleared by the user, browser, site code, or an applicable expiration rule. Clearing browser data can reset those settings.</w:t>
      </w:r>
    </w:p>
    <w:p>
      <w:pPr>
        <w:pStyle w:val="Heading2"/>
        <w:widowControl/>
      </w:pPr>
      <w:r>
        <w:t>11. Advertising</w:t>
      </w:r>
    </w:p>
    <w:p>
      <w:pPr>
        <w:widowControl/>
      </w:pPr>
      <w:r>
        <w:t>Google AdSense may appear on eligible public pages. Google and advertising partners may process cookies or similar identifiers, IP address, device and browser information, ad requests, consent signals, and interactions to deliver, limit, personalize where permitted, measure, secure, and report advertising.</w:t>
      </w:r>
    </w:p>
    <w:p>
      <w:pPr>
        <w:widowControl/>
      </w:pPr>
      <w:r>
        <w:t>The site does not intentionally send private messages, uploaded demo audio, private label records, account passwords, or ordinary form contents to Google for ad targeting. Advertising code should not appear in the private label portal or on pages deliberately excluded by the operator.</w:t>
      </w:r>
    </w:p>
    <w:p>
      <w:pPr>
        <w:pStyle w:val="Heading2"/>
        <w:widowControl/>
      </w:pPr>
      <w:r>
        <w:t>12. European advertising consent</w:t>
      </w:r>
    </w:p>
    <w:p>
      <w:pPr>
        <w:widowControl/>
      </w:pPr>
      <w:r>
        <w:t>For visitors in the European Economic Area, United Kingdom, and Switzerland, the site uses or is configured to use a Google-certified consent management flow for advertising where required. A visitor may consent, decline, or manage available purposes. Non-essential storage or personalized advertising that requires consent should not be activated before the required choice is obtained.</w:t>
      </w:r>
    </w:p>
    <w:p>
      <w:pPr>
        <w:widowControl/>
      </w:pPr>
      <w:r>
        <w:t>Consent choices can be revisited through the site’s Privacy Choices control where available. Withdrawing consent affects future processing and does not make prior lawful processing unlawful.</w:t>
      </w:r>
    </w:p>
    <w:p>
      <w:pPr>
        <w:pStyle w:val="Heading2"/>
        <w:widowControl/>
      </w:pPr>
      <w:r>
        <w:t>13. Purposes and legal grounds</w:t>
      </w:r>
    </w:p>
    <w:p>
      <w:pPr>
        <w:widowControl/>
      </w:pPr>
      <w:r>
        <w:t>Account authentication, service delivery, requested communications, submission review, and steps requested before entering a contract may be processed because they are necessary to provide a requested feature, take requested pre-contract steps, perform an agreement, or pursue legitimate operational interests where permitted.</w:t>
      </w:r>
    </w:p>
    <w:p>
      <w:pPr>
        <w:widowControl/>
      </w:pPr>
      <w:r>
        <w:t>Security logging, abuse prevention, moderation, access control, audit trails, service integrity, accessibility improvement, and fraud prevention may rely on legitimate interests, legal obligations, contract necessity, or another lawful basis appropriate to the jurisdiction.</w:t>
      </w:r>
    </w:p>
    <w:p>
      <w:pPr>
        <w:widowControl/>
      </w:pPr>
      <w:r>
        <w:t>Optional marketing generally relies on consent or another legally permitted direct-marketing basis, subject to the right to unsubscribe or object. Advertising personalization and non-essential cookies use consent where required. Legal records may be processed to comply with law, establish or defend claims, preserve evidence, or meet contractual and accounting duties.</w:t>
      </w:r>
    </w:p>
    <w:p>
      <w:pPr>
        <w:widowControl/>
      </w:pPr>
      <w:r>
        <w:t>Where consent is the applicable basis, consent can be withdrawn for future processing. Where legitimate interests are relied on, the operator considers the purpose, necessity, and impact on the individual and provides objection rights where applicable.</w:t>
      </w:r>
    </w:p>
    <w:p>
      <w:pPr>
        <w:pStyle w:val="Heading2"/>
        <w:widowControl/>
      </w:pPr>
      <w:r>
        <w:t>14. Service providers and recipients</w:t>
      </w:r>
    </w:p>
    <w:p>
      <w:pPr>
        <w:widowControl/>
      </w:pPr>
      <w:r>
        <w:t>Relevant providers can include website and Cloudflare-backed infrastructure, databases and storage, Clerk and connected identity providers, transactional-email services such as Resend, form providers, Google for advertising, Spotify, Apple Music, YouTube and other media platforms, content-delivery networks such as jsDelivr for optional browser software, and payment providers such as PayPal and Wise for off-site transactions.</w:t>
      </w:r>
    </w:p>
    <w:p>
      <w:pPr>
        <w:widowControl/>
      </w:pPr>
      <w:r>
        <w:t>Providers receive only the information reasonably related to the function they perform, subject to provider terms, settings, legal requirements, and contractual safeguards appropriate to their role. Information may also be disclosed to professional advisers, courts, regulators, law enforcement, emergency recipients, or transaction successors when legally permitted and reasonably necessary.</w:t>
      </w:r>
    </w:p>
    <w:p>
      <w:pPr>
        <w:pStyle w:val="Heading2"/>
        <w:widowControl/>
      </w:pPr>
      <w:r>
        <w:t>15. Cookies and similar technologies</w:t>
      </w:r>
    </w:p>
    <w:p>
      <w:pPr>
        <w:widowControl/>
      </w:pPr>
      <w:r>
        <w:t>The service may use cookies, local storage, session storage, authentication tokens, consent records, fraud-prevention signals, and comparable technologies. Strictly necessary technologies can support authentication, security, load balancing, accessibility choices, session continuity, and requested functionality. Optional advertising, analytics, or personalization technologies are handled according to applicable consent and choice requirements.</w:t>
      </w:r>
    </w:p>
    <w:p>
      <w:pPr>
        <w:widowControl/>
      </w:pPr>
      <w:r>
        <w:t>The Cookie and Storage Notice in Part V explains categories, choices, and implementation rules in more detail. Browser settings can block or delete technologies, but doing so may break account sessions or requested features. Where law requires prior consent for a non-essential technology, the site should not activate that technology until the required choice has been obtained.</w:t>
      </w:r>
    </w:p>
    <w:p>
      <w:pPr>
        <w:pStyle w:val="Heading2"/>
        <w:widowControl/>
      </w:pPr>
      <w:r>
        <w:t>16. Do Not Track, Global Privacy Control, and privacy signals</w:t>
      </w:r>
    </w:p>
    <w:p>
      <w:pPr>
        <w:widowControl/>
      </w:pPr>
      <w:r>
        <w:t>Some browsers transmit a legacy Do Not Track signal. Because there is no universally adopted technical standard that creates the same obligation in every jurisdiction, the service does not represent that it responds to legacy DNT signals unless the deployed consent system is specifically configured to do so.</w:t>
      </w:r>
    </w:p>
    <w:p>
      <w:pPr>
        <w:widowControl/>
      </w:pPr>
      <w:r>
        <w:t>Where an applicable law requires recognition of a legally valid opt-out preference signal, such as Global Privacy Control, the service will honor that signal to the extent required and technically supported for the relevant processing. The operator must not state that a signal is honored until the live implementation has been verified. Users may also exercise available choices through the consent interface or by contacting privacy@mrblindbandit.net.</w:t>
      </w:r>
    </w:p>
    <w:p>
      <w:pPr>
        <w:pStyle w:val="Heading2"/>
        <w:widowControl/>
      </w:pPr>
      <w:r>
        <w:t>17. Retention</w:t>
      </w:r>
    </w:p>
    <w:p>
      <w:pPr>
        <w:widowControl/>
      </w:pPr>
      <w:r>
        <w:t>Personal information is retained only for as long as reasonably necessary for the purpose collected, a compatible purpose, an active account or relationship, security and abuse prevention, legal or contractual obligations, accounting, tax or royalty records, dispute resolution, enforcement, or establishment or defense of claims.</w:t>
      </w:r>
    </w:p>
    <w:p>
      <w:pPr>
        <w:widowControl/>
      </w:pPr>
      <w:r>
        <w:t>Operational retention targets are maintained internally and are reviewed against the actual website configuration. Examples include shorter periods for rejected demo media and temporary technical files, moderate periods for support and moderation records, and longer periods for contracts, royalties, tax, accounting, litigation holds, or legally required records. Backups may retain deleted information for a limited rolling period before normal overwrite.</w:t>
      </w:r>
    </w:p>
    <w:p>
      <w:pPr>
        <w:widowControl/>
      </w:pPr>
      <w:r>
        <w:t>When information is no longer reasonably needed and no preservation duty applies, it should be deleted, anonymized, or allowed to expire according to the configured lifecycle. A deletion request does not require deletion of information that must lawfully be retained, but unnecessary copies should not be kept indefinitely.</w:t>
      </w:r>
    </w:p>
    <w:p>
      <w:pPr>
        <w:pStyle w:val="Heading2"/>
        <w:widowControl/>
      </w:pPr>
      <w:r>
        <w:t>18. International processing and transfers</w:t>
      </w:r>
    </w:p>
    <w:p>
      <w:pPr>
        <w:widowControl/>
      </w:pPr>
      <w:r>
        <w:t>The website may use service providers or infrastructure located in countries other than the visitor's country. This can result in information being processed in the Philippines, United States, or other locations in which a configured provider operates.</w:t>
      </w:r>
    </w:p>
    <w:p>
      <w:pPr>
        <w:widowControl/>
      </w:pPr>
      <w:r>
        <w:t>Where a jurisdiction requires a transfer mechanism or additional safeguard, the operator will use an applicable lawful mechanism, contractual protection, provider arrangement, consent where valid, necessity exception where lawfully available, or another authorized method. The service will not falsely claim that a particular transfer mechanism is in place unless it has actually been implemented for the relevant vendor and data flow.</w:t>
      </w:r>
    </w:p>
    <w:p>
      <w:pPr>
        <w:pStyle w:val="Heading2"/>
        <w:widowControl/>
      </w:pPr>
      <w:r>
        <w:t>19. Security</w:t>
      </w:r>
    </w:p>
    <w:p>
      <w:pPr>
        <w:widowControl/>
      </w:pPr>
      <w:r>
        <w:t>Reasonable administrative, technical, and organizational safeguards are used or should be configured in proportion to the information and risks involved. These measures can include encrypted HTTPS transport, role-based access controls, multifactor authentication for privileged accounts, secure session settings, rate limiting, secret management, vulnerability and dependency review, backups, logging, least-privilege permissions, content-security controls, access review, and incident procedures.</w:t>
      </w:r>
    </w:p>
    <w:p>
      <w:pPr>
        <w:widowControl/>
      </w:pPr>
      <w:r>
        <w:t>No website, storage system, email service, or transmission method is guaranteed to be completely secure. Users should use unique credentials, protect their devices, use available multifactor authentication, and report suspected vulnerabilities to security@mrblindbandit.net rather than publicly exploiting or disclosing them.</w:t>
      </w:r>
    </w:p>
    <w:p>
      <w:pPr>
        <w:pStyle w:val="Heading2"/>
        <w:widowControl/>
      </w:pPr>
      <w:r>
        <w:t>20. Individual privacy rights</w:t>
      </w:r>
    </w:p>
    <w:p>
      <w:pPr>
        <w:widowControl/>
      </w:pPr>
      <w:r>
        <w:t>Depending on residence and applicable law, an individual may have rights to request access, confirmation, correction, deletion or erasure, restriction, data portability, objection, withdrawal of consent, information about processing, or another legally established privacy right. Some rights are subject to exceptions, identity verification, proportionality, and record-preservation duties.</w:t>
      </w:r>
    </w:p>
    <w:p>
      <w:pPr>
        <w:widowControl/>
      </w:pPr>
      <w:r>
        <w:t>Requests may be sent to privacy@mrblindbandit.net. The operator may request information reasonably necessary to verify identity or authority and should avoid collecting excessive verification data. An authorized agent may be required to provide proof of authority where law permits. The service should document the request, response, legal basis for any denial or limitation, and completion date.</w:t>
      </w:r>
    </w:p>
    <w:p>
      <w:pPr>
        <w:widowControl/>
      </w:pPr>
      <w:r>
        <w:t>The operator will not unlawfully discriminate against a person for exercising an applicable privacy right.</w:t>
      </w:r>
    </w:p>
    <w:p>
      <w:pPr>
        <w:pStyle w:val="Heading2"/>
        <w:widowControl/>
      </w:pPr>
      <w:r>
        <w:t>21. Philippine data-subject rights and complaints</w:t>
      </w:r>
    </w:p>
    <w:p>
      <w:pPr>
        <w:widowControl/>
      </w:pPr>
      <w:r>
        <w:t>Where the Philippine Data Privacy Act and related rules apply, data subjects may exercise applicable rights recognized under Philippine law and may contact the Data Protection Officer at privacy@mrblindbandit.net.</w:t>
      </w:r>
    </w:p>
    <w:p>
      <w:pPr>
        <w:widowControl/>
      </w:pPr>
      <w:r>
        <w:t>A person who believes Philippine data-protection rights have been violated may also have the right to lodge a complaint with the National Privacy Commission of the Philippines. The operator encourages direct contact first when practical so a concern can be investigated promptly, but this does not remove a person's right to contact a competent regulator.</w:t>
      </w:r>
    </w:p>
    <w:p>
      <w:pPr>
        <w:pStyle w:val="Heading2"/>
        <w:widowControl/>
      </w:pPr>
      <w:r>
        <w:t>22. European and United Kingdom privacy rights</w:t>
      </w:r>
    </w:p>
    <w:p>
      <w:pPr>
        <w:widowControl/>
      </w:pPr>
      <w:r>
        <w:t>Where the GDPR, United Kingdom GDPR, or comparable European privacy law applies to a particular processing activity, individuals may have rights including access, rectification, erasure, restriction, portability, objection, withdrawal of consent, and complaint to a competent supervisory authority. Where processing is based on consent, withdrawal applies prospectively. Where direct marketing is based on a legally permitted basis, an objection to direct marketing will be respected as required by law.</w:t>
      </w:r>
    </w:p>
    <w:p>
      <w:pPr>
        <w:widowControl/>
      </w:pPr>
      <w:r>
        <w:t>The operator does not claim that every European privacy regime applies merely because the website can be opened from Europe. Territorial scope depends on the facts, including establishment, targeting, offering goods or services, or monitoring where relevant.</w:t>
      </w:r>
    </w:p>
    <w:p>
      <w:pPr>
        <w:pStyle w:val="Heading2"/>
        <w:widowControl/>
      </w:pPr>
      <w:r>
        <w:t>23. California and other United States state privacy rights</w:t>
      </w:r>
    </w:p>
    <w:p>
      <w:pPr>
        <w:widowControl/>
      </w:pPr>
      <w:r>
        <w:t>Certain United States state privacy laws apply only when statutory thresholds and scope requirements are met. The service does not claim coverage or exemption without evaluating the actual business facts. If an applicable state law gives a visitor rights to know, access, correct, delete, opt out of sale or sharing, limit certain sensitive-data uses, or use an authorized agent, those rights will be handled as legally required.</w:t>
      </w:r>
    </w:p>
    <w:p>
      <w:pPr>
        <w:widowControl/>
      </w:pPr>
      <w:r>
        <w:t>The operator does not intentionally sell personal information for cash. Advertising technology can nevertheless be treated as "sharing," targeted advertising, or another regulated disclosure under some state laws depending on configuration and scope. If a law requires a "Do Not Sell or Share" or comparable mechanism, the site must provide and technically implement the required choice rather than relying only on a statement in this Policy.</w:t>
      </w:r>
    </w:p>
    <w:p>
      <w:pPr>
        <w:pStyle w:val="Heading2"/>
        <w:widowControl/>
      </w:pPr>
      <w:r>
        <w:t>24. Children and minors</w:t>
      </w:r>
    </w:p>
    <w:p>
      <w:pPr>
        <w:widowControl/>
      </w:pPr>
      <w:r>
        <w:t>The public community is not intended for children under 13. A person known to be under 13 must not create a public community account, post or comment, subscribe to marketing, submit music through an adult-facing workflow, or use a private messaging feature intended for older users. If the operator learns that prohibited personal information from a child under the applicable threshold was collected without valid authorization, reasonable deletion and account-protection steps should be taken.</w:t>
      </w:r>
    </w:p>
    <w:p>
      <w:pPr>
        <w:widowControl/>
      </w:pPr>
      <w:r>
        <w:t>Older minors may be subject to parental or guardian authorization, age-of-majority rules, platform rules, or jurisdiction-specific consent requirements. A minor must not represent that they have legal authority to sign a record, licensing, booking, release, or other professional agreement when they do not. Music from a minor may require parent or legal-guardian participation before negotiations or contracting proceed.</w:t>
      </w:r>
    </w:p>
    <w:p>
      <w:pPr>
        <w:widowControl/>
      </w:pPr>
      <w:r>
        <w:t>The Child Safety Policy in Part VIII provides additional safety and reporting rules. The site is not intended to create a child-directed service merely by providing family-safe public content.</w:t>
      </w:r>
    </w:p>
    <w:p>
      <w:pPr>
        <w:pStyle w:val="Heading2"/>
        <w:widowControl/>
      </w:pPr>
      <w:r>
        <w:t>25. Marketing communications</w:t>
      </w:r>
    </w:p>
    <w:p>
      <w:pPr>
        <w:widowControl/>
      </w:pPr>
      <w:r>
        <w:t>A newsletter or promotional mailing should require an affirmative signup or another lawful basis. Marketing records can include the address, signup source, timestamp, consent state, and unsubscribe or suppression state. Every marketing message must provide the notices and opt-out mechanism required by applicable law.</w:t>
      </w:r>
    </w:p>
    <w:p>
      <w:pPr>
        <w:widowControl/>
      </w:pPr>
      <w:r>
        <w:t>An unsubscribe request should be honored promptly and, where United States CAN-SPAM applies, no later than the legally required period. A minimal suppression record may be retained so the service does not accidentally re-add an address that opted out. Transactional, security, account, contractual, or legally required messages may still be sent when appropriate and are not automatically marketing messages.</w:t>
      </w:r>
    </w:p>
    <w:p>
      <w:pPr>
        <w:pStyle w:val="Heading2"/>
        <w:widowControl/>
      </w:pPr>
      <w:r>
        <w:t>26. Automated decision-making and profiling</w:t>
      </w:r>
    </w:p>
    <w:p>
      <w:pPr>
        <w:widowControl/>
      </w:pPr>
      <w:r>
        <w:t>The public site does not intentionally make decisions producing legal or similarly significant effects about individuals solely by automated processing. Automated tools may be used for spam filtering, security, abuse detection, fraud signals, rate limiting, content organization, or advertising technology. Human review should be available for material moderation or account decisions where law or fairness requires it.</w:t>
      </w:r>
    </w:p>
    <w:p>
      <w:pPr>
        <w:widowControl/>
      </w:pPr>
      <w:r>
        <w:t>If the service later introduces significant automated eligibility, contracting, credit, employment, or comparable decisions, the privacy documentation and product controls must be updated before deployment.</w:t>
      </w:r>
    </w:p>
    <w:p>
      <w:pPr>
        <w:pStyle w:val="Heading2"/>
        <w:widowControl/>
      </w:pPr>
      <w:r>
        <w:t>27. Security incidents and breach response</w:t>
      </w:r>
    </w:p>
    <w:p>
      <w:pPr>
        <w:widowControl/>
      </w:pPr>
      <w:r>
        <w:t>Suspected unauthorized access, disclosure, loss, alteration, or destruction of personal information is evaluated under an internal incident-response process. The process should preserve evidence, contain the incident, assess affected information and people, document decisions, involve the Data Protection Officer, and provide regulator or individual notices where legally required.</w:t>
      </w:r>
    </w:p>
    <w:p>
      <w:pPr>
        <w:widowControl/>
      </w:pPr>
      <w:r>
        <w:t>Philippine rules can require notification of qualifying personal-data breaches within a specified statutory period, including a 72-hour framework in applicable circumstances. The operator should maintain incident records and required annual security-incident reporting processes even when no public notice is required.</w:t>
      </w:r>
    </w:p>
    <w:p>
      <w:pPr>
        <w:widowControl/>
      </w:pPr>
      <w:r>
        <w:t>Security concerns should be sent to security@mrblindbandit.net. Good-faith reports should not include unnecessary personal information or destructive testing.</w:t>
      </w:r>
    </w:p>
    <w:p>
      <w:pPr>
        <w:pStyle w:val="Heading2"/>
        <w:widowControl/>
      </w:pPr>
      <w:r>
        <w:t>28. Policy changes and contact</w:t>
      </w:r>
    </w:p>
    <w:p>
      <w:pPr>
        <w:widowControl/>
      </w:pPr>
      <w:r>
        <w:t>Material changes will be reflected by updating the effective or last-updated date and, where required, by providing additional notice or renewed consent. A change to this Policy does not retroactively create a lawful basis that did not exist when information was collected.</w:t>
      </w:r>
    </w:p>
    <w:p>
      <w:pPr>
        <w:widowControl/>
      </w:pPr>
      <w:r>
        <w:t>Privacy and data-rights contact: privacy@mrblindbandit.net. Legal contact: legal@mrblindbandit.net. Security contact: security@mrblindbandit.net. Postal contact: Purok 6-A, Mabuhay, Barangay Capungagan, Davao del Norte 8113, Philippines.</w:t>
      </w:r>
    </w:p>
    <w:p>
      <w:pPr>
        <w:widowControl/>
      </w:pPr>
      <w:r>
        <w:br w:type="page"/>
      </w:r>
    </w:p>
    <w:p>
      <w:pPr>
        <w:pStyle w:val="Heading1"/>
        <w:widowControl/>
      </w:pPr>
      <w:r>
        <w:t>Part V - Cookie and Storage Notice</w:t>
      </w:r>
    </w:p>
    <w:p>
      <w:pPr>
        <w:pStyle w:val="DocumentNote"/>
        <w:widowControl/>
      </w:pPr>
      <w:r>
        <w:t>PUBLIC WEBSITE DRAFT</w:t>
      </w:r>
    </w:p>
    <w:p>
      <w:pPr>
        <w:pStyle w:val="DocumentNote"/>
        <w:widowControl/>
      </w:pPr>
      <w:r>
        <w:t>Effective and last updated: September 13, 2026</w:t>
      </w:r>
    </w:p>
    <w:p>
      <w:pPr>
        <w:pStyle w:val="Heading2"/>
        <w:widowControl/>
      </w:pPr>
      <w:r>
        <w:t>1. Purpose</w:t>
      </w:r>
    </w:p>
    <w:p>
      <w:pPr>
        <w:widowControl/>
      </w:pPr>
      <w:r>
        <w:t>This Notice explains cookies, browser storage, authentication storage, consent records, and related technologies that may be used on mrblindbandit.net. It should be read with the Privacy Policy.</w:t>
      </w:r>
    </w:p>
    <w:p>
      <w:pPr>
        <w:pStyle w:val="Heading2"/>
        <w:widowControl/>
      </w:pPr>
      <w:r>
        <w:t>2. Strictly necessary technologies</w:t>
      </w:r>
    </w:p>
    <w:p>
      <w:pPr>
        <w:widowControl/>
      </w:pPr>
      <w:r>
        <w:t>Strictly necessary technologies can support login state, identity and fraud prevention, session integrity, CSRF protection, load balancing, network security, consent-state storage, accessibility choices necessary to provide a selected experience, and other features specifically requested by the user. Disabling them can prevent parts of the service from functioning.</w:t>
      </w:r>
    </w:p>
    <w:p>
      <w:pPr>
        <w:widowControl/>
      </w:pPr>
      <w:r>
        <w:t>Where law permits strictly necessary technologies without opt-in consent, they may operate without optional-cookie consent. A technology should not be labelled necessary merely because it is useful for advertising, measurement, or convenience.</w:t>
      </w:r>
    </w:p>
    <w:p>
      <w:pPr>
        <w:pStyle w:val="Heading2"/>
        <w:widowControl/>
      </w:pPr>
      <w:r>
        <w:t>3. Preference storage</w:t>
      </w:r>
    </w:p>
    <w:p>
      <w:pPr>
        <w:widowControl/>
      </w:pPr>
      <w:r>
        <w:t>The site may remember interface preferences such as larger text, contrast, pause-motion choices, language, dismissed notices, or local utility settings. If a preference is not strictly necessary and applicable law requires consent, it should be placed behind the relevant choice.</w:t>
      </w:r>
    </w:p>
    <w:p>
      <w:pPr>
        <w:pStyle w:val="Heading2"/>
        <w:widowControl/>
      </w:pPr>
      <w:r>
        <w:t>4. Authentication technologies</w:t>
      </w:r>
    </w:p>
    <w:p>
      <w:pPr>
        <w:widowControl/>
      </w:pPr>
      <w:r>
        <w:t>Clerk and configured identity providers may use cookies or equivalent storage necessary to sign a person in, maintain a secure session, prevent abuse, and verify identity. Authentication technologies must use secure attributes appropriate to their purpose and should not be repurposed for unrelated advertising without an appropriate legal basis and notice.</w:t>
      </w:r>
    </w:p>
    <w:p>
      <w:pPr>
        <w:pStyle w:val="Heading2"/>
        <w:widowControl/>
      </w:pPr>
      <w:r>
        <w:t>5. Advertising technologies</w:t>
      </w:r>
    </w:p>
    <w:p>
      <w:pPr>
        <w:widowControl/>
      </w:pPr>
      <w:r>
        <w:t>Google AdSense and approved advertising partners may use or read cookies, local storage, identifiers, and consent signals for ad delivery, frequency control, measurement, fraud prevention, and personalization where allowed. In regions where consent is required, the consent management platform must control applicable advertising storage and signals before the relevant processing occurs.</w:t>
      </w:r>
    </w:p>
    <w:p>
      <w:pPr>
        <w:pStyle w:val="Heading2"/>
        <w:widowControl/>
      </w:pPr>
      <w:r>
        <w:t>6. Embedded third-party media</w:t>
      </w:r>
    </w:p>
    <w:p>
      <w:pPr>
        <w:widowControl/>
      </w:pPr>
      <w:r>
        <w:t>Spotify, Apple Music, YouTube, or other embeds can make network requests to the third party and may use their own technologies. Where practical and required, an embed that is non-essential should be delayed until the required consent exists or replaced initially with a privacy-preserving link or placeholder.</w:t>
      </w:r>
    </w:p>
    <w:p>
      <w:pPr>
        <w:pStyle w:val="Heading2"/>
        <w:widowControl/>
      </w:pPr>
      <w:r>
        <w:t>7. Local-only Media Suite state</w:t>
      </w:r>
    </w:p>
    <w:p>
      <w:pPr>
        <w:widowControl/>
      </w:pPr>
      <w:r>
        <w:t>Media Suite processing that occurs entirely in the browser can use temporary memory, browser storage, object URLs, and downloaded WebAssembly or JavaScript components. Local processing does not itself mean the source media is transmitted to Blindbandit Records. Clearing the page or browser can remove temporary state depending on implementation.</w:t>
      </w:r>
    </w:p>
    <w:p>
      <w:pPr>
        <w:pStyle w:val="Heading2"/>
        <w:widowControl/>
      </w:pPr>
      <w:r>
        <w:t>8. European regulations message</w:t>
      </w:r>
    </w:p>
    <w:p>
      <w:pPr>
        <w:widowControl/>
      </w:pPr>
      <w:r>
        <w:t>For eligible EEA, UK, and Swiss traffic, the site should use a Google-certified consent management platform integrated as required for the configured Google publisher products. The user should be offered meaningful consent controls and a way to revisit privacy choices. The production configuration must be tested so optional advertising behavior corresponds to the recorded choice.</w:t>
      </w:r>
    </w:p>
    <w:p>
      <w:pPr>
        <w:pStyle w:val="Heading2"/>
        <w:widowControl/>
      </w:pPr>
      <w:r>
        <w:t>9. Rejecting or withdrawing consent</w:t>
      </w:r>
    </w:p>
    <w:p>
      <w:pPr>
        <w:widowControl/>
      </w:pPr>
      <w:r>
        <w:t>Where consent is required, choosing not to consent should not activate the optional processing for which consent was declined. Withdrawing consent should update future processing and stored consent signals. Necessary technologies may remain in use when they are genuinely required to provide a requested service or secure the site.</w:t>
      </w:r>
    </w:p>
    <w:p>
      <w:pPr>
        <w:pStyle w:val="Heading2"/>
        <w:widowControl/>
      </w:pPr>
      <w:r>
        <w:t>10. Browser controls</w:t>
      </w:r>
    </w:p>
    <w:p>
      <w:pPr>
        <w:widowControl/>
      </w:pPr>
      <w:r>
        <w:t>Users can also delete or block cookies and site data using browser settings. Browser controls can sign a person out, remove saved accessibility or utility preferences, reset a consent record, or prevent features from functioning.</w:t>
      </w:r>
    </w:p>
    <w:p>
      <w:pPr>
        <w:pStyle w:val="Heading2"/>
        <w:widowControl/>
      </w:pPr>
      <w:r>
        <w:t>11. DNT and GPC</w:t>
      </w:r>
    </w:p>
    <w:p>
      <w:pPr>
        <w:widowControl/>
      </w:pPr>
      <w:r>
        <w:t>Legacy Do Not Track signals are handled as described in the Privacy Policy. Legally binding opt-out preference signals, including Global Privacy Control where applicable, should be recognized to the extent required by law and supported by the production privacy implementation. The public statement must always match live behavior.</w:t>
      </w:r>
    </w:p>
    <w:p>
      <w:pPr>
        <w:pStyle w:val="Heading2"/>
        <w:widowControl/>
      </w:pPr>
      <w:r>
        <w:t>12. Cookie inventory requirement</w:t>
      </w:r>
    </w:p>
    <w:p>
      <w:pPr>
        <w:widowControl/>
      </w:pPr>
      <w:r>
        <w:t>The operator should maintain a current internal inventory containing the cookie or storage key name, provider, host/domain, purpose, category, first- or third-party status, expiration or persistence, and consent requirement. Because vendor names and keys can change, the production inventory should be generated or verified against the live site before publication of a fixed cookie list.</w:t>
      </w:r>
    </w:p>
    <w:p>
      <w:pPr>
        <w:pStyle w:val="Heading2"/>
        <w:widowControl/>
      </w:pPr>
      <w:r>
        <w:t>13. Contact</w:t>
      </w:r>
    </w:p>
    <w:p>
      <w:pPr>
        <w:widowControl/>
      </w:pPr>
      <w:r>
        <w:t>Questions about cookies or privacy choices may be sent to privacy@mrblindbandit.net.</w:t>
      </w:r>
    </w:p>
    <w:p>
      <w:pPr>
        <w:widowControl/>
      </w:pPr>
      <w:r>
        <w:br w:type="page"/>
      </w:r>
    </w:p>
    <w:p>
      <w:pPr>
        <w:pStyle w:val="Heading1"/>
        <w:widowControl/>
      </w:pPr>
      <w:r>
        <w:t>Part VI - Copyright and DMCA Policy</w:t>
      </w:r>
    </w:p>
    <w:p>
      <w:pPr>
        <w:pStyle w:val="DocumentNote"/>
        <w:widowControl/>
      </w:pPr>
      <w:r>
        <w:t>PUBLIC WEBSITE DRAFT - the policy body below is clean public copy. Registration and activation instructions remain only in the private Work checklist.</w:t>
      </w:r>
    </w:p>
    <w:p>
      <w:pPr>
        <w:pStyle w:val="DocumentNote"/>
        <w:widowControl/>
      </w:pPr>
      <w:r>
        <w:t>Effective and last updated: September 13, 2026</w:t>
      </w:r>
    </w:p>
    <w:p>
      <w:pPr>
        <w:pStyle w:val="Heading2"/>
        <w:widowControl/>
      </w:pPr>
      <w:r>
        <w:t>1. Respect for intellectual property</w:t>
      </w:r>
    </w:p>
    <w:p>
      <w:pPr>
        <w:widowControl/>
      </w:pPr>
      <w:r>
        <w:t>Mr. Blindbandit and Blindbandit Records respect copyright, neighboring rights, trademarks, publicity rights, and other intellectual-property rights. Users may submit, upload, post, convert, render, or otherwise process only material they are legally entitled to use for the requested purpose.</w:t>
      </w:r>
    </w:p>
    <w:p>
      <w:pPr>
        <w:pStyle w:val="Heading2"/>
        <w:widowControl/>
      </w:pPr>
      <w:r>
        <w:t>2. Site-owned material</w:t>
      </w:r>
    </w:p>
    <w:p>
      <w:pPr>
        <w:widowControl/>
      </w:pPr>
      <w:r>
        <w:t>Unless otherwise stated, original site text, branding, graphics, organization, custom software, artwork, and other original materials are owned by or licensed to the operator and may not be copied, republished, sold, or exploited beyond permissions provided by law or express authorization. Third-party music, names, logos, embeds, and trademarks remain the property of their respective owners.</w:t>
      </w:r>
    </w:p>
    <w:p>
      <w:pPr>
        <w:pStyle w:val="Heading2"/>
        <w:widowControl/>
      </w:pPr>
      <w:r>
        <w:t>3. User-generated content</w:t>
      </w:r>
    </w:p>
    <w:p>
      <w:pPr>
        <w:widowControl/>
      </w:pPr>
      <w:r>
        <w:t>A user who posts or submits material represents that they own it or have sufficient permission to provide it and authorize the service uses described in the Terms. The operator may remove or restrict material reasonably believed to infringe rights, violate law, or breach site rules.</w:t>
      </w:r>
    </w:p>
    <w:p>
      <w:pPr>
        <w:pStyle w:val="Heading2"/>
        <w:widowControl/>
      </w:pPr>
      <w:r>
        <w:t>4. Media Suite and converter</w:t>
      </w:r>
    </w:p>
    <w:p>
      <w:pPr>
        <w:widowControl/>
      </w:pPr>
      <w:r>
        <w:t>The Media Suite is a file-processing utility. It does not grant copyright permission and must not be used to defeat DRM, access controls, subscription restrictions, or protected streams; scrape or download media in violation of law or applicable rights; or create unauthorized copies merely because a technical conversion is possible.</w:t>
      </w:r>
    </w:p>
    <w:p>
      <w:pPr>
        <w:widowControl/>
      </w:pPr>
      <w:r>
        <w:t>Users are responsible for obtaining rights to source files, lyrics, artwork, photographs, logos, footage, recordings, compositions, fonts, and other elements used in generated media. A technically successful art track, audiogram, lyric video, thumbnail, or conversion is not a copyright clearance.</w:t>
      </w:r>
    </w:p>
    <w:p>
      <w:pPr>
        <w:pStyle w:val="Heading2"/>
        <w:widowControl/>
      </w:pPr>
      <w:r>
        <w:t>5. Copyright reports</w:t>
      </w:r>
    </w:p>
    <w:p>
      <w:pPr>
        <w:widowControl/>
      </w:pPr>
      <w:r>
        <w:t>Copyright concerns may be sent to copyright@mrblindbandit.net. A report should identify the protected work, identify the material claimed to infringe with enough information to locate it, provide reliable contact information, state the reporter's good-faith basis for the claim, and include any legally required declarations and signature.</w:t>
      </w:r>
    </w:p>
    <w:p>
      <w:pPr>
        <w:widowControl/>
      </w:pPr>
      <w:r>
        <w:t>The operator may request missing information, disable or remove material, preserve relevant records, notify the affected user, or take other proportionate steps. Knowingly false or materially misleading reports can cause harm and may carry legal consequences.</w:t>
      </w:r>
    </w:p>
    <w:p>
      <w:pPr>
        <w:pStyle w:val="Heading2"/>
        <w:widowControl/>
      </w:pPr>
      <w:r>
        <w:t>6. United States copyright notices</w:t>
      </w:r>
    </w:p>
    <w:p>
      <w:pPr>
        <w:widowControl/>
      </w:pPr>
      <w:r>
        <w:t>Kaeleb Savon Heck serves as Copyright Officer for the website. Copyright notices may be sent to copyright@mrblindbandit.net and to the business mailing address stated in the Legal Contact section.</w:t>
      </w:r>
    </w:p>
    <w:p>
      <w:pPr>
        <w:widowControl/>
      </w:pPr>
      <w:r>
        <w:t>For a notice intended to invoke 17 U.S.C. section 512, the claimant should include the information required by applicable United States law, including identification of the copyrighted work or a representative list, identification and location of the allegedly infringing material, reliable contact information, a statement of good-faith belief that the complained-of use is not authorized by the copyright owner, its agent, or law, a statement that the information in the notice is accurate and that the complaining party is authorized to act for the owner under penalty of perjury where required, and a physical or electronic signature.</w:t>
      </w:r>
    </w:p>
    <w:p>
      <w:pPr>
        <w:widowControl/>
      </w:pPr>
      <w:r>
        <w:t>The service may forward a legally sufficient notice to the affected user and may remove or disable access to material expeditiously where appropriate. The service may request clarification when a notice does not provide enough information to identify the work, locate the material, or establish the reporter's authority.</w:t>
      </w:r>
    </w:p>
    <w:p>
      <w:pPr>
        <w:pStyle w:val="Heading2"/>
        <w:widowControl/>
      </w:pPr>
      <w:r>
        <w:t>7. Counter-notices</w:t>
      </w:r>
    </w:p>
    <w:p>
      <w:pPr>
        <w:widowControl/>
      </w:pPr>
      <w:r>
        <w:t>Where material is removed or disabled in response to a qualifying United States DMCA notice, the affected user may be able to send a statutory counter-notification containing the elements required by law, including identification of the removed material and prior location, a statement under penalty of perjury regarding mistake or misidentification, the required consent to jurisdiction and service where applicable, contact information, and signature.</w:t>
      </w:r>
    </w:p>
    <w:p>
      <w:pPr>
        <w:widowControl/>
      </w:pPr>
      <w:r>
        <w:t>If a legally sufficient counter-notice is received, the operator may forward it to the original claimant and may restore the material after the statutory waiting period unless the claimant provides notice of a filed court action seeking to restrain the allegedly infringing activity. The current Section 512 framework generally describes a restoration window of not less than 10 and not more than 14 business days after forwarding a valid counter-notice, subject to the statute and circumstances.</w:t>
      </w:r>
    </w:p>
    <w:p>
      <w:pPr>
        <w:pStyle w:val="Heading2"/>
        <w:widowControl/>
      </w:pPr>
      <w:r>
        <w:t>8. Repeat infringers and repeat abuse</w:t>
      </w:r>
    </w:p>
    <w:p>
      <w:pPr>
        <w:widowControl/>
      </w:pPr>
      <w:r>
        <w:t>Where appropriate and in suitable circumstances, accounts of repeat copyright infringers may be terminated. The operator may also act against repeat fraudulent notices, harassment through the reporting process, or attempts to misuse copyright procedures to suppress lawful speech.</w:t>
      </w:r>
    </w:p>
    <w:p>
      <w:pPr>
        <w:pStyle w:val="Heading2"/>
        <w:widowControl/>
      </w:pPr>
      <w:r>
        <w:t>9. Non-U.S. reports</w:t>
      </w:r>
    </w:p>
    <w:p>
      <w:pPr>
        <w:widowControl/>
      </w:pPr>
      <w:r>
        <w:t>A person outside the United States may still send an intellectual-property report. The operator can evaluate it under applicable law, platform obligations, contracts, and available remedies even when the U.S. DMCA procedure is not the controlling law.</w:t>
      </w:r>
    </w:p>
    <w:p>
      <w:pPr>
        <w:pStyle w:val="Heading2"/>
        <w:widowControl/>
      </w:pPr>
      <w:r>
        <w:t>10. Preservation and transparency</w:t>
      </w:r>
    </w:p>
    <w:p>
      <w:pPr>
        <w:widowControl/>
      </w:pPr>
      <w:r>
        <w:t>The operator may preserve notices, counter-notices, moderation decisions, correspondence, account identifiers, and evidence for a reasonable period needed to administer the process, establish or defend claims, respond to regulators, or document repeat-infringer enforcement. Personal information in those records is handled under the Privacy Policy.</w:t>
      </w:r>
    </w:p>
    <w:p>
      <w:pPr>
        <w:pStyle w:val="Heading2"/>
        <w:widowControl/>
      </w:pPr>
      <w:r>
        <w:t>11. No legal determination by the website</w:t>
      </w:r>
    </w:p>
    <w:p>
      <w:pPr>
        <w:widowControl/>
      </w:pPr>
      <w:r>
        <w:t>Removal, restoration, refusal, or account action is not a judicial determination of ownership, infringement, fair use, license scope, or damages. The service may make practical platform decisions while leaving underlying legal rights unaffected.</w:t>
      </w:r>
    </w:p>
    <w:p>
      <w:pPr>
        <w:pStyle w:val="Heading2"/>
        <w:widowControl/>
      </w:pPr>
      <w:r>
        <w:t>12. Contact</w:t>
      </w:r>
    </w:p>
    <w:p>
      <w:pPr>
        <w:widowControl/>
      </w:pPr>
      <w:r>
        <w:t>Copyright Officer: Kaeleb Savon Heck. Email: copyright@mrblindbandit.net. Legal contact: legal@mrblindbandit.net.</w:t>
      </w:r>
    </w:p>
    <w:p>
      <w:pPr>
        <w:widowControl/>
      </w:pPr>
      <w:r>
        <w:br w:type="page"/>
      </w:r>
    </w:p>
    <w:p>
      <w:pPr>
        <w:pStyle w:val="Heading1"/>
        <w:widowControl/>
      </w:pPr>
      <w:r>
        <w:t>Part VII - Community Guidelines and User-Generated Content Rules</w:t>
      </w:r>
    </w:p>
    <w:p>
      <w:pPr>
        <w:pStyle w:val="DocumentNote"/>
        <w:widowControl/>
      </w:pPr>
      <w:r>
        <w:t>PUBLIC WEBSITE DRAFT</w:t>
      </w:r>
    </w:p>
    <w:p>
      <w:pPr>
        <w:pStyle w:val="DocumentNote"/>
        <w:widowControl/>
      </w:pPr>
      <w:r>
        <w:t>Effective and last updated: September 13, 2026</w:t>
      </w:r>
    </w:p>
    <w:p>
      <w:pPr>
        <w:pStyle w:val="Heading2"/>
        <w:widowControl/>
      </w:pPr>
      <w:r>
        <w:t>1. Purpose</w:t>
      </w:r>
    </w:p>
    <w:p>
      <w:pPr>
        <w:widowControl/>
      </w:pPr>
      <w:r>
        <w:t>The Mr. Blindbandit community is intended for lawful discussion, music discovery, artist interaction, polls, comments, announcements, and other constructive participation. Freedom to disagree does not create permission to threaten people, expose private information, impersonate others, infringe rights, exploit minors, commit fraud, or use the service as infrastructure for illegal conduct.</w:t>
      </w:r>
    </w:p>
    <w:p>
      <w:pPr>
        <w:pStyle w:val="Heading2"/>
        <w:widowControl/>
      </w:pPr>
      <w:r>
        <w:t>2. Account responsibility</w:t>
      </w:r>
    </w:p>
    <w:p>
      <w:pPr>
        <w:widowControl/>
      </w:pPr>
      <w:r>
        <w:t>Users are responsible for activity performed through their account and should protect their credentials. Display names must not falsely imply official status, impersonate another person or organization, or intentionally confuse users about identity or authority.</w:t>
      </w:r>
    </w:p>
    <w:p>
      <w:pPr>
        <w:pStyle w:val="Heading2"/>
        <w:widowControl/>
      </w:pPr>
      <w:r>
        <w:t>3. Public nature of contributions</w:t>
      </w:r>
    </w:p>
    <w:p>
      <w:pPr>
        <w:widowControl/>
      </w:pPr>
      <w:r>
        <w:t>Posts, comments, display names, reactions, and other community content designated public can be seen, quoted, linked, indexed, or copied by others. Users should not publish information they expect to remain private. Private label-portal material belongs in the private portal, not the community.</w:t>
      </w:r>
    </w:p>
    <w:p>
      <w:pPr>
        <w:pStyle w:val="Heading2"/>
        <w:widowControl/>
      </w:pPr>
      <w:r>
        <w:t>4. Prohibited threats and violence</w:t>
      </w:r>
    </w:p>
    <w:p>
      <w:pPr>
        <w:widowControl/>
      </w:pPr>
      <w:r>
        <w:t>Do not make credible threats, solicit violence, celebrate or encourage imminent violence against identifiable people, publish instructions intended to facilitate a violent attack, or use the community to coordinate violent wrongdoing. Context matters for journalism, education, fiction, documentary discussion, and condemnation, but those contexts do not excuse a genuine threat.</w:t>
      </w:r>
    </w:p>
    <w:p>
      <w:pPr>
        <w:pStyle w:val="Heading2"/>
        <w:widowControl/>
      </w:pPr>
      <w:r>
        <w:t>5. Harassment and targeted abuse</w:t>
      </w:r>
    </w:p>
    <w:p>
      <w:pPr>
        <w:widowControl/>
      </w:pPr>
      <w:r>
        <w:t>Do not organize targeted harassment, repeatedly contact a person after clear requests to stop, encourage others to swarm or intimidate someone, or use slurs and demeaning attacks in a way that creates serious targeted abuse. Robust criticism of ideas, public work, companies, or public figures is not automatically harassment.</w:t>
      </w:r>
    </w:p>
    <w:p>
      <w:pPr>
        <w:pStyle w:val="Heading2"/>
        <w:widowControl/>
      </w:pPr>
      <w:r>
        <w:t>6. Privacy, doxxing, and intimate content</w:t>
      </w:r>
    </w:p>
    <w:p>
      <w:pPr>
        <w:widowControl/>
      </w:pPr>
      <w:r>
        <w:t>Do not publish another person's private home address, private phone number, passwords, authentication tokens, bank credentials, government identifiers, precise private location, nonpublic medical records, or comparable highly sensitive information without lawful authority. Do not post or threaten to post non-consensual intimate imagery or sexual content involving a person without consent.</w:t>
      </w:r>
    </w:p>
    <w:p>
      <w:pPr>
        <w:pStyle w:val="Heading2"/>
        <w:widowControl/>
      </w:pPr>
      <w:r>
        <w:t>7. Child sexual exploitation and endangerment</w:t>
      </w:r>
    </w:p>
    <w:p>
      <w:pPr>
        <w:widowControl/>
      </w:pPr>
      <w:r>
        <w:t>Any sexual exploitation of children, grooming, solicitation of sexual content from minors, child sexual abuse material, sexualized imagery of minors, trafficking, or instructions intended to facilitate abuse is prohibited. Reports involving suspected child exploitation should be escalated through the safety process and handled under applicable reporting and preservation duties.</w:t>
      </w:r>
    </w:p>
    <w:p>
      <w:pPr>
        <w:pStyle w:val="Heading2"/>
        <w:widowControl/>
      </w:pPr>
      <w:r>
        <w:t>8. Hate and dehumanizing abuse</w:t>
      </w:r>
    </w:p>
    <w:p>
      <w:pPr>
        <w:widowControl/>
      </w:pPr>
      <w:r>
        <w:t>Do not use the service to incite violence or exclusion against protected groups or to direct severe dehumanizing abuse at people because of legally protected characteristics. Discussion of hateful ideology for criticism, reporting, education, history, or art can be allowed when the context is clear and does not itself promote unlawful harm.</w:t>
      </w:r>
    </w:p>
    <w:p>
      <w:pPr>
        <w:pStyle w:val="Heading2"/>
        <w:widowControl/>
      </w:pPr>
      <w:r>
        <w:t>9. Fraud, scams, and deceptive conduct</w:t>
      </w:r>
    </w:p>
    <w:p>
      <w:pPr>
        <w:widowControl/>
      </w:pPr>
      <w:r>
        <w:t>Do not run investment scams, fake giveaways, phishing, credential theft, impersonation fraud, fake support accounts, deceptive payment requests, malicious shortened links, or schemes designed to steal money, accounts, identity information, or access.</w:t>
      </w:r>
    </w:p>
    <w:p>
      <w:pPr>
        <w:pStyle w:val="Heading2"/>
        <w:widowControl/>
      </w:pPr>
      <w:r>
        <w:t>10. Malware and security abuse</w:t>
      </w:r>
    </w:p>
    <w:p>
      <w:pPr>
        <w:widowControl/>
      </w:pPr>
      <w:r>
        <w:t>Do not distribute malware, credential stealers, destructive payloads, or code primarily intended to compromise other users or the service. Do not probe, scan, exploit, overwhelm, bypass access controls, or attempt unauthorized entry into accounts, private portals, administration interfaces, or infrastructure.</w:t>
      </w:r>
    </w:p>
    <w:p>
      <w:pPr>
        <w:widowControl/>
      </w:pPr>
      <w:r>
        <w:t>Good-faith security research must stay within the Security and Vulnerability Reporting Policy in Part XV.</w:t>
      </w:r>
    </w:p>
    <w:p>
      <w:pPr>
        <w:pStyle w:val="Heading2"/>
        <w:widowControl/>
      </w:pPr>
      <w:r>
        <w:t>11. Spam and platform manipulation</w:t>
      </w:r>
    </w:p>
    <w:p>
      <w:pPr>
        <w:widowControl/>
      </w:pPr>
      <w:r>
        <w:t>Do not flood discussions, automate fake engagement, mass-create accounts, manipulate polls through deceptive account farms, post repetitive unsolicited promotions, or use the community to generate artificial metrics. Reasonable self-promotion is allowed where relevant and not deceptive or disruptive.</w:t>
      </w:r>
    </w:p>
    <w:p>
      <w:pPr>
        <w:pStyle w:val="Heading2"/>
        <w:widowControl/>
      </w:pPr>
      <w:r>
        <w:t>12. Intellectual property</w:t>
      </w:r>
    </w:p>
    <w:p>
      <w:pPr>
        <w:widowControl/>
      </w:pPr>
      <w:r>
        <w:t>Only post content you have the right to post. Copyright and trademark reports are handled under the Copyright and DMCA Policy. A disagreement about ownership does not authorize harassment of the other party.</w:t>
      </w:r>
    </w:p>
    <w:p>
      <w:pPr>
        <w:pStyle w:val="Heading2"/>
        <w:widowControl/>
      </w:pPr>
      <w:r>
        <w:t>13. Illegal goods, services, and transactions</w:t>
      </w:r>
    </w:p>
    <w:p>
      <w:pPr>
        <w:widowControl/>
      </w:pPr>
      <w:r>
        <w:t>Do not use the community to arrange unlawful trafficking, unlawful sales of regulated goods, fraud, extortion, money laundering, exploitation, or another transaction prohibited by applicable law. General discussion, news, history, harm-prevention information, and lawful policy debate are not prohibited merely because the subject concerns regulated or illegal activity.</w:t>
      </w:r>
    </w:p>
    <w:p>
      <w:pPr>
        <w:pStyle w:val="Heading2"/>
        <w:widowControl/>
      </w:pPr>
      <w:r>
        <w:t>14. Sexual content</w:t>
      </w:r>
    </w:p>
    <w:p>
      <w:pPr>
        <w:widowControl/>
      </w:pPr>
      <w:r>
        <w:t>Pornographic or sexually explicit content may be restricted or removed to maintain the intended audience and advertiser-suitable nature of the public community. Sexual exploitation, non-consensual sexual content, sexual extortion, and sexual content involving minors are prohibited regardless of artistic framing.</w:t>
      </w:r>
    </w:p>
    <w:p>
      <w:pPr>
        <w:pStyle w:val="Heading2"/>
        <w:widowControl/>
      </w:pPr>
      <w:r>
        <w:t>15. Self-harm and dangerous challenges</w:t>
      </w:r>
    </w:p>
    <w:p>
      <w:pPr>
        <w:widowControl/>
      </w:pPr>
      <w:r>
        <w:t>Content that encourages, instructs, or pressures a person to engage in self-harm, suicide, or a dangerous challenge can be restricted or removed. Supportive discussion, recovery experiences, prevention resources, and non-graphic educational discussion may be allowed.</w:t>
      </w:r>
    </w:p>
    <w:p>
      <w:pPr>
        <w:pStyle w:val="Heading2"/>
        <w:widowControl/>
      </w:pPr>
      <w:r>
        <w:t>16. Misinformation and manipulated media</w:t>
      </w:r>
    </w:p>
    <w:p>
      <w:pPr>
        <w:widowControl/>
      </w:pPr>
      <w:r>
        <w:t>The service may label, contextualize, limit, or remove deceptive content where necessary to prevent fraud, impersonation, safety harm, or material platform abuse. Ordinary mistakes, satire, parody, opinion, disagreement, and good-faith debate are not automatically violations.</w:t>
      </w:r>
    </w:p>
    <w:p>
      <w:pPr>
        <w:pStyle w:val="Heading2"/>
        <w:widowControl/>
      </w:pPr>
      <w:r>
        <w:t>17. Artificial intelligence and synthetic content</w:t>
      </w:r>
    </w:p>
    <w:p>
      <w:pPr>
        <w:widowControl/>
      </w:pPr>
      <w:r>
        <w:t>AI-generated or synthetic material is not prohibited merely because AI was used. Users remain responsible for rights, impersonation, fraud, defamation, privacy, safety, and disclosure obligations. Synthetic material designed to deceptively impersonate a real person or fabricate a harmful endorsement may be restricted or removed.</w:t>
      </w:r>
    </w:p>
    <w:p>
      <w:pPr>
        <w:pStyle w:val="Heading2"/>
        <w:widowControl/>
      </w:pPr>
      <w:r>
        <w:t>18. Advertising and commercial posts</w:t>
      </w:r>
    </w:p>
    <w:p>
      <w:pPr>
        <w:widowControl/>
      </w:pPr>
      <w:r>
        <w:t>Users must not falsely represent a commercial relationship with Mr. Blindbandit or Blindbandit Records. Paid, gifted, affiliate, or sponsored content must include any disclosure required by applicable law. Spam and misleading promotions remain prohibited.</w:t>
      </w:r>
    </w:p>
    <w:p>
      <w:pPr>
        <w:pStyle w:val="Heading2"/>
        <w:widowControl/>
      </w:pPr>
      <w:r>
        <w:t>19. Moderation actions</w:t>
      </w:r>
    </w:p>
    <w:p>
      <w:pPr>
        <w:widowControl/>
      </w:pPr>
      <w:r>
        <w:t>Depending on severity and history, the service may take no action, provide a warning, remove content, limit visibility, disable a feature, restrict posting, suspend an account, terminate an account, preserve evidence, or make a report required by law. Immediate severe action can be taken for urgent safety, exploitation, fraud, security, or legal concerns without first issuing a warning.</w:t>
      </w:r>
    </w:p>
    <w:p>
      <w:pPr>
        <w:pStyle w:val="Heading2"/>
        <w:widowControl/>
      </w:pPr>
      <w:r>
        <w:t>20. Reasons and appeals</w:t>
      </w:r>
    </w:p>
    <w:p>
      <w:pPr>
        <w:widowControl/>
      </w:pPr>
      <w:r>
        <w:t>Where practical and legally appropriate, a person affected by a meaningful moderation decision should receive a reason or category for the action and an opportunity to request review. An appeal should be reviewed by a person who can consider context rather than simply repeating the original automated signal. Repetitive abusive appeals can be limited.</w:t>
      </w:r>
    </w:p>
    <w:p>
      <w:pPr>
        <w:pStyle w:val="Heading2"/>
        <w:widowControl/>
      </w:pPr>
      <w:r>
        <w:t>21. Reporting</w:t>
      </w:r>
    </w:p>
    <w:p>
      <w:pPr>
        <w:widowControl/>
      </w:pPr>
      <w:r>
        <w:t>Community reports should identify the content or account, the reason for concern, and any context needed to understand the issue. Emergency or safety reports may be sent to safety@mrblindbandit.net. Copyright complaints go to copyright@mrblindbandit.net. Security vulnerabilities go to security@mrblindbandit.net.</w:t>
      </w:r>
    </w:p>
    <w:p>
      <w:pPr>
        <w:pStyle w:val="Heading2"/>
        <w:widowControl/>
      </w:pPr>
      <w:r>
        <w:t>22. Enforcement records</w:t>
      </w:r>
    </w:p>
    <w:p>
      <w:pPr>
        <w:widowControl/>
      </w:pPr>
      <w:r>
        <w:t>The service may maintain moderation and appeal records for security, consistency, legal obligations, repeat-violation analysis, or defense of claims. Access should be limited to people who need the records for those purposes.</w:t>
      </w:r>
    </w:p>
    <w:p>
      <w:pPr>
        <w:widowControl/>
      </w:pPr>
      <w:r>
        <w:br w:type="page"/>
      </w:r>
    </w:p>
    <w:p>
      <w:pPr>
        <w:pStyle w:val="Heading1"/>
        <w:widowControl/>
      </w:pPr>
      <w:r>
        <w:t>Part VIII - Child Safety Policy</w:t>
      </w:r>
    </w:p>
    <w:p>
      <w:pPr>
        <w:pStyle w:val="DocumentNote"/>
        <w:widowControl/>
      </w:pPr>
      <w:r>
        <w:t>PUBLIC WEBSITE DRAFT</w:t>
      </w:r>
    </w:p>
    <w:p>
      <w:pPr>
        <w:pStyle w:val="DocumentNote"/>
        <w:widowControl/>
      </w:pPr>
      <w:r>
        <w:t>Effective and last updated: September 13, 2026</w:t>
      </w:r>
    </w:p>
    <w:p>
      <w:pPr>
        <w:pStyle w:val="Heading2"/>
        <w:widowControl/>
      </w:pPr>
      <w:r>
        <w:t>1. Audience and age floor</w:t>
      </w:r>
    </w:p>
    <w:p>
      <w:pPr>
        <w:widowControl/>
      </w:pPr>
      <w:r>
        <w:t>The general public website may contain music and information that families can view, but interactive community services are not intended for children under 13. A known child under 13 must not create a community account, submit public posts or comments, enroll in marketing, use professional submission forms intended for adults, or use private messaging features intended for older users.</w:t>
      </w:r>
    </w:p>
    <w:p>
      <w:pPr>
        <w:pStyle w:val="Heading2"/>
        <w:widowControl/>
      </w:pPr>
      <w:r>
        <w:t>2. Older minors</w:t>
      </w:r>
    </w:p>
    <w:p>
      <w:pPr>
        <w:widowControl/>
      </w:pPr>
      <w:r>
        <w:t>A person under the age of legal majority may use age-appropriate public features only where applicable law, platform rules, and parental or guardian requirements permit. A minor may not enter a binding record, licensing, booking, sponsorship, employment, or similar agreement without legally sufficient authority.</w:t>
      </w:r>
    </w:p>
    <w:p>
      <w:pPr>
        <w:pStyle w:val="Heading2"/>
        <w:widowControl/>
      </w:pPr>
      <w:r>
        <w:t>3. Music from minors</w:t>
      </w:r>
    </w:p>
    <w:p>
      <w:pPr>
        <w:widowControl/>
      </w:pPr>
      <w:r>
        <w:t>If a minor wants to submit music, the operator may require a parent or legal guardian to provide contact information, permission, identity or authority verification, and participation before evaluation proceeds beyond an initial non-binding review. The site should minimize collection of data from the minor and communicate primarily with the authorized adult where appropriate.</w:t>
      </w:r>
    </w:p>
    <w:p>
      <w:pPr>
        <w:pStyle w:val="Heading2"/>
        <w:widowControl/>
      </w:pPr>
      <w:r>
        <w:t>4. Prohibited exploitation</w:t>
      </w:r>
    </w:p>
    <w:p>
      <w:pPr>
        <w:widowControl/>
      </w:pPr>
      <w:r>
        <w:t>Grooming, sexual solicitation of minors, trafficking, child sexual abuse material, sexual extortion, requests for sexual images, sexualized manipulation of a minor's image, or facilitation of child abuse is prohibited.</w:t>
      </w:r>
    </w:p>
    <w:p>
      <w:pPr>
        <w:pStyle w:val="Heading2"/>
        <w:widowControl/>
      </w:pPr>
      <w:r>
        <w:t>5. Privacy and personal information</w:t>
      </w:r>
    </w:p>
    <w:p>
      <w:pPr>
        <w:widowControl/>
      </w:pPr>
      <w:r>
        <w:t>Minors should not publicly post school schedules, home addresses, precise routine locations, private phone numbers, passwords, financial information, government identifiers, or other data that creates unnecessary safety risk. The operator may remove such information even when the minor posted it voluntarily.</w:t>
      </w:r>
    </w:p>
    <w:p>
      <w:pPr>
        <w:pStyle w:val="Heading2"/>
        <w:widowControl/>
      </w:pPr>
      <w:r>
        <w:t>6. Advertising and profiling</w:t>
      </w:r>
    </w:p>
    <w:p>
      <w:pPr>
        <w:widowControl/>
      </w:pPr>
      <w:r>
        <w:t>The service should not knowingly configure personalized advertising directed to a child in a way prohibited by applicable law or Google publisher rules. If a feature becomes directed to children or the operator acquires actual knowledge triggering a children's privacy law, the product and consent model must be reassessed before continued processing.</w:t>
      </w:r>
    </w:p>
    <w:p>
      <w:pPr>
        <w:pStyle w:val="Heading2"/>
        <w:widowControl/>
      </w:pPr>
      <w:r>
        <w:t>7. Safety reports</w:t>
      </w:r>
    </w:p>
    <w:p>
      <w:pPr>
        <w:widowControl/>
      </w:pPr>
      <w:r>
        <w:t>Reports concerning child exploitation or imminent safety threats should be prioritized and preserved appropriately. Safety contact: safety@mrblindbandit.net. A report should include enough information to identify the relevant account or content without unnecessarily redistributing illegal or exploitative material.</w:t>
      </w:r>
    </w:p>
    <w:p>
      <w:pPr>
        <w:pStyle w:val="Heading2"/>
        <w:widowControl/>
      </w:pPr>
      <w:r>
        <w:t>8. Parent or guardian requests</w:t>
      </w:r>
    </w:p>
    <w:p>
      <w:pPr>
        <w:widowControl/>
      </w:pPr>
      <w:r>
        <w:t>A parent or legal guardian who believes the service holds prohibited personal information about a child may contact privacy@mrblindbandit.net. Reasonable verification of parental or guardian authority may be requested before disclosing account information or making changes.</w:t>
      </w:r>
    </w:p>
    <w:p>
      <w:pPr>
        <w:pStyle w:val="Heading2"/>
        <w:widowControl/>
      </w:pPr>
      <w:r>
        <w:t>9. Lawful reporting and preservation</w:t>
      </w:r>
    </w:p>
    <w:p>
      <w:pPr>
        <w:widowControl/>
      </w:pPr>
      <w:r>
        <w:t>The operator may preserve relevant account information and report suspected child sexual exploitation or other conduct when required or permitted by applicable law. The operator should avoid unnecessary viewing, duplication, or redistribution of illegal material and should maintain an internal escalation process.</w:t>
      </w:r>
    </w:p>
    <w:p>
      <w:pPr>
        <w:pStyle w:val="Heading2"/>
        <w:widowControl/>
      </w:pPr>
      <w:r>
        <w:t>10. Product design requirements</w:t>
      </w:r>
    </w:p>
    <w:p>
      <w:pPr>
        <w:widowControl/>
      </w:pPr>
      <w:r>
        <w:t>New community, messaging, live-streaming, upload, recommendation, or social features should receive a child-safety review before launch. The review should consider discoverability, direct contact, age signals, privacy defaults, reporting, blocking, moderation staffing, harmful-content pathways, and whether additional age assurance is required.</w:t>
      </w:r>
    </w:p>
    <w:p>
      <w:pPr>
        <w:widowControl/>
      </w:pPr>
      <w:r>
        <w:br w:type="page"/>
      </w:r>
    </w:p>
    <w:p>
      <w:pPr>
        <w:pStyle w:val="Heading1"/>
        <w:widowControl/>
      </w:pPr>
      <w:r>
        <w:t>Part IX - Music Submission Terms</w:t>
      </w:r>
    </w:p>
    <w:p>
      <w:pPr>
        <w:pStyle w:val="DocumentNote"/>
        <w:widowControl/>
      </w:pPr>
      <w:r>
        <w:t>PUBLIC WEBSITE DRAFT</w:t>
      </w:r>
    </w:p>
    <w:p>
      <w:pPr>
        <w:pStyle w:val="DocumentNote"/>
        <w:widowControl/>
      </w:pPr>
      <w:r>
        <w:t>Effective and last updated: September 13, 2026</w:t>
      </w:r>
    </w:p>
    <w:p>
      <w:pPr>
        <w:pStyle w:val="Heading2"/>
        <w:widowControl/>
      </w:pPr>
      <w:r>
        <w:t>1. Purpose and no promise of representation</w:t>
      </w:r>
    </w:p>
    <w:p>
      <w:pPr>
        <w:widowControl/>
      </w:pPr>
      <w:r>
        <w:t>The submission system allows artists, writers, producers, managers, or authorized representatives to send music or project information to Blindbandit Records for possible review. Submission does not create an artist-label relationship, management relationship, fiduciary duty, confidentiality agreement, publishing deal, distribution deal, employment relationship, or obligation to respond.</w:t>
      </w:r>
    </w:p>
    <w:p>
      <w:pPr>
        <w:pStyle w:val="Heading2"/>
        <w:widowControl/>
      </w:pPr>
      <w:r>
        <w:t>2. Authority to submit</w:t>
      </w:r>
    </w:p>
    <w:p>
      <w:pPr>
        <w:widowControl/>
      </w:pPr>
      <w:r>
        <w:t>The sender represents that they are legally authorized to submit the material for evaluation and to provide the associated information and files. If the sender acts for other writers, performers, producers, owners, or an organization, the sender represents that they have authority to make the submission on their behalf.</w:t>
      </w:r>
    </w:p>
    <w:p>
      <w:pPr>
        <w:pStyle w:val="Heading2"/>
        <w:widowControl/>
      </w:pPr>
      <w:r>
        <w:t>3. Ownership remains with the submitter</w:t>
      </w:r>
    </w:p>
    <w:p>
      <w:pPr>
        <w:widowControl/>
      </w:pPr>
      <w:r>
        <w:t>Except for the limited review permission below, ownership does not transfer merely because a demo is submitted. Any later rights transfer, license, distribution grant, exclusive commitment, royalty arrangement, or commercial release requires a separate agreement signed or accepted through a legally valid process.</w:t>
      </w:r>
    </w:p>
    <w:p>
      <w:pPr>
        <w:pStyle w:val="Heading2"/>
        <w:widowControl/>
      </w:pPr>
      <w:r>
        <w:t>4. Limited review permission</w:t>
      </w:r>
    </w:p>
    <w:p>
      <w:pPr>
        <w:widowControl/>
      </w:pPr>
      <w:r>
        <w:t>The sender grants the operator a non-exclusive, worldwide, royalty-free permission to receive, store for the applicable review period, copy as technically necessary, stream internally, transcode where necessary for review, share with authorized internal reviewers or professional advisers, and otherwise process the submission solely for evaluation, communication, security, recordkeeping, and negotiation.</w:t>
      </w:r>
    </w:p>
    <w:p>
      <w:pPr>
        <w:pStyle w:val="Heading2"/>
        <w:widowControl/>
      </w:pPr>
      <w:r>
        <w:t>5. Similarity and unsolicited ideas</w:t>
      </w:r>
    </w:p>
    <w:p>
      <w:pPr>
        <w:widowControl/>
      </w:pPr>
      <w:r>
        <w:t>Blindbandit Records and its artists may already be developing music, titles, concepts, artwork, business ideas, themes, or projects that resemble submitted material. Similarity alone does not establish copying or an obligation to compensate the submitter. Do not submit an idea that requires a separate confidentiality agreement unless one has been executed before disclosure.</w:t>
      </w:r>
    </w:p>
    <w:p>
      <w:pPr>
        <w:pStyle w:val="Heading2"/>
        <w:widowControl/>
      </w:pPr>
      <w:r>
        <w:t>6. Confidentiality</w:t>
      </w:r>
    </w:p>
    <w:p>
      <w:pPr>
        <w:widowControl/>
      </w:pPr>
      <w:r>
        <w:t>Unless a separate written confidentiality agreement applies, unsolicited submissions are not accepted on a confidential basis. The operator will nevertheless handle nonpublic submissions with reasonable business care and will not intentionally publish the submitted audio merely because it was sent for review.</w:t>
      </w:r>
    </w:p>
    <w:p>
      <w:pPr>
        <w:pStyle w:val="Heading2"/>
        <w:widowControl/>
      </w:pPr>
      <w:r>
        <w:t>7. No guarantee of review or response</w:t>
      </w:r>
    </w:p>
    <w:p>
      <w:pPr>
        <w:widowControl/>
      </w:pPr>
      <w:r>
        <w:t>Submission does not guarantee listening, review within a particular period, feedback, acceptance, rejection notice, release, playlist placement, distribution, promotion, investment, or a business offer. Automated receipt confirmation is not an artistic or commercial decision.</w:t>
      </w:r>
    </w:p>
    <w:p>
      <w:pPr>
        <w:pStyle w:val="Heading2"/>
        <w:widowControl/>
      </w:pPr>
      <w:r>
        <w:t>8. Rights and clearances</w:t>
      </w:r>
    </w:p>
    <w:p>
      <w:pPr>
        <w:widowControl/>
      </w:pPr>
      <w:r>
        <w:t>The sender represents that the material does not knowingly infringe copyright, trademark, privacy, publicity, contractual, sample-clearance, or other rights. If the recording uses samples, beats, artwork, features, compositions, or third-party material, the sender is responsible for obtaining any rights required for the contemplated use.</w:t>
      </w:r>
    </w:p>
    <w:p>
      <w:pPr>
        <w:pStyle w:val="Heading2"/>
        <w:widowControl/>
      </w:pPr>
      <w:r>
        <w:t>9. Minors</w:t>
      </w:r>
    </w:p>
    <w:p>
      <w:pPr>
        <w:widowControl/>
      </w:pPr>
      <w:r>
        <w:t>A submitter who is not legally able to enter the contemplated agreement must disclose that fact before negotiations advance. Blindbandit Records may require participation and authorization from a parent, legal guardian, or legally authorized representative.</w:t>
      </w:r>
    </w:p>
    <w:p>
      <w:pPr>
        <w:pStyle w:val="Heading2"/>
        <w:widowControl/>
      </w:pPr>
      <w:r>
        <w:t>10. Technical safety</w:t>
      </w:r>
    </w:p>
    <w:p>
      <w:pPr>
        <w:widowControl/>
      </w:pPr>
      <w:r>
        <w:t>Do not submit executables, macros, archives containing unrelated files, malware, password-protected files that were not requested, or content designed to exploit the website or reviewer device. The service may scan, reject, quarantine, or delete unsafe files.</w:t>
      </w:r>
    </w:p>
    <w:p>
      <w:pPr>
        <w:pStyle w:val="Heading2"/>
        <w:widowControl/>
      </w:pPr>
      <w:r>
        <w:t>11. Retention and deletion</w:t>
      </w:r>
    </w:p>
    <w:p>
      <w:pPr>
        <w:widowControl/>
      </w:pPr>
      <w:r>
        <w:t>Submissions may be retained for a reasonable review and recordkeeping period, then deleted or archived according to the Privacy Policy and internal retention schedule. A deletion request can be limited by an active negotiation, dispute, legal hold, fraud investigation, contractual duty, or other lawful preservation need.</w:t>
      </w:r>
    </w:p>
    <w:p>
      <w:pPr>
        <w:pStyle w:val="Heading2"/>
        <w:widowControl/>
      </w:pPr>
      <w:r>
        <w:t>12. Marketing separation</w:t>
      </w:r>
    </w:p>
    <w:p>
      <w:pPr>
        <w:widowControl/>
      </w:pPr>
      <w:r>
        <w:t>Submitting music does not automatically subscribe the sender to promotional marketing. Marketing requires a separate signup or other lawful basis.</w:t>
      </w:r>
    </w:p>
    <w:p>
      <w:pPr>
        <w:pStyle w:val="Heading2"/>
        <w:widowControl/>
      </w:pPr>
      <w:r>
        <w:t>13. Professional conduct</w:t>
      </w:r>
    </w:p>
    <w:p>
      <w:pPr>
        <w:widowControl/>
      </w:pPr>
      <w:r>
        <w:t>A rejection or non-response does not authorize harassment, threats, impersonation, repeated abusive resubmission, or attempts to bypass technical limits. The operator may block abusive submissions while preserving ordinary future opportunities for good-faith artists.</w:t>
      </w:r>
    </w:p>
    <w:p>
      <w:pPr>
        <w:widowControl/>
      </w:pPr>
      <w:r>
        <w:br w:type="page"/>
      </w:r>
    </w:p>
    <w:p>
      <w:pPr>
        <w:pStyle w:val="Heading1"/>
        <w:widowControl/>
      </w:pPr>
      <w:r>
        <w:t>Part X - Media Suite Terms and Safety Rules</w:t>
      </w:r>
    </w:p>
    <w:p>
      <w:pPr>
        <w:pStyle w:val="DocumentNote"/>
        <w:widowControl/>
      </w:pPr>
      <w:r>
        <w:t>PUBLIC WEBSITE DRAFT</w:t>
      </w:r>
    </w:p>
    <w:p>
      <w:pPr>
        <w:pStyle w:val="DocumentNote"/>
        <w:widowControl/>
      </w:pPr>
      <w:r>
        <w:t>Effective and last updated: September 13, 2026</w:t>
      </w:r>
    </w:p>
    <w:p>
      <w:pPr>
        <w:pStyle w:val="Heading2"/>
        <w:widowControl/>
      </w:pPr>
      <w:r>
        <w:t>1. Covered tools</w:t>
      </w:r>
    </w:p>
    <w:p>
      <w:pPr>
        <w:widowControl/>
      </w:pPr>
      <w:r>
        <w:t>The Media Suite may include an audio and video-to-audio converter, clipper, silence trimmer, audio normalizer, loudness and quality checker, metadata editor, waveform image generator, artwork resizer and platform artwork pack, audiogram generator, art-track generator, lyric-video generator, thumbnail tools, presets, and related browser utilities.</w:t>
      </w:r>
    </w:p>
    <w:p>
      <w:pPr>
        <w:pStyle w:val="Heading2"/>
        <w:widowControl/>
      </w:pPr>
      <w:r>
        <w:t>2. Local-first design</w:t>
      </w:r>
    </w:p>
    <w:p>
      <w:pPr>
        <w:widowControl/>
      </w:pPr>
      <w:r>
        <w:t>Where practical, Media Suite tools should process selected files locally in the browser. Local-first processing reduces unnecessary upload of source media and can improve privacy. A tool that sends a source file to a server, cloud renderer, AI provider, storage bucket, or another third party must disclose that fact before the transfer occurs.</w:t>
      </w:r>
    </w:p>
    <w:p>
      <w:pPr>
        <w:pStyle w:val="Heading2"/>
        <w:widowControl/>
      </w:pPr>
      <w:r>
        <w:t>3. Rights to source material</w:t>
      </w:r>
    </w:p>
    <w:p>
      <w:pPr>
        <w:widowControl/>
      </w:pPr>
      <w:r>
        <w:t>Users may process only files and content they own, have permission to use, or are otherwise legally entitled to process. The fact that a file can be selected from a device does not prove ownership or permission.</w:t>
      </w:r>
    </w:p>
    <w:p>
      <w:pPr>
        <w:pStyle w:val="Heading2"/>
        <w:widowControl/>
      </w:pPr>
      <w:r>
        <w:t>4. No DRM or stream circumvention</w:t>
      </w:r>
    </w:p>
    <w:p>
      <w:pPr>
        <w:widowControl/>
      </w:pPr>
      <w:r>
        <w:t>The Media Suite is not a service for ripping protected streams, defeating digital rights management, bypassing paywalls or access controls, or extracting copyrighted media from services where the user lacks authorization. Features should not be marketed as tools for circumventing access restrictions.</w:t>
      </w:r>
    </w:p>
    <w:p>
      <w:pPr>
        <w:pStyle w:val="Heading2"/>
        <w:widowControl/>
      </w:pPr>
      <w:r>
        <w:t>5. Art-track generator</w:t>
      </w:r>
    </w:p>
    <w:p>
      <w:pPr>
        <w:widowControl/>
      </w:pPr>
      <w:r>
        <w:t>The art-track generator can combine user-supplied audio, artwork, metadata, text, and visual layout into a rendered video or project. The user is responsible for rights to the recording, composition, artwork, logos, photographs, fonts, and metadata. Generating an art-track file does not create YouTube Music, Content ID, distributor, DDEX, Apple, Spotify, or other platform approval.</w:t>
      </w:r>
    </w:p>
    <w:p>
      <w:pPr>
        <w:pStyle w:val="Heading2"/>
        <w:widowControl/>
      </w:pPr>
      <w:r>
        <w:t>6. Audiogram generator</w:t>
      </w:r>
    </w:p>
    <w:p>
      <w:pPr>
        <w:widowControl/>
      </w:pPr>
      <w:r>
        <w:t>The audiogram generator can combine audio with waveform or progress visuals, artwork, captions, text, and branding. Any captions or transcripts generated or entered by the user should be reviewed for accuracy before publication. The tool does not guarantee platform-specific safe zones, advertising approval, caption certification, or legal accessibility by itself.</w:t>
      </w:r>
    </w:p>
    <w:p>
      <w:pPr>
        <w:pStyle w:val="Heading2"/>
        <w:widowControl/>
      </w:pPr>
      <w:r>
        <w:t>7. Clipper and silence trimmer</w:t>
      </w:r>
    </w:p>
    <w:p>
      <w:pPr>
        <w:widowControl/>
      </w:pPr>
      <w:r>
        <w:t>Clipping and trimming can permanently change duration, fades, transients, metadata, timing, or synchronization in exported copies. The interface should show selected start/end values in text, allow precise keyboard-accessible entry, and warn before replacing a file if replacement is ever supported. Original source files should remain untouched by default.</w:t>
      </w:r>
    </w:p>
    <w:p>
      <w:pPr>
        <w:pStyle w:val="Heading2"/>
        <w:widowControl/>
      </w:pPr>
      <w:r>
        <w:t>8. Loudness and normalization</w:t>
      </w:r>
    </w:p>
    <w:p>
      <w:pPr>
        <w:widowControl/>
      </w:pPr>
      <w:r>
        <w:t>Loudness analysis and normalization are technical tools, not mastering guarantees. Integrated LUFS, true peak, sample peak, dynamic range, and platform presets can help users prepare media, but different platforms can transcode, normalize, reject, or alter playback independently. Presets should be described as targets or workflows, not guarantees that a distributor or DSP will accept a file.</w:t>
      </w:r>
    </w:p>
    <w:p>
      <w:pPr>
        <w:pStyle w:val="Heading2"/>
        <w:widowControl/>
      </w:pPr>
      <w:r>
        <w:t>9. High-resolution and professional presets</w:t>
      </w:r>
    </w:p>
    <w:p>
      <w:pPr>
        <w:widowControl/>
      </w:pPr>
      <w:r>
        <w:t>A high sample rate or bit depth does not restore information absent from the source. Upsampling a low-quality source does not create a genuine high-resolution master. The site should avoid representing ordinary transcoding as Apple Digital Masters certification, distributor certification, or mastering by an approved mastering house unless that status is actually held.</w:t>
      </w:r>
    </w:p>
    <w:p>
      <w:pPr>
        <w:pStyle w:val="Heading2"/>
        <w:widowControl/>
      </w:pPr>
      <w:r>
        <w:t>10. Metadata editor</w:t>
      </w:r>
    </w:p>
    <w:p>
      <w:pPr>
        <w:widowControl/>
      </w:pPr>
      <w:r>
        <w:t>Metadata tools can modify tags such as title, artist, album, track number, artwork, comments, or standard identifiers supported by the output format. Users must verify metadata before distribution. Editing an ISRC, UPC, copyright notice, composer field, or ownership field does not create a legal right or identifier assignment that the user does not have.</w:t>
      </w:r>
    </w:p>
    <w:p>
      <w:pPr>
        <w:pStyle w:val="Heading2"/>
        <w:widowControl/>
      </w:pPr>
      <w:r>
        <w:t>11. Artwork tools</w:t>
      </w:r>
    </w:p>
    <w:p>
      <w:pPr>
        <w:widowControl/>
      </w:pPr>
      <w:r>
        <w:t>Artwork resizing and platform presets are convenience tools. Platform requirements can change. Users should verify current distributor or platform specifications before final delivery. Upscaling does not guarantee improved visual quality, and automated crops can remove important content.</w:t>
      </w:r>
    </w:p>
    <w:p>
      <w:pPr>
        <w:pStyle w:val="Heading2"/>
        <w:widowControl/>
      </w:pPr>
      <w:r>
        <w:t>12. Lyric video tools</w:t>
      </w:r>
    </w:p>
    <w:p>
      <w:pPr>
        <w:widowControl/>
      </w:pPr>
      <w:r>
        <w:t>Users are responsible for rights to lyrics, compositions, recordings, images, and video elements. Timecoded lyrics should be reviewed manually. A lyric video can require both sound-recording and composition permissions depending on use and territory.</w:t>
      </w:r>
    </w:p>
    <w:p>
      <w:pPr>
        <w:pStyle w:val="Heading2"/>
        <w:widowControl/>
      </w:pPr>
      <w:r>
        <w:t>13. Accessibility requirements for generated media tools</w:t>
      </w:r>
    </w:p>
    <w:p>
      <w:pPr>
        <w:widowControl/>
      </w:pPr>
      <w:r>
        <w:t>Every Media Suite control must be operable without dragging as the sole method. Timeline, crop, and trim values should have labeled numeric or text controls; keyboard actions should be documented; preview-only visual information must have a text equivalent; progress and completion states should be announced to assistive technology; and validation errors should be programmatically associated with the affected controls.</w:t>
      </w:r>
    </w:p>
    <w:p>
      <w:pPr>
        <w:widowControl/>
      </w:pPr>
      <w:r>
        <w:t>Waveforms, meters, colors, and graphs must not be the only way to communicate loudness, clipping, timing, selected ranges, or errors. The interface should expose values as readable text. Canvas-based editors require an accessible control model outside the canvas.</w:t>
      </w:r>
    </w:p>
    <w:p>
      <w:pPr>
        <w:pStyle w:val="Heading2"/>
        <w:widowControl/>
      </w:pPr>
      <w:r>
        <w:t>14. Browser resources and performance</w:t>
      </w:r>
    </w:p>
    <w:p>
      <w:pPr>
        <w:widowControl/>
      </w:pPr>
      <w:r>
        <w:t>Large media operations can consume substantial memory, CPU, battery, and storage. A browser may crash, suspend a tab, terminate a WebAssembly process, or fail to complete a render. The service does not guarantee successful processing of every file or device. File-size and duration guidance should be shown before expensive processing where practical.</w:t>
      </w:r>
    </w:p>
    <w:p>
      <w:pPr>
        <w:pStyle w:val="Heading2"/>
        <w:widowControl/>
      </w:pPr>
      <w:r>
        <w:t>15. Quality and compatibility</w:t>
      </w:r>
    </w:p>
    <w:p>
      <w:pPr>
        <w:widowControl/>
      </w:pPr>
      <w:r>
        <w:t>Output quality depends on the source, codec, settings, browser, library versions, and export format. Lossy transcoding can reduce quality. Some metadata or codecs are not supported in every container or browser. Users should retain original files and test exports before replacing production masters.</w:t>
      </w:r>
    </w:p>
    <w:p>
      <w:pPr>
        <w:pStyle w:val="Heading2"/>
        <w:widowControl/>
      </w:pPr>
      <w:r>
        <w:t>16. Temporary files</w:t>
      </w:r>
    </w:p>
    <w:p>
      <w:pPr>
        <w:widowControl/>
      </w:pPr>
      <w:r>
        <w:t>Browser-generated temporary files, object URLs, and caches should be released when reasonably possible after processing or navigation. If server-side temporary files are introduced, they should use a documented automatic-deletion period and access controls, with the privacy notice updated before launch.</w:t>
      </w:r>
    </w:p>
    <w:p>
      <w:pPr>
        <w:pStyle w:val="Heading2"/>
        <w:widowControl/>
      </w:pPr>
      <w:r>
        <w:t>17. Third-party software and open-source licenses</w:t>
      </w:r>
    </w:p>
    <w:p>
      <w:pPr>
        <w:widowControl/>
      </w:pPr>
      <w:r>
        <w:t>The Media Suite may use open-source or third-party software such as FFmpeg-derived WebAssembly, codecs, parsers, rendering libraries, or content-delivery services. The operator must preserve copyright notices, provide license information, and meet source-offer, relinking, attribution, or distribution requirements applicable to the exact build and license configuration used.</w:t>
      </w:r>
    </w:p>
    <w:p>
      <w:pPr>
        <w:widowControl/>
      </w:pPr>
      <w:r>
        <w:t>The site must not assume that every FFmpeg build is subject to the same license. The actual compilation flags and included libraries determine obligations and must be audited before production distribution.</w:t>
      </w:r>
    </w:p>
    <w:p>
      <w:pPr>
        <w:pStyle w:val="Heading2"/>
        <w:widowControl/>
      </w:pPr>
      <w:r>
        <w:t>18. No platform affiliation</w:t>
      </w:r>
    </w:p>
    <w:p>
      <w:pPr>
        <w:widowControl/>
      </w:pPr>
      <w:r>
        <w:t>Unless expressly stated, presets or names referring to a streaming platform, distributor, social network, or file standard describe compatibility targets only. They do not imply sponsorship, certification, endorsement, partnership, preferred-vendor status, or guaranteed acceptance by the named organization.</w:t>
      </w:r>
    </w:p>
    <w:p>
      <w:pPr>
        <w:pStyle w:val="Heading2"/>
        <w:widowControl/>
      </w:pPr>
      <w:r>
        <w:t>19. User responsibility and backups</w:t>
      </w:r>
    </w:p>
    <w:p>
      <w:pPr>
        <w:widowControl/>
      </w:pPr>
      <w:r>
        <w:t>Users should retain originals and independent backups. The operator is not responsible for a user's decision to delete source media after creating an export. Any replacement or destructive workflow should use an explicit confirmation step.</w:t>
      </w:r>
    </w:p>
    <w:p>
      <w:pPr>
        <w:pStyle w:val="Heading2"/>
        <w:widowControl/>
      </w:pPr>
      <w:r>
        <w:t>20. Abuse controls</w:t>
      </w:r>
    </w:p>
    <w:p>
      <w:pPr>
        <w:widowControl/>
      </w:pPr>
      <w:r>
        <w:t>The service may impose reasonable file-size, duration, concurrency, rate, browser-resource, or feature limits to maintain availability and prevent abuse. Circumventing limits through automated requests or account manipulation is prohibited.</w:t>
      </w:r>
    </w:p>
    <w:p>
      <w:pPr>
        <w:widowControl/>
      </w:pPr>
      <w:r>
        <w:br w:type="page"/>
      </w:r>
    </w:p>
    <w:p>
      <w:pPr>
        <w:pStyle w:val="Heading1"/>
        <w:widowControl/>
      </w:pPr>
      <w:r>
        <w:t>Part XI - Label Portal Supplemental Terms</w:t>
      </w:r>
    </w:p>
    <w:p>
      <w:pPr>
        <w:widowControl/>
      </w:pPr>
      <w:r>
        <w:t>PRIVATE / AUTHENTICATED PORTAL DRAFT</w:t>
      </w:r>
    </w:p>
    <w:p>
      <w:pPr>
        <w:pStyle w:val="DocumentNote"/>
        <w:widowControl/>
      </w:pPr>
      <w:r>
        <w:t>Effective and last updated: September 13, 2026</w:t>
      </w:r>
    </w:p>
    <w:p>
      <w:pPr>
        <w:pStyle w:val="Heading2"/>
        <w:widowControl/>
      </w:pPr>
      <w:r>
        <w:t>1. Relationship to the public Terms</w:t>
      </w:r>
    </w:p>
    <w:p>
      <w:pPr>
        <w:widowControl/>
      </w:pPr>
      <w:r>
        <w:t>These Supplemental Terms apply to invitation-only label-portal access. They supplement the public Website Terms. If an executed artist, distribution, services, licensing, employment, contractor, or other agreement expressly conflicts with these portal terms, the executed agreement controls for the subject it governs.</w:t>
      </w:r>
    </w:p>
    <w:p>
      <w:pPr>
        <w:pStyle w:val="Heading2"/>
        <w:widowControl/>
      </w:pPr>
      <w:r>
        <w:t>2. Invitation-only access</w:t>
      </w:r>
    </w:p>
    <w:p>
      <w:pPr>
        <w:widowControl/>
      </w:pPr>
      <w:r>
        <w:t>Portal access is personal to the invited or authorized user and does not create a record, distribution, management, employment, partnership, fiduciary, or agency relationship by itself. Access can be granted, limited, suspended, or removed according to role, security needs, relationship status, or contract.</w:t>
      </w:r>
    </w:p>
    <w:p>
      <w:pPr>
        <w:pStyle w:val="Heading2"/>
        <w:widowControl/>
      </w:pPr>
      <w:r>
        <w:t>3. Authorized users and roles</w:t>
      </w:r>
    </w:p>
    <w:p>
      <w:pPr>
        <w:widowControl/>
      </w:pPr>
      <w:r>
        <w:t>Roles can include owner, administrator, artist/client, staff, collaborator, reviewer, accounting access, or another configured permission level. A user may access only information and actions permitted for that role. Attempting to bypass role restrictions or view another client's private information is prohibited.</w:t>
      </w:r>
    </w:p>
    <w:p>
      <w:pPr>
        <w:pStyle w:val="Heading2"/>
        <w:widowControl/>
      </w:pPr>
      <w:r>
        <w:t>4. Account security</w:t>
      </w:r>
    </w:p>
    <w:p>
      <w:pPr>
        <w:widowControl/>
      </w:pPr>
      <w:r>
        <w:t>Portal users must protect credentials, use multifactor authentication when required, and promptly report suspected compromise. Shared credentials should not be used when individual accounts are available. The operator may terminate sessions, reset access, or require re-verification after a security event.</w:t>
      </w:r>
    </w:p>
    <w:p>
      <w:pPr>
        <w:pStyle w:val="Heading2"/>
        <w:widowControl/>
      </w:pPr>
      <w:r>
        <w:t>5. Statements and financial information</w:t>
      </w:r>
    </w:p>
    <w:p>
      <w:pPr>
        <w:widowControl/>
      </w:pPr>
      <w:r>
        <w:t>Royalty, earnings, recoupment, expense, payout, or accounting information displayed in the portal is informational unless an executed agreement states otherwise. A dashboard balance is not necessarily a bank balance, immediately payable amount, tax statement, or final accounting. Adjustments can occur because of distributor corrections, returns, fraud adjustments, chargebacks, exchange rates, taxes, fees, contract terms, recoupment, or data received after an earlier statement.</w:t>
      </w:r>
    </w:p>
    <w:p>
      <w:pPr>
        <w:pStyle w:val="Heading2"/>
        <w:widowControl/>
      </w:pPr>
      <w:r>
        <w:t>6. Contracts and documents</w:t>
      </w:r>
    </w:p>
    <w:p>
      <w:pPr>
        <w:widowControl/>
      </w:pPr>
      <w:r>
        <w:t>The portal may display agreements, drafts, notices, statements, invoices, release information, and other documents. Merely viewing, downloading, marking "reviewed," or acknowledging receipt does not create an electronic signature unless the interface expressly identifies a legally intended signature process and the parties have agreed to use it.</w:t>
      </w:r>
    </w:p>
    <w:p>
      <w:pPr>
        <w:widowControl/>
      </w:pPr>
      <w:r>
        <w:t>If an electronic-signature flow is later enabled, the service should preserve consent to electronic records, signer identity evidence, timestamps, the exact executed document, audit data, and a downloadable copy.</w:t>
      </w:r>
    </w:p>
    <w:p>
      <w:pPr>
        <w:pStyle w:val="Heading2"/>
        <w:widowControl/>
      </w:pPr>
      <w:r>
        <w:t>7. Messages</w:t>
      </w:r>
    </w:p>
    <w:p>
      <w:pPr>
        <w:widowControl/>
      </w:pPr>
      <w:r>
        <w:t>Portal messaging is for authorized business communication. Users must not place passwords, complete payment credentials, unnecessary medical data, or unrelated highly sensitive information in messages. Messages can be retained as business records and may be reviewed by authorized administrators.</w:t>
      </w:r>
    </w:p>
    <w:p>
      <w:pPr>
        <w:pStyle w:val="Heading2"/>
        <w:widowControl/>
      </w:pPr>
      <w:r>
        <w:t>8. Tasks, announcements, and project information</w:t>
      </w:r>
    </w:p>
    <w:p>
      <w:pPr>
        <w:widowControl/>
      </w:pPr>
      <w:r>
        <w:t>Tasks, announcements, deadlines, notes, and status indicators are workflow tools. Unless an executed agreement makes a specific portal entry legally binding, a workflow status does not independently amend a contract or waive a legal right.</w:t>
      </w:r>
    </w:p>
    <w:p>
      <w:pPr>
        <w:pStyle w:val="Heading2"/>
        <w:widowControl/>
      </w:pPr>
      <w:r>
        <w:t>9. Confidentiality</w:t>
      </w:r>
    </w:p>
    <w:p>
      <w:pPr>
        <w:widowControl/>
      </w:pPr>
      <w:r>
        <w:t>Portal information should be treated as nonpublic unless it is already public or the user has permission to disclose it. Users must not publish another client's contracts, unreleased music, royalty data, private messages, personal information, access links, or internal business records without authorization.</w:t>
      </w:r>
    </w:p>
    <w:p>
      <w:pPr>
        <w:widowControl/>
      </w:pPr>
      <w:r>
        <w:t>Confidentiality obligations in an executed agreement remain controlling and can be broader than these portal rules.</w:t>
      </w:r>
    </w:p>
    <w:p>
      <w:pPr>
        <w:pStyle w:val="Heading2"/>
        <w:widowControl/>
      </w:pPr>
      <w:r>
        <w:t>10. Uploads and ownership</w:t>
      </w:r>
    </w:p>
    <w:p>
      <w:pPr>
        <w:widowControl/>
      </w:pPr>
      <w:r>
        <w:t>A portal user represents that they are authorized to upload the material they provide. Uploading does not transfer ownership except as stated in a separate agreement. The operator receives the limited technical permissions necessary to store, review, route, reproduce for authorized business use, back up, secure, and process files within the relationship.</w:t>
      </w:r>
    </w:p>
    <w:p>
      <w:pPr>
        <w:pStyle w:val="Heading2"/>
        <w:widowControl/>
      </w:pPr>
      <w:r>
        <w:t>11. Electronic delivery</w:t>
      </w:r>
    </w:p>
    <w:p>
      <w:pPr>
        <w:widowControl/>
      </w:pPr>
      <w:r>
        <w:t>Users consent to receive portal notices and documents electronically to the extent permitted by law and any governing contract. Important legal notices may also be sent by email or another method required by the applicable agreement or law.</w:t>
      </w:r>
    </w:p>
    <w:p>
      <w:pPr>
        <w:pStyle w:val="Heading2"/>
        <w:widowControl/>
      </w:pPr>
      <w:r>
        <w:t>12. Availability and maintenance</w:t>
      </w:r>
    </w:p>
    <w:p>
      <w:pPr>
        <w:widowControl/>
      </w:pPr>
      <w:r>
        <w:t>Portal availability is not guaranteed at all times. Maintenance, provider outages, security events, upgrades, or force majeure can interrupt access. Users should download records they are contractually entitled to keep rather than relying on perpetual portal availability.</w:t>
      </w:r>
    </w:p>
    <w:p>
      <w:pPr>
        <w:pStyle w:val="Heading2"/>
        <w:widowControl/>
      </w:pPr>
      <w:r>
        <w:t>13. Relationship termination</w:t>
      </w:r>
    </w:p>
    <w:p>
      <w:pPr>
        <w:widowControl/>
      </w:pPr>
      <w:r>
        <w:t>When a relationship ends, access may be restricted or removed. The operator may preserve contracts, accounting records, statements, communications, audit logs, tax records, royalty data, rights information, legal holds, and other records that must remain available for lawful business purposes.</w:t>
      </w:r>
    </w:p>
    <w:p>
      <w:pPr>
        <w:widowControl/>
      </w:pPr>
      <w:r>
        <w:t>Where appropriate, a user should be given a reasonable way to obtain documents they are legally or contractually entitled to receive.</w:t>
      </w:r>
    </w:p>
    <w:p>
      <w:pPr>
        <w:pStyle w:val="Heading2"/>
        <w:widowControl/>
      </w:pPr>
      <w:r>
        <w:t>14. No authority to bind the label</w:t>
      </w:r>
    </w:p>
    <w:p>
      <w:pPr>
        <w:widowControl/>
      </w:pPr>
      <w:r>
        <w:t>Unless expressly authorized in writing, a portal user cannot bind Blindbandit Records, sign for another person, incur liabilities on behalf of the label, license another client's rights, or make public statements as an official representative.</w:t>
      </w:r>
    </w:p>
    <w:p>
      <w:pPr>
        <w:pStyle w:val="Heading2"/>
        <w:widowControl/>
      </w:pPr>
      <w:r>
        <w:t>15. Audit and security logs</w:t>
      </w:r>
    </w:p>
    <w:p>
      <w:pPr>
        <w:widowControl/>
      </w:pPr>
      <w:r>
        <w:t>The portal may maintain logs of sign-ins, access, downloads, document views, administrative changes, security events, consent, and significant actions. Logs should be access-controlled and retained according to the internal schedule and legal needs.</w:t>
      </w:r>
    </w:p>
    <w:p>
      <w:pPr>
        <w:pStyle w:val="Heading2"/>
        <w:widowControl/>
      </w:pPr>
      <w:r>
        <w:t>16. Contact</w:t>
      </w:r>
    </w:p>
    <w:p>
      <w:pPr>
        <w:widowControl/>
      </w:pPr>
      <w:r>
        <w:t>Portal support: support@mrblindbandit.net. Privacy: privacy@mrblindbandit.net. Security: security@mrblindbandit.net. Legal: legal@mrblindbandit.net.</w:t>
      </w:r>
    </w:p>
    <w:p>
      <w:pPr>
        <w:widowControl/>
      </w:pPr>
      <w:r>
        <w:br w:type="page"/>
      </w:r>
    </w:p>
    <w:p>
      <w:pPr>
        <w:pStyle w:val="Heading1"/>
        <w:widowControl/>
      </w:pPr>
      <w:r>
        <w:t>Part XII - Label Portal Privacy Notice</w:t>
      </w:r>
    </w:p>
    <w:p>
      <w:pPr>
        <w:widowControl/>
      </w:pPr>
      <w:r>
        <w:t>PRIVATE / AUTHENTICATED PORTAL DRAFT</w:t>
      </w:r>
    </w:p>
    <w:p>
      <w:pPr>
        <w:pStyle w:val="DocumentNote"/>
        <w:widowControl/>
      </w:pPr>
      <w:r>
        <w:t>Effective and last updated: September 13, 2026</w:t>
      </w:r>
    </w:p>
    <w:p>
      <w:pPr>
        <w:pStyle w:val="Heading2"/>
        <w:widowControl/>
      </w:pPr>
      <w:r>
        <w:t>1. Scope</w:t>
      </w:r>
    </w:p>
    <w:p>
      <w:pPr>
        <w:widowControl/>
      </w:pPr>
      <w:r>
        <w:t>This notice supplements the public Privacy Policy for invited users of the Blindbandit Records label portal. It covers additional information needed to administer label, artist, contractor, collaborator, accounting, document, communication, and project relationships.</w:t>
      </w:r>
    </w:p>
    <w:p>
      <w:pPr>
        <w:pStyle w:val="Heading2"/>
        <w:widowControl/>
      </w:pPr>
      <w:r>
        <w:t>2. Additional categories of information</w:t>
      </w:r>
    </w:p>
    <w:p>
      <w:pPr>
        <w:widowControl/>
      </w:pPr>
      <w:r>
        <w:t>Depending on role and relationship, the portal may process legal names, artist names, contact details, account identifiers, role and permission data, contract documents, signatures where an e-signature process is used, release and catalog metadata, ISRC and UPC information, ownership or split information, royalty statements, earnings data, recoupment and expense information, payout status, tax or payment administration records, invoices, business addresses, project files, private messages, tasks, announcements, support records, document-view logs, sign-in events, device/security data, and audit records.</w:t>
      </w:r>
    </w:p>
    <w:p>
      <w:pPr>
        <w:widowControl/>
      </w:pPr>
      <w:r>
        <w:t>The portal should not collect complete banking credentials, government identifiers, tax identifiers, or other high-risk data unless the business purpose requires them and a secure collection path has been specifically designed for that purpose.</w:t>
      </w:r>
    </w:p>
    <w:p>
      <w:pPr>
        <w:pStyle w:val="Heading2"/>
        <w:widowControl/>
      </w:pPr>
      <w:r>
        <w:t>3. Purposes</w:t>
      </w:r>
    </w:p>
    <w:p>
      <w:pPr>
        <w:widowControl/>
      </w:pPr>
      <w:r>
        <w:t>Portal information can be used to authenticate users, apply permissions, administer agreements, provide statements and documents, communicate about releases and projects, track tasks, maintain catalog and rights data, process or document payments, provide support, investigate disputes, prevent fraud and unauthorized access, comply with accounting or tax obligations, preserve evidence, and maintain business records.</w:t>
      </w:r>
    </w:p>
    <w:p>
      <w:pPr>
        <w:pStyle w:val="Heading2"/>
        <w:widowControl/>
      </w:pPr>
      <w:r>
        <w:t>4. Legal grounds</w:t>
      </w:r>
    </w:p>
    <w:p>
      <w:pPr>
        <w:widowControl/>
      </w:pPr>
      <w:r>
        <w:t>Processing can be necessary to perform or administer an agreement, take requested steps before a contract, comply with legal obligations, protect legitimate operational and security interests, establish or defend claims, or act on consent where consent is the appropriate basis. A particular legal basis depends on the record and applicable jurisdiction.</w:t>
      </w:r>
    </w:p>
    <w:p>
      <w:pPr>
        <w:pStyle w:val="Heading2"/>
        <w:widowControl/>
      </w:pPr>
      <w:r>
        <w:t>5. Access controls</w:t>
      </w:r>
    </w:p>
    <w:p>
      <w:pPr>
        <w:widowControl/>
      </w:pPr>
      <w:r>
        <w:t>Portal data is not public by default. Access should be limited according to assigned role and business need. Administrators should periodically review privileged permissions and remove access that is no longer required.</w:t>
      </w:r>
    </w:p>
    <w:p>
      <w:pPr>
        <w:pStyle w:val="Heading2"/>
        <w:widowControl/>
      </w:pPr>
      <w:r>
        <w:t>6. Providers</w:t>
      </w:r>
    </w:p>
    <w:p>
      <w:pPr>
        <w:widowControl/>
      </w:pPr>
      <w:r>
        <w:t>Configured authentication, hosting, database, storage, email, payment, accounting, e-signature, analytics, security, or distribution providers may receive information necessary to perform their function. A vendor should not receive private portal data merely because a public-page integration exists elsewhere on the site.</w:t>
      </w:r>
    </w:p>
    <w:p>
      <w:pPr>
        <w:pStyle w:val="Heading2"/>
        <w:widowControl/>
      </w:pPr>
      <w:r>
        <w:t>7. Advertising isolation</w:t>
      </w:r>
    </w:p>
    <w:p>
      <w:pPr>
        <w:widowControl/>
      </w:pPr>
      <w:r>
        <w:t>AdSense and ordinary public advertising should not be loaded into the private label portal. Portal records, contracts, messages, statements, uploads, and private client data must not be intentionally used as Google AdSense targeting inputs by the website.</w:t>
      </w:r>
    </w:p>
    <w:p>
      <w:pPr>
        <w:pStyle w:val="Heading2"/>
        <w:widowControl/>
      </w:pPr>
      <w:r>
        <w:t>8. Retention</w:t>
      </w:r>
    </w:p>
    <w:p>
      <w:pPr>
        <w:widowControl/>
      </w:pPr>
      <w:r>
        <w:t>Contracts, royalty and accounting records, tax-related records, rights documentation, payment history, dispute records, and legal holds can require longer retention than ordinary public-site data. Access to retained records should be limited even after the user loses portal access.</w:t>
      </w:r>
    </w:p>
    <w:p>
      <w:pPr>
        <w:widowControl/>
      </w:pPr>
      <w:r>
        <w:t>The internal retention schedule in Part XIX sets implementation targets and should be reconciled with contract, tax, accounting, limitation-period, and distributor obligations before automated deletion is enabled.</w:t>
      </w:r>
    </w:p>
    <w:p>
      <w:pPr>
        <w:pStyle w:val="Heading2"/>
        <w:widowControl/>
      </w:pPr>
      <w:r>
        <w:t>9. Rights requests</w:t>
      </w:r>
    </w:p>
    <w:p>
      <w:pPr>
        <w:widowControl/>
      </w:pPr>
      <w:r>
        <w:t>Portal users may exercise applicable privacy rights through privacy@mrblindbandit.net. A request to delete information does not automatically override a lawful need to retain contracts, accounting history, royalty records, tax records, payment evidence, rights documentation, fraud evidence, or legal claims.</w:t>
      </w:r>
    </w:p>
    <w:p>
      <w:pPr>
        <w:pStyle w:val="Heading2"/>
        <w:widowControl/>
      </w:pPr>
      <w:r>
        <w:t>10. Security</w:t>
      </w:r>
    </w:p>
    <w:p>
      <w:pPr>
        <w:widowControl/>
      </w:pPr>
      <w:r>
        <w:t>Privileged portal access should use multifactor authentication, secure sessions, least-privilege permissions, server-side authorization checks, logging, rate limits, secure secrets, backup controls, and periodic access review. Front-end hiding alone must never be treated as authorization.</w:t>
      </w:r>
    </w:p>
    <w:p>
      <w:pPr>
        <w:pStyle w:val="Heading2"/>
        <w:widowControl/>
      </w:pPr>
      <w:r>
        <w:t>11. Security incidents</w:t>
      </w:r>
    </w:p>
    <w:p>
      <w:pPr>
        <w:widowControl/>
      </w:pPr>
      <w:r>
        <w:t>Suspected compromise of a portal account, unauthorized document access, disclosure of royalty data, or loss of sensitive records should be reported immediately to security@mrblindbandit.net and handled through the incident procedure in Part XX.</w:t>
      </w:r>
    </w:p>
    <w:p>
      <w:pPr>
        <w:pStyle w:val="Heading2"/>
        <w:widowControl/>
      </w:pPr>
      <w:r>
        <w:t>12. International processing</w:t>
      </w:r>
    </w:p>
    <w:p>
      <w:pPr>
        <w:widowControl/>
      </w:pPr>
      <w:r>
        <w:t>Portal providers may process records in multiple countries. Required safeguards should be mapped to the actual vendor arrangements rather than asserted generically.</w:t>
      </w:r>
    </w:p>
    <w:p>
      <w:pPr>
        <w:pStyle w:val="Heading2"/>
        <w:widowControl/>
      </w:pPr>
      <w:r>
        <w:t>13. Contact</w:t>
      </w:r>
    </w:p>
    <w:p>
      <w:pPr>
        <w:widowControl/>
      </w:pPr>
      <w:r>
        <w:t>Data Protection Officer / Privacy Officer: Kaeleb Savon Heck. Privacy: privacy@mrblindbandit.net. Security: security@mrblindbandit.net. Legal: legal@mrblindbandit.net.</w:t>
      </w:r>
    </w:p>
    <w:p>
      <w:pPr>
        <w:widowControl/>
      </w:pPr>
      <w:r>
        <w:br w:type="page"/>
      </w:r>
    </w:p>
    <w:p>
      <w:pPr>
        <w:pStyle w:val="Heading1"/>
        <w:widowControl/>
      </w:pPr>
      <w:r>
        <w:t>Part XIII - Advertising, Sponsorship, Affiliate, and Endorsement Disclosure</w:t>
      </w:r>
    </w:p>
    <w:p>
      <w:pPr>
        <w:pStyle w:val="DocumentNote"/>
        <w:widowControl/>
      </w:pPr>
      <w:r>
        <w:t>PUBLIC WEBSITE DRAFT</w:t>
      </w:r>
    </w:p>
    <w:p>
      <w:pPr>
        <w:pStyle w:val="DocumentNote"/>
        <w:widowControl/>
      </w:pPr>
      <w:r>
        <w:t>Effective and last updated: September 13, 2026</w:t>
      </w:r>
    </w:p>
    <w:p>
      <w:pPr>
        <w:pStyle w:val="Heading2"/>
        <w:widowControl/>
      </w:pPr>
      <w:r>
        <w:t>1. Advertising</w:t>
      </w:r>
    </w:p>
    <w:p>
      <w:pPr>
        <w:widowControl/>
      </w:pPr>
      <w:r>
        <w:t>Eligible public pages may contain advertising, including Google AdSense. Advertising helps support the website. Advertisements do not necessarily reflect the views, recommendations, or endorsement of Mr. Blindbandit or Blindbandit Records.</w:t>
      </w:r>
    </w:p>
    <w:p>
      <w:pPr>
        <w:pStyle w:val="Heading2"/>
        <w:widowControl/>
      </w:pPr>
      <w:r>
        <w:t>2. Separation from editorial content</w:t>
      </w:r>
    </w:p>
    <w:p>
      <w:pPr>
        <w:widowControl/>
      </w:pPr>
      <w:r>
        <w:t>Paid advertising should be visually and programmatically distinguishable from editorial content to the extent practical. The operator should not intentionally disguise an advertisement as an independent news article, user message, system notification, or ordinary editorial recommendation.</w:t>
      </w:r>
    </w:p>
    <w:p>
      <w:pPr>
        <w:pStyle w:val="Heading2"/>
        <w:widowControl/>
      </w:pPr>
      <w:r>
        <w:t>3. Sponsored content</w:t>
      </w:r>
    </w:p>
    <w:p>
      <w:pPr>
        <w:widowControl/>
      </w:pPr>
      <w:r>
        <w:t>If money, free products, services, travel, access, discounts, or another material benefit influences a published endorsement or recommendation, the connection should be disclosed clearly and conspicuously with the content itself. A general disclosure page does not replace a disclosure that belongs next to the endorsement.</w:t>
      </w:r>
    </w:p>
    <w:p>
      <w:pPr>
        <w:pStyle w:val="Heading2"/>
        <w:widowControl/>
      </w:pPr>
      <w:r>
        <w:t>4. Affiliate links</w:t>
      </w:r>
    </w:p>
    <w:p>
      <w:pPr>
        <w:widowControl/>
      </w:pPr>
      <w:r>
        <w:t>A page containing affiliate links should disclose that the operator may receive a commission or other benefit if a user completes an eligible transaction. The disclosure should appear where a reasonable user will encounter it before or near the commercial recommendation.</w:t>
      </w:r>
    </w:p>
    <w:p>
      <w:pPr>
        <w:pStyle w:val="Heading2"/>
        <w:widowControl/>
      </w:pPr>
      <w:r>
        <w:t>5. Gifts and review copies</w:t>
      </w:r>
    </w:p>
    <w:p>
      <w:pPr>
        <w:widowControl/>
      </w:pPr>
      <w:r>
        <w:t>Receiving a free product, service, ticket, accommodation, access, or other thing of value should be disclosed when the relationship could affect how a reasonable audience evaluates the endorsement.</w:t>
      </w:r>
    </w:p>
    <w:p>
      <w:pPr>
        <w:pStyle w:val="Heading2"/>
        <w:widowControl/>
      </w:pPr>
      <w:r>
        <w:t>6. Honest opinions</w:t>
      </w:r>
    </w:p>
    <w:p>
      <w:pPr>
        <w:widowControl/>
      </w:pPr>
      <w:r>
        <w:t>Compensation does not authorize a false claim. Endorsements should reflect the speaker's actual experience and should not communicate an objective product claim that lacks a reasonable basis.</w:t>
      </w:r>
    </w:p>
    <w:p>
      <w:pPr>
        <w:pStyle w:val="Heading2"/>
        <w:widowControl/>
      </w:pPr>
      <w:r>
        <w:t>7. Advertising privacy</w:t>
      </w:r>
    </w:p>
    <w:p>
      <w:pPr>
        <w:widowControl/>
      </w:pPr>
      <w:r>
        <w:t>Data practices associated with advertising are described in the Privacy Policy and Cookie and Storage Notice. Consent mechanisms must control optional advertising processing where required by law or Google publisher requirements.</w:t>
      </w:r>
    </w:p>
    <w:p>
      <w:pPr>
        <w:pStyle w:val="Heading2"/>
        <w:widowControl/>
      </w:pPr>
      <w:r>
        <w:t>8. Ads and children</w:t>
      </w:r>
    </w:p>
    <w:p>
      <w:pPr>
        <w:widowControl/>
      </w:pPr>
      <w:r>
        <w:t>The service should not knowingly configure prohibited personalized advertising for children or use a child-safety surface as a vehicle for inappropriate targeting.</w:t>
      </w:r>
    </w:p>
    <w:p>
      <w:pPr>
        <w:pStyle w:val="Heading2"/>
        <w:widowControl/>
      </w:pPr>
      <w:r>
        <w:t>9. Private portal exclusion</w:t>
      </w:r>
    </w:p>
    <w:p>
      <w:pPr>
        <w:widowControl/>
      </w:pPr>
      <w:r>
        <w:t>The private label portal should remain free of public AdSense advertising unless a future change receives a dedicated privacy, contract, and security review.</w:t>
      </w:r>
    </w:p>
    <w:p>
      <w:pPr>
        <w:pStyle w:val="Heading2"/>
        <w:widowControl/>
      </w:pPr>
      <w:r>
        <w:t>10. Contact</w:t>
      </w:r>
    </w:p>
    <w:p>
      <w:pPr>
        <w:widowControl/>
      </w:pPr>
      <w:r>
        <w:t>Advertising and sponsorship questions: advertising@mrblindbandit.net. Business inquiries: business@mrblindbandit.net.</w:t>
      </w:r>
    </w:p>
    <w:p>
      <w:pPr>
        <w:widowControl/>
      </w:pPr>
      <w:r>
        <w:br w:type="page"/>
      </w:r>
    </w:p>
    <w:p>
      <w:pPr>
        <w:pStyle w:val="Heading1"/>
        <w:widowControl/>
      </w:pPr>
      <w:r>
        <w:t>Part XIV - Accessibility Statement and WCAG 2.2 AA Commitment</w:t>
      </w:r>
    </w:p>
    <w:p>
      <w:pPr>
        <w:pStyle w:val="DocumentNote"/>
        <w:widowControl/>
      </w:pPr>
      <w:r>
        <w:t>PUBLIC WEBSITE DRAFT</w:t>
      </w:r>
    </w:p>
    <w:p>
      <w:pPr>
        <w:pStyle w:val="DocumentNote"/>
        <w:widowControl/>
      </w:pPr>
      <w:r>
        <w:t>Effective and last updated: September 13, 2026</w:t>
      </w:r>
    </w:p>
    <w:p>
      <w:pPr>
        <w:pStyle w:val="Heading2"/>
        <w:widowControl/>
      </w:pPr>
      <w:r>
        <w:t>1. Commitment</w:t>
      </w:r>
    </w:p>
    <w:p>
      <w:pPr>
        <w:widowControl/>
      </w:pPr>
      <w:r>
        <w:t>Mr. Blindbandit and Blindbandit Records are committed to making mrblindbandit.net usable by people with disabilities, including people who use screen readers, keyboard navigation, magnification, voice control, captions, reduced motion, high contrast, and other assistive technologies.</w:t>
      </w:r>
    </w:p>
    <w:p>
      <w:pPr>
        <w:widowControl/>
      </w:pPr>
      <w:r>
        <w:t>The operator, Kaeleb Savon Heck, is himself a blind screen-reader user. Accessibility is therefore treated as a product requirement rather than a cosmetic add-on.</w:t>
      </w:r>
    </w:p>
    <w:p>
      <w:pPr>
        <w:pStyle w:val="Heading2"/>
        <w:widowControl/>
      </w:pPr>
      <w:r>
        <w:t>2. Target standard</w:t>
      </w:r>
    </w:p>
    <w:p>
      <w:pPr>
        <w:widowControl/>
      </w:pPr>
      <w:r>
        <w:t>The website's engineering target is Web Content Accessibility Guidelines WCAG 2.2 Level AA. WCAG 2.2, not "GAFC 2.8," is the current W3C accessibility standard relevant to the audit requested for this site.</w:t>
      </w:r>
    </w:p>
    <w:p>
      <w:pPr>
        <w:widowControl/>
      </w:pPr>
      <w:r>
        <w:t>The site should not claim verified full WCAG 2.2 AA conformance until automated and manual testing of the production experience has been completed and known blocking defects have been resolved. This Statement expresses the target and current commitment rather than an unsupported certification.</w:t>
      </w:r>
    </w:p>
    <w:p>
      <w:pPr>
        <w:pStyle w:val="Heading2"/>
        <w:widowControl/>
      </w:pPr>
      <w:r>
        <w:t>3. Accessibility features</w:t>
      </w:r>
    </w:p>
    <w:p>
      <w:pPr>
        <w:widowControl/>
      </w:pPr>
      <w:r>
        <w:t>The site should maintain a skip-to-main-content mechanism, logical headings, semantic landmarks, labeled form controls, descriptive links and buttons, useful alternative text for informative images, keyboard operability, visible focus, sufficient contrast, scalable text, reflow support, reduced-motion behavior, and status/error communication that assistive technologies can perceive.</w:t>
      </w:r>
    </w:p>
    <w:p>
      <w:pPr>
        <w:widowControl/>
      </w:pPr>
      <w:r>
        <w:t>Accessibility controls such as larger text, high contrast, and pause motion should complement rather than replace standards-compliant underlying code.</w:t>
      </w:r>
    </w:p>
    <w:p>
      <w:pPr>
        <w:pStyle w:val="Heading2"/>
        <w:widowControl/>
      </w:pPr>
      <w:r>
        <w:t>4. Screen readers</w:t>
      </w:r>
    </w:p>
    <w:p>
      <w:pPr>
        <w:widowControl/>
      </w:pPr>
      <w:r>
        <w:t>Core public tasks should be tested with iOS VoiceOver and Safari because that is a primary real-world use case for the operator. Additional testing should include macOS VoiceOver and, where feasible, NVDA with current desktop browsers. Interactive controls should expose correct roles, names, states, values, and relationships without depending on visual position.</w:t>
      </w:r>
    </w:p>
    <w:p>
      <w:pPr>
        <w:pStyle w:val="Heading2"/>
        <w:widowControl/>
      </w:pPr>
      <w:r>
        <w:t>5. Keyboard access</w:t>
      </w:r>
    </w:p>
    <w:p>
      <w:pPr>
        <w:widowControl/>
      </w:pPr>
      <w:r>
        <w:t>Every interactive function should be reachable and operable by keyboard without requiring a mouse or touch gesture. Focus order should follow the task, focus should remain visible, modal dialogs should move focus appropriately and return focus on close, Escape should close dismissible dialogs when expected, and hidden background content should not remain focusable behind an active modal.</w:t>
      </w:r>
    </w:p>
    <w:p>
      <w:pPr>
        <w:pStyle w:val="Heading2"/>
        <w:widowControl/>
      </w:pPr>
      <w:r>
        <w:t>6. Focus not obscured</w:t>
      </w:r>
    </w:p>
    <w:p>
      <w:pPr>
        <w:widowControl/>
      </w:pPr>
      <w:r>
        <w:t>Sticky headers, cookie banners, bottom drawers, media controls, accessibility panels, and chat-style overlays must not completely hide the currently focused component. This is particularly important under WCAG 2.2 success criterion 2.4.11.</w:t>
      </w:r>
    </w:p>
    <w:p>
      <w:pPr>
        <w:pStyle w:val="Heading2"/>
        <w:widowControl/>
      </w:pPr>
      <w:r>
        <w:t>7. Dragging alternatives</w:t>
      </w:r>
    </w:p>
    <w:p>
      <w:pPr>
        <w:widowControl/>
      </w:pPr>
      <w:r>
        <w:t>A feature that uses dragging should provide a non-drag alternative unless dragging is essential. Media Suite timelines, clip ranges, crop regions, sliders, artwork positioning, and waveform selections should therefore provide labeled keyboard-accessible or numeric controls. This addresses WCAG 2.2 success criterion 2.5.7.</w:t>
      </w:r>
    </w:p>
    <w:p>
      <w:pPr>
        <w:pStyle w:val="Heading2"/>
        <w:widowControl/>
      </w:pPr>
      <w:r>
        <w:t>8. Target size</w:t>
      </w:r>
    </w:p>
    <w:p>
      <w:pPr>
        <w:widowControl/>
      </w:pPr>
      <w:r>
        <w:t>Pointer targets should meet WCAG 2.2 Level AA minimum target-size or spacing requirements. Small icon buttons, close buttons, playback controls, poll actions, menu items, and Media Suite handles should be reviewed against success criterion 2.5.8.</w:t>
      </w:r>
    </w:p>
    <w:p>
      <w:pPr>
        <w:pStyle w:val="Heading2"/>
        <w:widowControl/>
      </w:pPr>
      <w:r>
        <w:t>9. Accessible authentication</w:t>
      </w:r>
    </w:p>
    <w:p>
      <w:pPr>
        <w:widowControl/>
      </w:pPr>
      <w:r>
        <w:t>Authentication must not force a cognitive-function test such as memorizing or transcribing information without an allowed alternative. Password managers and copy/paste should not be unnecessarily blocked. One-time-code workflows should have clear labels and support accessible input. CAPTCHA, if used, must provide an accessible alternative. These requirements support WCAG 2.2 success criterion 3.3.8.</w:t>
      </w:r>
    </w:p>
    <w:p>
      <w:pPr>
        <w:pStyle w:val="Heading2"/>
        <w:widowControl/>
      </w:pPr>
      <w:r>
        <w:t>10. Forms and errors</w:t>
      </w:r>
    </w:p>
    <w:p>
      <w:pPr>
        <w:widowControl/>
      </w:pPr>
      <w:r>
        <w:t>Each field needs a programmatic label. Required state, format guidance, and errors should be exposed in text rather than color alone. After failed submission, focus or an error summary should help users locate the problem, and status messages should be announced without unexpectedly stealing focus.</w:t>
      </w:r>
    </w:p>
    <w:p>
      <w:pPr>
        <w:widowControl/>
      </w:pPr>
      <w:r>
        <w:t>File-upload controls should identify accepted formats and meaningful size limits in accessible text. Upload progress, successful completion, and failure should be announced appropriately.</w:t>
      </w:r>
    </w:p>
    <w:p>
      <w:pPr>
        <w:pStyle w:val="Heading2"/>
        <w:widowControl/>
      </w:pPr>
      <w:r>
        <w:t>11. Contrast, zoom, and reflow</w:t>
      </w:r>
    </w:p>
    <w:p>
      <w:pPr>
        <w:widowControl/>
      </w:pPr>
      <w:r>
        <w:t>Normal text, large text, meaningful graphical objects, focus indicators, and user-interface components should meet applicable WCAG contrast criteria. Content should remain usable when text is enlarged to 200 percent and when the page is reflowed at narrow viewport widths consistent with WCAG requirements. Users should not have to perform two-dimensional scrolling for ordinary reading at the required reflow test size except for content that inherently needs it.</w:t>
      </w:r>
    </w:p>
    <w:p>
      <w:pPr>
        <w:pStyle w:val="Heading2"/>
        <w:widowControl/>
      </w:pPr>
      <w:r>
        <w:t>12. Motion and animation</w:t>
      </w:r>
    </w:p>
    <w:p>
      <w:pPr>
        <w:widowControl/>
      </w:pPr>
      <w:r>
        <w:t>The site should honor reduced-motion preferences where applicable. Auto-moving content must provide controls when WCAG requires them. The site's Pause Motion control must not be the sole protection against motion that should have been coded accessibly by default.</w:t>
      </w:r>
    </w:p>
    <w:p>
      <w:pPr>
        <w:pStyle w:val="Heading2"/>
        <w:widowControl/>
      </w:pPr>
      <w:r>
        <w:t>13. Audio and video</w:t>
      </w:r>
    </w:p>
    <w:p>
      <w:pPr>
        <w:widowControl/>
      </w:pPr>
      <w:r>
        <w:t>Prerecorded video with meaningful speech should provide captions when required. Audio-only material should provide an appropriate text alternative where required. Visual-only information important to understanding a video may require audio description or another equivalent accessible alternative. Automatically generated captions should be reviewed when accuracy is important.</w:t>
      </w:r>
    </w:p>
    <w:p>
      <w:pPr>
        <w:pStyle w:val="Heading2"/>
        <w:widowControl/>
      </w:pPr>
      <w:r>
        <w:t>14. Images, icons, and decorative content</w:t>
      </w:r>
    </w:p>
    <w:p>
      <w:pPr>
        <w:widowControl/>
      </w:pPr>
      <w:r>
        <w:t>Informative images require meaningful text alternatives. Decorative images should be ignored by assistive technology. Icon-only controls require an accessible name. Decorative arrow glyphs or external-link symbols should not make a link's spoken label confusing or repetitive.</w:t>
      </w:r>
    </w:p>
    <w:p>
      <w:pPr>
        <w:pStyle w:val="Heading2"/>
        <w:widowControl/>
      </w:pPr>
      <w:r>
        <w:t>15. Dynamic community content</w:t>
      </w:r>
    </w:p>
    <w:p>
      <w:pPr>
        <w:widowControl/>
      </w:pPr>
      <w:r>
        <w:t>Post composers, comments, polls, menus, dialogs, notifications, vote changes, form errors, and moderation messages should use semantic HTML and carefully scoped live regions. The interface should not announce excessive background updates or repeatedly interrupt a screen-reader user.</w:t>
      </w:r>
    </w:p>
    <w:p>
      <w:pPr>
        <w:pStyle w:val="Heading2"/>
        <w:widowControl/>
      </w:pPr>
      <w:r>
        <w:t>16. Media Suite accessibility</w:t>
      </w:r>
    </w:p>
    <w:p>
      <w:pPr>
        <w:widowControl/>
      </w:pPr>
      <w:r>
        <w:t>Waveforms, meters, timelines, canvases, and crop areas cannot be the only control model. Every critical value must have a text representation. A blind user should be able to select a file, inspect metadata, choose presets, enter clip times, select a normalization target, start processing, hear progress or status changes, identify errors, and obtain the output without relying on a visual graph.</w:t>
      </w:r>
    </w:p>
    <w:p>
      <w:pPr>
        <w:pStyle w:val="Heading2"/>
        <w:widowControl/>
      </w:pPr>
      <w:r>
        <w:t>17. Consent interfaces</w:t>
      </w:r>
    </w:p>
    <w:p>
      <w:pPr>
        <w:widowControl/>
      </w:pPr>
      <w:r>
        <w:t>Cookie and privacy dialogs must themselves be keyboard and screen-reader accessible. Buttons should have understandable names; consent and refusal options must be reachable; focus must not escape invisibly behind the dialog; and a user must be able to reopen privacy choices later.</w:t>
      </w:r>
    </w:p>
    <w:p>
      <w:pPr>
        <w:pStyle w:val="Heading2"/>
        <w:widowControl/>
      </w:pPr>
      <w:r>
        <w:t>18. Language</w:t>
      </w:r>
    </w:p>
    <w:p>
      <w:pPr>
        <w:widowControl/>
      </w:pPr>
      <w:r>
        <w:t>The page must identify its primary human language programmatically. If a language switcher changes the document language, the html language attribute should change as well so screen readers use appropriate pronunciation rules.</w:t>
      </w:r>
    </w:p>
    <w:p>
      <w:pPr>
        <w:pStyle w:val="Heading2"/>
        <w:widowControl/>
      </w:pPr>
      <w:r>
        <w:t>19. Third-party content</w:t>
      </w:r>
    </w:p>
    <w:p>
      <w:pPr>
        <w:widowControl/>
      </w:pPr>
      <w:r>
        <w:t>Third-party embeds can have accessibility limitations outside the operator's direct control. Where practical, the site should provide a clearly labeled direct link or alternate way to reach the same content. Third-party limitations should not be used as an excuse to leave the site's own controls inaccessible.</w:t>
      </w:r>
    </w:p>
    <w:p>
      <w:pPr>
        <w:pStyle w:val="Heading2"/>
        <w:widowControl/>
      </w:pPr>
      <w:r>
        <w:t>20. Ongoing testing</w:t>
      </w:r>
    </w:p>
    <w:p>
      <w:pPr>
        <w:widowControl/>
      </w:pPr>
      <w:r>
        <w:t>Accessibility is continuous. Significant new releases, authentication changes, community features, consent messages, and Media Suite tools should be tested before release. Automated scanning should be combined with keyboard and screen-reader testing because automation cannot establish full WCAG conformance.</w:t>
      </w:r>
    </w:p>
    <w:p>
      <w:pPr>
        <w:pStyle w:val="Heading2"/>
        <w:widowControl/>
      </w:pPr>
      <w:r>
        <w:t>21. Feedback</w:t>
      </w:r>
    </w:p>
    <w:p>
      <w:pPr>
        <w:widowControl/>
      </w:pPr>
      <w:r>
        <w:t>Accessibility barriers may be reported to accessibility@mrblindbandit.net. Reports should identify the page, feature, browser or assistive technology if known, and the problem encountered. The operator should acknowledge meaningful reports, prioritize blockers, and communicate when a correction or workaround is available.</w:t>
      </w:r>
    </w:p>
    <w:p>
      <w:pPr>
        <w:pStyle w:val="Heading2"/>
        <w:widowControl/>
      </w:pPr>
      <w:r>
        <w:t>22. Accessibility Coordinator</w:t>
      </w:r>
    </w:p>
    <w:p>
      <w:pPr>
        <w:widowControl/>
      </w:pPr>
      <w:r>
        <w:t>Kaeleb Savon Heck serves as Accessibility Coordinator for mrblindbandit.net and is responsible for coordinating accessibility review, remediation priorities, and feedback handling.</w:t>
      </w:r>
    </w:p>
    <w:p>
      <w:pPr>
        <w:widowControl/>
      </w:pPr>
      <w:r>
        <w:br w:type="page"/>
      </w:r>
    </w:p>
    <w:p>
      <w:pPr>
        <w:pStyle w:val="Heading1"/>
        <w:widowControl/>
      </w:pPr>
      <w:r>
        <w:t>Part XV - Security and Vulnerability Reporting Policy</w:t>
      </w:r>
    </w:p>
    <w:p>
      <w:pPr>
        <w:pStyle w:val="DocumentNote"/>
        <w:widowControl/>
      </w:pPr>
      <w:r>
        <w:t>PUBLIC WEBSITE DRAFT</w:t>
      </w:r>
    </w:p>
    <w:p>
      <w:pPr>
        <w:pStyle w:val="DocumentNote"/>
        <w:widowControl/>
      </w:pPr>
      <w:r>
        <w:t>Effective and last updated: September 13, 2026</w:t>
      </w:r>
    </w:p>
    <w:p>
      <w:pPr>
        <w:pStyle w:val="Heading2"/>
        <w:widowControl/>
      </w:pPr>
      <w:r>
        <w:t>1. Reporting</w:t>
      </w:r>
    </w:p>
    <w:p>
      <w:pPr>
        <w:widowControl/>
      </w:pPr>
      <w:r>
        <w:t>Good-faith security concerns may be sent to security@mrblindbandit.net. Include the affected URL or feature, a concise explanation, reproduction steps that avoid harm, and contact information if a response is desired.</w:t>
      </w:r>
    </w:p>
    <w:p>
      <w:pPr>
        <w:pStyle w:val="Heading2"/>
        <w:widowControl/>
      </w:pPr>
      <w:r>
        <w:t>2. Safe research expectations</w:t>
      </w:r>
    </w:p>
    <w:p>
      <w:pPr>
        <w:widowControl/>
      </w:pPr>
      <w:r>
        <w:t>Do not access another person's account or private data, persist in a system after demonstrating a flaw, download unnecessary records, destroy or alter data, deploy malware, conduct denial-of-service activity, use social engineering, compromise third parties, or publicly expose a vulnerability before the operator has a reasonable opportunity to investigate and mitigate it.</w:t>
      </w:r>
    </w:p>
    <w:p>
      <w:pPr>
        <w:pStyle w:val="Heading2"/>
        <w:widowControl/>
      </w:pPr>
      <w:r>
        <w:t>3. Good-faith handling</w:t>
      </w:r>
    </w:p>
    <w:p>
      <w:pPr>
        <w:widowControl/>
      </w:pPr>
      <w:r>
        <w:t>The operator should treat non-destructive research intended to improve security as a security report rather than automatically as abuse. Nothing in this policy authorizes conduct prohibited by law or creates immunity that the operator cannot legally grant.</w:t>
      </w:r>
    </w:p>
    <w:p>
      <w:pPr>
        <w:pStyle w:val="Heading2"/>
        <w:widowControl/>
      </w:pPr>
      <w:r>
        <w:t>4. Sensitive reports</w:t>
      </w:r>
    </w:p>
    <w:p>
      <w:pPr>
        <w:widowControl/>
      </w:pPr>
      <w:r>
        <w:t>Do not send passwords, full authentication tokens, complete payment information, or copied private user records unless absolutely necessary to explain the issue. Redact proof wherever possible.</w:t>
      </w:r>
    </w:p>
    <w:p>
      <w:pPr>
        <w:pStyle w:val="Heading2"/>
        <w:widowControl/>
      </w:pPr>
      <w:r>
        <w:t>5. Response process</w:t>
      </w:r>
    </w:p>
    <w:p>
      <w:pPr>
        <w:widowControl/>
      </w:pPr>
      <w:r>
        <w:t>Reports should be logged, triaged by severity, acknowledged when contact details are available, assigned an owner, remediated or mitigated proportionately, tested, and closed with a record of the outcome. A qualifying personal-data incident should be escalated into the privacy breach process.</w:t>
      </w:r>
    </w:p>
    <w:p>
      <w:pPr>
        <w:widowControl/>
      </w:pPr>
      <w:r>
        <w:br w:type="page"/>
      </w:r>
    </w:p>
    <w:p>
      <w:pPr>
        <w:pStyle w:val="Heading1"/>
        <w:widowControl/>
      </w:pPr>
      <w:r>
        <w:t>Part XVI - Email, Newsletter, and Electronic Communications Policy</w:t>
      </w:r>
    </w:p>
    <w:p>
      <w:pPr>
        <w:pStyle w:val="DocumentNote"/>
        <w:widowControl/>
      </w:pPr>
      <w:r>
        <w:t>INTERNAL IMPLEMENTATION STANDARD WITH PUBLIC-FACING RULES</w:t>
      </w:r>
    </w:p>
    <w:p>
      <w:pPr>
        <w:pStyle w:val="Heading2"/>
        <w:widowControl/>
      </w:pPr>
      <w:r>
        <w:t>1. Marketing consent</w:t>
      </w:r>
    </w:p>
    <w:p>
      <w:pPr>
        <w:widowControl/>
      </w:pPr>
      <w:r>
        <w:t>Newsletter signup should be separate from account creation, music submission, booking inquiry, and label-portal access. Prechecked boxes should not be used where affirmative consent is required.</w:t>
      </w:r>
    </w:p>
    <w:p>
      <w:pPr>
        <w:pStyle w:val="Heading2"/>
        <w:widowControl/>
      </w:pPr>
      <w:r>
        <w:t>2. Consent evidence</w:t>
      </w:r>
    </w:p>
    <w:p>
      <w:pPr>
        <w:widowControl/>
      </w:pPr>
      <w:r>
        <w:t>Maintain the email address, signup source, timestamp, consent version or language, and confirmation state necessary to demonstrate the signup. Double opt-in is recommended for list quality and evidence even where it is not universally mandatory.</w:t>
      </w:r>
    </w:p>
    <w:p>
      <w:pPr>
        <w:pStyle w:val="Heading2"/>
        <w:widowControl/>
      </w:pPr>
      <w:r>
        <w:t>3. Message identification</w:t>
      </w:r>
    </w:p>
    <w:p>
      <w:pPr>
        <w:widowControl/>
      </w:pPr>
      <w:r>
        <w:t>Commercial email should use accurate sender and routing information, non-deceptive subject lines, a clear identity for the sender, and any advertising identification required by applicable law.</w:t>
      </w:r>
    </w:p>
    <w:p>
      <w:pPr>
        <w:pStyle w:val="Heading2"/>
        <w:widowControl/>
      </w:pPr>
      <w:r>
        <w:t>4. Postal address</w:t>
      </w:r>
    </w:p>
    <w:p>
      <w:pPr>
        <w:widowControl/>
      </w:pPr>
      <w:r>
        <w:t>Where United States CAN-SPAM applies, marketing email should contain a valid physical postal address or another address form accepted by the statute. Use the currently published business address unless a compliant commercial mail receiving or other lawful alternative is later adopted.</w:t>
      </w:r>
    </w:p>
    <w:p>
      <w:pPr>
        <w:pStyle w:val="Heading2"/>
        <w:widowControl/>
      </w:pPr>
      <w:r>
        <w:t>5. Unsubscribe</w:t>
      </w:r>
    </w:p>
    <w:p>
      <w:pPr>
        <w:widowControl/>
      </w:pPr>
      <w:r>
        <w:t>Every marketing email should contain a conspicuous, functional unsubscribe method. Requests should be processed promptly and no later than the period required by applicable law; CAN-SPAM requires honoring covered opt-outs within 10 business days. The unsubscribe mechanism should remain functional for the period required by law.</w:t>
      </w:r>
    </w:p>
    <w:p>
      <w:pPr>
        <w:pStyle w:val="Heading2"/>
        <w:widowControl/>
      </w:pPr>
      <w:r>
        <w:t>6. Suppression</w:t>
      </w:r>
    </w:p>
    <w:p>
      <w:pPr>
        <w:widowControl/>
      </w:pPr>
      <w:r>
        <w:t>A minimal suppression record should remain after unsubscribe so the address is not accidentally re-imported into marketing. Suppression is not the same as continuing to send marketing.</w:t>
      </w:r>
    </w:p>
    <w:p>
      <w:pPr>
        <w:pStyle w:val="Heading2"/>
        <w:widowControl/>
      </w:pPr>
      <w:r>
        <w:t>7. Transactional communications</w:t>
      </w:r>
    </w:p>
    <w:p>
      <w:pPr>
        <w:widowControl/>
      </w:pPr>
      <w:r>
        <w:t>Security alerts, password or sign-in communications, requested receipts, contract notices, submission confirmations, portal notifications, and direct responses can be treated differently from promotional marketing depending on content and law. Do not disguise marketing as a transactional message.</w:t>
      </w:r>
    </w:p>
    <w:p>
      <w:pPr>
        <w:pStyle w:val="Heading2"/>
        <w:widowControl/>
      </w:pPr>
      <w:r>
        <w:t>8. Vendor configuration</w:t>
      </w:r>
    </w:p>
    <w:p>
      <w:pPr>
        <w:widowControl/>
      </w:pPr>
      <w:r>
        <w:t>Resend or any replacement email provider should use authenticated domains, SPF, DKIM, and DMARC appropriate to the sending configuration, role separation for transactional and marketing mail where useful, bounce handling, complaint handling, and rate limits.</w:t>
      </w:r>
    </w:p>
    <w:p>
      <w:pPr>
        <w:widowControl/>
      </w:pPr>
      <w:r>
        <w:br w:type="page"/>
      </w:r>
    </w:p>
    <w:p>
      <w:pPr>
        <w:pStyle w:val="Heading1"/>
        <w:widowControl/>
      </w:pPr>
      <w:r>
        <w:t>Part XVII - Third-Party Services, Open-Source Software, and Vendor Governance</w:t>
      </w:r>
    </w:p>
    <w:p>
      <w:pPr>
        <w:pStyle w:val="DocumentNote"/>
        <w:widowControl/>
      </w:pPr>
      <w:r>
        <w:t>INTERNAL IMPLEMENTATION STANDARD</w:t>
      </w:r>
    </w:p>
    <w:p>
      <w:pPr>
        <w:pStyle w:val="Heading2"/>
        <w:widowControl/>
      </w:pPr>
      <w:r>
        <w:t>1. Vendor inventory</w:t>
      </w:r>
    </w:p>
    <w:p>
      <w:pPr>
        <w:widowControl/>
      </w:pPr>
      <w:r>
        <w:t>Maintain an inventory of providers, purpose, data categories, processing location if known, contract or terms link, privacy terms, security notes, subprocessors where relevant, retention controls, and whether the provider receives public, account, submission, advertising, or portal data.</w:t>
      </w:r>
    </w:p>
    <w:p>
      <w:pPr>
        <w:pStyle w:val="Heading2"/>
        <w:widowControl/>
      </w:pPr>
      <w:r>
        <w:t>2. Least disclosure</w:t>
      </w:r>
    </w:p>
    <w:p>
      <w:pPr>
        <w:widowControl/>
      </w:pPr>
      <w:r>
        <w:t>A vendor should receive only information needed for the configured feature. Avoid transmitting private portal records to public analytics or advertising services. Remove unused SDKs, tags, trackers, and stale integrations.</w:t>
      </w:r>
    </w:p>
    <w:p>
      <w:pPr>
        <w:pStyle w:val="Heading2"/>
        <w:widowControl/>
      </w:pPr>
      <w:r>
        <w:t>3. Authentication</w:t>
      </w:r>
    </w:p>
    <w:p>
      <w:pPr>
        <w:widowControl/>
      </w:pPr>
      <w:r>
        <w:t>Clerk configuration should be reviewed for redirect URIs, allowed origins, session duration, MFA, OAuth scopes, user metadata exposure, webhook verification, secret-key storage, and production/development separation. Secret keys must remain server-side and must never be embedded in public JavaScript.</w:t>
      </w:r>
    </w:p>
    <w:p>
      <w:pPr>
        <w:pStyle w:val="Heading2"/>
        <w:widowControl/>
      </w:pPr>
      <w:r>
        <w:t>4. Cloudflare and infrastructure</w:t>
      </w:r>
    </w:p>
    <w:p>
      <w:pPr>
        <w:widowControl/>
      </w:pPr>
      <w:r>
        <w:t>Cloudflare-backed services should use modern TLS, HTTPS redirection, HSTS after configuration is verified, appropriate caching rules, bot and rate controls where needed, and careful handling of authenticated or private responses so private material is not publicly cached.</w:t>
      </w:r>
    </w:p>
    <w:p>
      <w:pPr>
        <w:pStyle w:val="Heading2"/>
        <w:widowControl/>
      </w:pPr>
      <w:r>
        <w:t>5. Google and advertising</w:t>
      </w:r>
    </w:p>
    <w:p>
      <w:pPr>
        <w:widowControl/>
      </w:pPr>
      <w:r>
        <w:t>AdSense should be restricted to intended public pages. European consent signals, U.S. state privacy messages if used, ad-technology-provider configuration, ads.txt, and privacy messaging should be reviewed periodically against the actual account.</w:t>
      </w:r>
    </w:p>
    <w:p>
      <w:pPr>
        <w:pStyle w:val="Heading2"/>
        <w:widowControl/>
      </w:pPr>
      <w:r>
        <w:t>6. Payment providers</w:t>
      </w:r>
    </w:p>
    <w:p>
      <w:pPr>
        <w:widowControl/>
      </w:pPr>
      <w:r>
        <w:t>PayPal, Wise, or future payment providers should handle payment credentials on their own secure flows wherever practical. The website should avoid collecting complete card or bank credentials unless a compliant payment architecture is intentionally deployed.</w:t>
      </w:r>
    </w:p>
    <w:p>
      <w:pPr>
        <w:pStyle w:val="Heading2"/>
        <w:widowControl/>
      </w:pPr>
      <w:r>
        <w:t>7. Embedded media</w:t>
      </w:r>
    </w:p>
    <w:p>
      <w:pPr>
        <w:widowControl/>
      </w:pPr>
      <w:r>
        <w:t>Spotify, Apple Music, YouTube, and similar embeds should be reviewed for privacy, consent, accessibility, and performance. Provide direct links when embeds create accessibility or privacy barriers.</w:t>
      </w:r>
    </w:p>
    <w:p>
      <w:pPr>
        <w:pStyle w:val="Heading2"/>
        <w:widowControl/>
      </w:pPr>
      <w:r>
        <w:t>8. Open-source software bill of materials</w:t>
      </w:r>
    </w:p>
    <w:p>
      <w:pPr>
        <w:widowControl/>
      </w:pPr>
      <w:r>
        <w:t>Maintain a software bill of materials for client and server dependencies, especially media codecs, parsers, FFmpeg/WebAssembly builds, image libraries, video renderers, authentication packages, and security-sensitive dependencies. Record version, license, source, modification status, and distribution obligations.</w:t>
      </w:r>
    </w:p>
    <w:p>
      <w:pPr>
        <w:pStyle w:val="Heading2"/>
        <w:widowControl/>
      </w:pPr>
      <w:r>
        <w:t>9. FFmpeg license review</w:t>
      </w:r>
    </w:p>
    <w:p>
      <w:pPr>
        <w:widowControl/>
      </w:pPr>
      <w:r>
        <w:t>Before distributing a bundled FFmpeg or FFmpeg-derived WebAssembly build, identify the exact build options and linked libraries. Determine whether the resulting build is under LGPL, GPL, or another combination and satisfy corresponding notices, source availability, relinking, or other obligations. Never publish a generic "FFmpeg is LGPL" statement without checking the actual build.</w:t>
      </w:r>
    </w:p>
    <w:p>
      <w:pPr>
        <w:pStyle w:val="Heading2"/>
        <w:widowControl/>
      </w:pPr>
      <w:r>
        <w:t>10. Dependency security</w:t>
      </w:r>
    </w:p>
    <w:p>
      <w:pPr>
        <w:widowControl/>
      </w:pPr>
      <w:r>
        <w:t>Use automated dependency alerts, lockfiles, integrity controls where supported, reproducible or pinned production builds, routine upgrades, and emergency patch procedures for critical vulnerabilities. Remove abandoned packages when a maintained replacement is feasible.</w:t>
      </w:r>
    </w:p>
    <w:p>
      <w:pPr>
        <w:widowControl/>
      </w:pPr>
      <w:r>
        <w:br w:type="page"/>
      </w:r>
    </w:p>
    <w:p>
      <w:pPr>
        <w:pStyle w:val="Heading1"/>
        <w:widowControl/>
      </w:pPr>
      <w:r>
        <w:t>Supplement A - Consumer Transactions, Complaints, Cancellation, and Refund Policy</w:t>
      </w:r>
    </w:p>
    <w:p>
      <w:pPr>
        <w:pStyle w:val="DocumentNote"/>
        <w:widowControl/>
      </w:pPr>
      <w:r>
        <w:t>PUBLIC WEBSITE DRAFT - activate this policy when mrblindbandit.net directly sells paid consumer services, subscriptions, digital products, or paid Media Suite access. The private launch checklist determines when it must go live.</w:t>
      </w:r>
    </w:p>
    <w:p>
      <w:pPr>
        <w:pStyle w:val="DocumentNote"/>
        <w:widowControl/>
      </w:pPr>
      <w:r>
        <w:t>Effective date when activated: the launch date of direct paid website transactions.</w:t>
      </w:r>
    </w:p>
    <w:p>
      <w:pPr>
        <w:pStyle w:val="Heading2"/>
        <w:widowControl/>
      </w:pPr>
      <w:r>
        <w:t>1. Seller identity and contact</w:t>
      </w:r>
    </w:p>
    <w:p>
      <w:pPr>
        <w:widowControl/>
      </w:pPr>
      <w:r>
        <w:t>Paid offer and checkout pages should clearly identify the seller as Mr. Blindbandit / Blindbandit Records, operated by Kaeleb Savon Heck, and provide the business contact information required by applicable law. The support route for consumer transaction questions is support@mrblindbandit.net.</w:t>
      </w:r>
    </w:p>
    <w:p>
      <w:pPr>
        <w:pStyle w:val="Heading2"/>
        <w:widowControl/>
      </w:pPr>
      <w:r>
        <w:t>2. Information before purchase</w:t>
      </w:r>
    </w:p>
    <w:p>
      <w:pPr>
        <w:widowControl/>
      </w:pPr>
      <w:r>
        <w:t>Before a consumer is charged, the applicable offer should clearly identify the product or service; the total price and currency; whether billing is one-time or recurring; the billing interval; any free-trial or introductory terms; material device, browser, file-format, account, or technical requirements; what the purchaser receives; the expected delivery or activation timing; material usage limits; cancellation terms; renewal terms; and the applicable refund policy.</w:t>
      </w:r>
    </w:p>
    <w:p>
      <w:pPr>
        <w:widowControl/>
      </w:pPr>
      <w:r>
        <w:t>Important limitations should not be hidden only in a footer, tooltip, or separate legal page when they materially affect the purchase decision.</w:t>
      </w:r>
    </w:p>
    <w:p>
      <w:pPr>
        <w:pStyle w:val="Heading2"/>
        <w:widowControl/>
      </w:pPr>
      <w:r>
        <w:t>3. Order confirmation and receipt</w:t>
      </w:r>
    </w:p>
    <w:p>
      <w:pPr>
        <w:widowControl/>
      </w:pPr>
      <w:r>
        <w:t>After payment, the service should provide an electronic confirmation containing enough information to identify the transaction, paid amount, date, purchased service, and support route. Any invoice or receipt required by applicable tax or consumer law should be provided through an accessible method.</w:t>
      </w:r>
    </w:p>
    <w:p>
      <w:pPr>
        <w:pStyle w:val="Heading2"/>
        <w:widowControl/>
      </w:pPr>
      <w:r>
        <w:t>4. Payment processing</w:t>
      </w:r>
    </w:p>
    <w:p>
      <w:pPr>
        <w:widowControl/>
      </w:pPr>
      <w:r>
        <w:t>Complete card numbers, bank credentials, and comparable payment secrets should be handled through an appropriate payment provider rather than ordinary contact forms, community posts, or email. The website should collect or retain only the payment references reasonably needed for support, accounting, reconciliation, fraud prevention, refunds, or legal duties.</w:t>
      </w:r>
    </w:p>
    <w:p>
      <w:pPr>
        <w:pStyle w:val="Heading2"/>
        <w:widowControl/>
      </w:pPr>
      <w:r>
        <w:t>5. Digital service delivery</w:t>
      </w:r>
    </w:p>
    <w:p>
      <w:pPr>
        <w:widowControl/>
      </w:pPr>
      <w:r>
        <w:t>A paid digital service should be delivered substantially as described in the offer and applicable agreement. If a transaction succeeds financially but the digital service fails to activate or deliver, the consumer should have an accessible support route for correction, redelivery, cancellation, or another remedy required by law.</w:t>
      </w:r>
    </w:p>
    <w:p>
      <w:pPr>
        <w:pStyle w:val="Heading2"/>
        <w:widowControl/>
      </w:pPr>
      <w:r>
        <w:t>6. Cancellations</w:t>
      </w:r>
    </w:p>
    <w:p>
      <w:pPr>
        <w:widowControl/>
      </w:pPr>
      <w:r>
        <w:t>Cancellation terms depend on the specific offer and applicable law. A recurring paid service should provide a reasonably accessible cancellation method. Cancellation should not be designed to be materially harder than signup. The interface should disclose whether cancellation ends service immediately or at the end of the current paid period.</w:t>
      </w:r>
    </w:p>
    <w:p>
      <w:pPr>
        <w:pStyle w:val="Heading2"/>
        <w:widowControl/>
      </w:pPr>
      <w:r>
        <w:t>7. Refunds and mandatory rights</w:t>
      </w:r>
    </w:p>
    <w:p>
      <w:pPr>
        <w:widowControl/>
      </w:pPr>
      <w:r>
        <w:t>A specific paid offer may state its ordinary refund conditions. No website policy removes a refund, repair, replacement, cancellation, cooling-off right, statutory warranty, or other remedy that applicable consumer law makes mandatory.</w:t>
      </w:r>
    </w:p>
    <w:p>
      <w:pPr>
        <w:widowControl/>
      </w:pPr>
      <w:r>
        <w:t>For a failed Media Suite or digital-processing transaction, the user should provide the transaction reference, affected tool, approximate time, output problem, and any non-sensitive diagnostic details needed to investigate. The user should not send passwords or full payment credentials.</w:t>
      </w:r>
    </w:p>
    <w:p>
      <w:pPr>
        <w:pStyle w:val="Heading2"/>
        <w:widowControl/>
      </w:pPr>
      <w:r>
        <w:t>8. Recurring subscriptions and renewal</w:t>
      </w:r>
    </w:p>
    <w:p>
      <w:pPr>
        <w:widowControl/>
      </w:pPr>
      <w:r>
        <w:t>Before a recurring charge begins, the checkout should clearly identify the recurring nature of the transaction, amount or method of calculating it, billing interval, renewal conditions, and how to cancel. Material price changes or billing-frequency changes should receive notice and any additional consent required by applicable law.</w:t>
      </w:r>
    </w:p>
    <w:p>
      <w:pPr>
        <w:pStyle w:val="Heading2"/>
        <w:widowControl/>
      </w:pPr>
      <w:r>
        <w:t>9. Trials and promotional pricing</w:t>
      </w:r>
    </w:p>
    <w:p>
      <w:pPr>
        <w:widowControl/>
      </w:pPr>
      <w:r>
        <w:t>A trial or promotional offer should identify its duration, what happens when it ends, the price that will apply afterward, whether payment details are required in advance, and how to cancel before a charge. A countdown or scarcity statement must not be fabricated or misleading.</w:t>
      </w:r>
    </w:p>
    <w:p>
      <w:pPr>
        <w:pStyle w:val="Heading2"/>
        <w:widowControl/>
      </w:pPr>
      <w:r>
        <w:t>10. Consumer complaints and internal redress</w:t>
      </w:r>
    </w:p>
    <w:p>
      <w:pPr>
        <w:widowControl/>
      </w:pPr>
      <w:r>
        <w:t>Consumer complaints may be sent to support@mrblindbandit.net. The operator should log the complaint, assign or preserve a reference, identify the transaction, investigate the issue, communicate the outcome accessibly, and record any refund, replacement, cancellation, credit, or refusal and the reason.</w:t>
      </w:r>
    </w:p>
    <w:p>
      <w:pPr>
        <w:widowControl/>
      </w:pPr>
      <w:r>
        <w:t>Where the Philippine Internet Transactions Act applies, the website should maintain an accessible internal redress mechanism consistent with applicable implementing rules. The internal mechanism does not remove a consumer's right to use an external regulator, court, payment dispute process, or other remedy available by law.</w:t>
      </w:r>
    </w:p>
    <w:p>
      <w:pPr>
        <w:pStyle w:val="Heading2"/>
        <w:widowControl/>
      </w:pPr>
      <w:r>
        <w:t>11. Chargebacks and duplicate remedies</w:t>
      </w:r>
    </w:p>
    <w:p>
      <w:pPr>
        <w:widowControl/>
      </w:pPr>
      <w:r>
        <w:t>A consumer may have rights through a payment provider or card issuer. The operator may request reasonable cooperation to avoid duplicate reimbursement for the same transaction, but may not use this policy to eliminate rights that cannot lawfully be waived.</w:t>
      </w:r>
    </w:p>
    <w:p>
      <w:pPr>
        <w:pStyle w:val="Heading2"/>
        <w:widowControl/>
      </w:pPr>
      <w:r>
        <w:t>12. Fraud and abuse</w:t>
      </w:r>
    </w:p>
    <w:p>
      <w:pPr>
        <w:widowControl/>
      </w:pPr>
      <w:r>
        <w:t>The operator may investigate suspected payment fraud, unauthorized account use, refund abuse, chargeback fraud, or attempts to obtain a service without payment. Protective measures should be proportionate and should not automatically deny a legitimate consumer complaint merely because an automated fraud signal was triggered.</w:t>
      </w:r>
    </w:p>
    <w:p>
      <w:pPr>
        <w:pStyle w:val="Heading2"/>
        <w:widowControl/>
      </w:pPr>
      <w:r>
        <w:t>13. Accessibility of purchasing and support</w:t>
      </w:r>
    </w:p>
    <w:p>
      <w:pPr>
        <w:widowControl/>
      </w:pPr>
      <w:r>
        <w:t>Checkout, cancellation, receipt retrieval, transaction history, refund requests, and support should be operable by keyboard and screen reader and should not depend on visual-only CAPTCHA, dragging, color-only instructions, or inaccessible embedded payment controls where an accessible alternative can reasonably be provided.</w:t>
      </w:r>
    </w:p>
    <w:p>
      <w:pPr>
        <w:pStyle w:val="Heading2"/>
        <w:widowControl/>
      </w:pPr>
      <w:r>
        <w:t>14. Records</w:t>
      </w:r>
    </w:p>
    <w:p>
      <w:pPr>
        <w:widowControl/>
      </w:pPr>
      <w:r>
        <w:t>Transaction, refund, tax, accounting, and dispute records may be retained for the period required by applicable law and legitimate accounting, fraud-prevention, contract, or dispute purposes. They are handled under the Privacy Policy and internal retention schedule.</w:t>
      </w:r>
    </w:p>
    <w:p>
      <w:pPr>
        <w:pStyle w:val="Heading2"/>
        <w:widowControl/>
      </w:pPr>
      <w:r>
        <w:t>15. Contact</w:t>
      </w:r>
    </w:p>
    <w:p>
      <w:pPr>
        <w:widowControl/>
      </w:pPr>
      <w:r>
        <w:t>Consumer transaction and support questions: support@mrblindbandit.net. Legal questions: legal@mrblindbandit.net. Privacy questions: privacy@mrblindbandit.net.</w:t>
      </w:r>
    </w:p>
    <w:p>
      <w:pPr>
        <w:widowControl/>
      </w:pPr>
      <w:r>
        <w:br w:type="page"/>
      </w:r>
    </w:p>
    <w:p>
      <w:pPr>
        <w:pStyle w:val="Heading1"/>
        <w:widowControl/>
      </w:pPr>
      <w:r>
        <w:t>Supplement B - Illegal Content Notice-and-Action and Moderation Appeals Policy</w:t>
      </w:r>
    </w:p>
    <w:p>
      <w:pPr>
        <w:pStyle w:val="DocumentNote"/>
        <w:widowControl/>
      </w:pPr>
      <w:r>
        <w:t>PUBLIC WEBSITE DRAFT</w:t>
      </w:r>
    </w:p>
    <w:p>
      <w:pPr>
        <w:pStyle w:val="DocumentNote"/>
        <w:widowControl/>
      </w:pPr>
      <w:r>
        <w:t>Effective and last updated: September 13, 2026.</w:t>
      </w:r>
    </w:p>
    <w:p>
      <w:pPr>
        <w:pStyle w:val="Heading2"/>
        <w:widowControl/>
      </w:pPr>
      <w:r>
        <w:t>1. Purpose</w:t>
      </w:r>
    </w:p>
    <w:p>
      <w:pPr>
        <w:widowControl/>
      </w:pPr>
      <w:r>
        <w:t>This policy creates a structured electronic route for reporting specific public content that a person believes is illegal. It supplements ordinary Community Guidelines reports, child-safety reports, privacy and doxxing reports, security reports, and the separate Copyright and DMCA Policy.</w:t>
      </w:r>
    </w:p>
    <w:p>
      <w:pPr>
        <w:pStyle w:val="Heading2"/>
        <w:widowControl/>
      </w:pPr>
      <w:r>
        <w:t>2. Reporting route</w:t>
      </w:r>
    </w:p>
    <w:p>
      <w:pPr>
        <w:widowControl/>
      </w:pPr>
      <w:r>
        <w:t>A report concerning allegedly illegal public content may be sent to legal@mrblindbandit.net. Urgent child-safety matters should be sent to safety@mrblindbandit.net. Copyright notices should be sent to copyright@mrblindbandit.net. Security vulnerabilities should be sent to security@mrblindbandit.net.</w:t>
      </w:r>
    </w:p>
    <w:p>
      <w:pPr>
        <w:widowControl/>
      </w:pPr>
      <w:r>
        <w:t>A future in-product report form should route the report internally without requiring a reporter to determine the perfect legal category first.</w:t>
      </w:r>
    </w:p>
    <w:p>
      <w:pPr>
        <w:pStyle w:val="Heading2"/>
        <w:widowControl/>
      </w:pPr>
      <w:r>
        <w:t>3. Information that helps review</w:t>
      </w:r>
    </w:p>
    <w:p>
      <w:pPr>
        <w:widowControl/>
      </w:pPr>
      <w:r>
        <w:t>A useful notice identifies the exact URL, post, comment, account, or other location; explains why the reporter believes the material is illegal; identifies the jurisdiction or legal rule if known; provides relevant context or supporting information; and gives a contact route where follow-up is appropriate. A reporter should avoid unnecessarily reproducing illegal, exploitative, intimate, or highly sensitive material.</w:t>
      </w:r>
    </w:p>
    <w:p>
      <w:pPr>
        <w:pStyle w:val="Heading2"/>
        <w:widowControl/>
      </w:pPr>
      <w:r>
        <w:t>4. Good-faith and precise reports</w:t>
      </w:r>
    </w:p>
    <w:p>
      <w:pPr>
        <w:widowControl/>
      </w:pPr>
      <w:r>
        <w:t>Reports should be made in good faith. A person should not knowingly submit fabricated evidence, impersonate a rights holder, use repeated reports to harass another user, or deliberately mischaracterize lawful speech as illegal merely to suppress disagreement.</w:t>
      </w:r>
    </w:p>
    <w:p>
      <w:pPr>
        <w:pStyle w:val="Heading2"/>
        <w:widowControl/>
      </w:pPr>
      <w:r>
        <w:t>5. Review process</w:t>
      </w:r>
    </w:p>
    <w:p>
      <w:pPr>
        <w:widowControl/>
      </w:pPr>
      <w:r>
        <w:t>The operator may assess the reported content, context, account history, applicable law, Community Guidelines, safety risk, rights of affected people, and reliability of the information supplied. The operator may request clarification, preserve relevant evidence, remove or restrict material, limit an account, refer the report to another policy process, decline the report, or take another lawful and proportionate action.</w:t>
      </w:r>
    </w:p>
    <w:p>
      <w:pPr>
        <w:widowControl/>
      </w:pPr>
      <w:r>
        <w:t>Reports involving credible imminent threats, child sexual exploitation, non-consensual intimate material, compromised accounts, malware, or exposure of dangerous private information may be escalated immediately.</w:t>
      </w:r>
    </w:p>
    <w:p>
      <w:pPr>
        <w:pStyle w:val="Heading2"/>
        <w:widowControl/>
      </w:pPr>
      <w:r>
        <w:t>6. No automatic assumption that a report is correct</w:t>
      </w:r>
    </w:p>
    <w:p>
      <w:pPr>
        <w:widowControl/>
      </w:pPr>
      <w:r>
        <w:t>Receipt of a report does not itself prove illegality. Where feasible and safe, the operator should distinguish between illegal content, content that violates Community Guidelines without necessarily being illegal, and lawful content that should remain available.</w:t>
      </w:r>
    </w:p>
    <w:p>
      <w:pPr>
        <w:pStyle w:val="Heading2"/>
        <w:widowControl/>
      </w:pPr>
      <w:r>
        <w:t>7. Notice to the affected user</w:t>
      </w:r>
    </w:p>
    <w:p>
      <w:pPr>
        <w:widowControl/>
      </w:pPr>
      <w:r>
        <w:t>Where legally required or reasonably appropriate, a user whose content or account is materially restricted should receive a reason or reason category, the scope of the action, whether the action is temporary or permanent when known, and information about an available appeal. Notice may be delayed or withheld where necessary for safety, investigation integrity, legal restrictions, child protection, fraud prevention, or another compelling reason.</w:t>
      </w:r>
    </w:p>
    <w:p>
      <w:pPr>
        <w:pStyle w:val="Heading2"/>
        <w:widowControl/>
      </w:pPr>
      <w:r>
        <w:t>8. Appeals</w:t>
      </w:r>
    </w:p>
    <w:p>
      <w:pPr>
        <w:widowControl/>
      </w:pPr>
      <w:r>
        <w:t>A user may request review of a material moderation decision through the route stated in the decision or through legal@mrblindbandit.net. An appeal should identify the affected content or account, explain why the decision is believed to be wrong, and provide relevant new context.</w:t>
      </w:r>
    </w:p>
    <w:p>
      <w:pPr>
        <w:widowControl/>
      </w:pPr>
      <w:r>
        <w:t>Where practical, an appeal should receive meaningful human consideration rather than a blind repetition of the original automated signal. Repetitive abusive appeals, spam, or attempts to relitigate an unchanged decision indefinitely may be limited.</w:t>
      </w:r>
    </w:p>
    <w:p>
      <w:pPr>
        <w:pStyle w:val="Heading2"/>
        <w:widowControl/>
      </w:pPr>
      <w:r>
        <w:t>9. Automated tools</w:t>
      </w:r>
    </w:p>
    <w:p>
      <w:pPr>
        <w:widowControl/>
      </w:pPr>
      <w:r>
        <w:t>Automated tools may help prioritize spam, fraud, malware, duplicate reports, or potentially harmful material, but a severe action should not rely on an opaque automated score alone where human review is reasonably available and the consequences are material. The operator should document important automation used in moderation and reassess it for false positives and accessibility impact.</w:t>
      </w:r>
    </w:p>
    <w:p>
      <w:pPr>
        <w:pStyle w:val="Heading2"/>
        <w:widowControl/>
      </w:pPr>
      <w:r>
        <w:t>10. Emergency and lawful process</w:t>
      </w:r>
    </w:p>
    <w:p>
      <w:pPr>
        <w:widowControl/>
      </w:pPr>
      <w:r>
        <w:t>This policy does not replace a valid court order, law-enforcement request, regulatory order, emergency preservation request, or another formal legal process. Requests purporting to come from authorities should be authenticated before disclosure where appropriate and lawful.</w:t>
      </w:r>
    </w:p>
    <w:p>
      <w:pPr>
        <w:pStyle w:val="Heading2"/>
        <w:widowControl/>
      </w:pPr>
      <w:r>
        <w:t>11. Copyright remains separate</w:t>
      </w:r>
    </w:p>
    <w:p>
      <w:pPr>
        <w:widowControl/>
      </w:pPr>
      <w:r>
        <w:t>Copyright and related statutory takedown requests are handled under the Copyright and DMCA Policy because those notices can have different required elements, counter-notice procedures, deadlines, and preservation obligations.</w:t>
      </w:r>
    </w:p>
    <w:p>
      <w:pPr>
        <w:pStyle w:val="Heading2"/>
        <w:widowControl/>
      </w:pPr>
      <w:r>
        <w:t>12. Privacy and doxxing</w:t>
      </w:r>
    </w:p>
    <w:p>
      <w:pPr>
        <w:widowControl/>
      </w:pPr>
      <w:r>
        <w:t>A report that primarily concerns exposed personal information, account compromise, impersonation, or non-consensual intimate material may be handled under privacy, safety, or security procedures even when the reporter also describes it as illegal content.</w:t>
      </w:r>
    </w:p>
    <w:p>
      <w:pPr>
        <w:pStyle w:val="Heading2"/>
        <w:widowControl/>
      </w:pPr>
      <w:r>
        <w:t>13. Child safety</w:t>
      </w:r>
    </w:p>
    <w:p>
      <w:pPr>
        <w:widowControl/>
      </w:pPr>
      <w:r>
        <w:t>Reports involving suspected child sexual exploitation, grooming, trafficking, sexual extortion, or other severe child-safety concerns should be prioritized. The operator should avoid unnecessary viewing or redistribution of exploitative material and should preserve and report information when required or permitted by applicable law.</w:t>
      </w:r>
    </w:p>
    <w:p>
      <w:pPr>
        <w:pStyle w:val="Heading2"/>
        <w:widowControl/>
      </w:pPr>
      <w:r>
        <w:t>14. Records and transparency</w:t>
      </w:r>
    </w:p>
    <w:p>
      <w:pPr>
        <w:widowControl/>
      </w:pPr>
      <w:r>
        <w:t>The operator should maintain proportionate internal records of significant notices, action taken, response timing, appeal outcome, and important automated moderation used. Those records support consistency, safety review, repeat-abuse analysis, defense of claims, and any transparency duty that later becomes applicable.</w:t>
      </w:r>
    </w:p>
    <w:p>
      <w:pPr>
        <w:pStyle w:val="Heading2"/>
        <w:widowControl/>
      </w:pPr>
      <w:r>
        <w:t>15. Abuse of the reporting system</w:t>
      </w:r>
    </w:p>
    <w:p>
      <w:pPr>
        <w:widowControl/>
      </w:pPr>
      <w:r>
        <w:t>The operator may restrict a person who repeatedly submits knowingly false, harassing, malicious, or automated mass reports. Restrictions should not prevent a person from making a genuine urgent safety or legal report through an available route.</w:t>
      </w:r>
    </w:p>
    <w:p>
      <w:pPr>
        <w:pStyle w:val="Heading2"/>
        <w:widowControl/>
      </w:pPr>
      <w:r>
        <w:t>16. Contact</w:t>
      </w:r>
    </w:p>
    <w:p>
      <w:pPr>
        <w:widowControl/>
      </w:pPr>
      <w:r>
        <w:t>Illegal-content and moderation legal notices: legal@mrblindbandit.net. Safety: safety@mrblindbandit.net. Copyright: copyright@mrblindbandit.net. Security: security@mrblindbandit.net. General community support: support@mrblindbandit.net.</w:t>
      </w:r>
    </w:p>
    <w:p>
      <w:pPr>
        <w:widowControl/>
      </w:pPr>
      <w:r>
        <w:br w:type="page"/>
      </w:r>
    </w:p>
    <w:p>
      <w:pPr>
        <w:pStyle w:val="Heading1"/>
        <w:widowControl/>
      </w:pPr>
      <w:r>
        <w:t>Part XVIII - Internal Privacy Rights Request Procedure</w:t>
      </w:r>
    </w:p>
    <w:p>
      <w:pPr>
        <w:pStyle w:val="DocumentNote"/>
        <w:widowControl/>
      </w:pPr>
      <w:r>
        <w:t>INTERNAL OPERATING PROCEDURE - DO NOT PUBLISH AS A SUBSTITUTE FOR THE PUBLIC PRIVACY POLICY</w:t>
      </w:r>
    </w:p>
    <w:p>
      <w:pPr>
        <w:pStyle w:val="Heading2"/>
        <w:widowControl/>
      </w:pPr>
      <w:r>
        <w:t>1. Intake</w:t>
      </w:r>
    </w:p>
    <w:p>
      <w:pPr>
        <w:widowControl/>
      </w:pPr>
      <w:r>
        <w:t>Accept privacy-rights requests at privacy@mrblindbandit.net and from any dedicated privacy form added later. Record the date received, request type, jurisdiction claimed if relevant, affected email or account, requested scope, verification status, deadline, actions taken, exceptions relied upon, response date, and closure status.</w:t>
      </w:r>
    </w:p>
    <w:p>
      <w:pPr>
        <w:pStyle w:val="Heading2"/>
        <w:widowControl/>
      </w:pPr>
      <w:r>
        <w:t>2. Minimize identity verification</w:t>
      </w:r>
    </w:p>
    <w:p>
      <w:pPr>
        <w:widowControl/>
      </w:pPr>
      <w:r>
        <w:t>Ask only for information reasonably necessary to match and authenticate the request. Prefer account sign-in confirmation, verified email control, or information already on file over collection of new government identification. If stronger proof is genuinely required, provide a secure channel and delete unnecessary verification copies after the verification purpose is complete.</w:t>
      </w:r>
    </w:p>
    <w:p>
      <w:pPr>
        <w:pStyle w:val="Heading2"/>
        <w:widowControl/>
      </w:pPr>
      <w:r>
        <w:t>3. Request categories</w:t>
      </w:r>
    </w:p>
    <w:p>
      <w:pPr>
        <w:widowControl/>
      </w:pPr>
      <w:r>
        <w:t>Operational categories should include access/know, copy/portability, correction, deletion/erasure, restriction, objection, withdrawal of consent, marketing opt-out, advertising opt-out where applicable, account closure, authorized-agent request, appeal where applicable, and general privacy inquiry.</w:t>
      </w:r>
    </w:p>
    <w:p>
      <w:pPr>
        <w:pStyle w:val="Heading2"/>
        <w:widowControl/>
      </w:pPr>
      <w:r>
        <w:t>4. Search scope</w:t>
      </w:r>
    </w:p>
    <w:p>
      <w:pPr>
        <w:widowControl/>
      </w:pPr>
      <w:r>
        <w:t>Search relevant systems instead of only the front-end database. Depending on the request, this can include authentication records, public community records, moderation notes, submission records, support email, newsletter records, label portal records, security logs, payment-provider references, vendor-held records under the operator's control, and backups to the extent required and technically reasonable.</w:t>
      </w:r>
    </w:p>
    <w:p>
      <w:pPr>
        <w:pStyle w:val="Heading2"/>
        <w:widowControl/>
      </w:pPr>
      <w:r>
        <w:t>5. Exemptions and preservation</w:t>
      </w:r>
    </w:p>
    <w:p>
      <w:pPr>
        <w:widowControl/>
      </w:pPr>
      <w:r>
        <w:t>Before deleting records, check for contract administration, royalties, accounting or tax duties, fraud prevention, security, intellectual-property disputes, legal holds, active litigation or claims, regulatory obligations, freedom-of-expression considerations, and records necessary to demonstrate prior compliance. Retain only what the lawful exception requires.</w:t>
      </w:r>
    </w:p>
    <w:p>
      <w:pPr>
        <w:pStyle w:val="Heading2"/>
        <w:widowControl/>
      </w:pPr>
      <w:r>
        <w:t>6. Vendor requests</w:t>
      </w:r>
    </w:p>
    <w:p>
      <w:pPr>
        <w:widowControl/>
      </w:pPr>
      <w:r>
        <w:t>When a processor or service provider holds information that must be corrected, exported, or deleted, use the provider's administrative tools or support process and document the action. Do not tell a user data was deleted everywhere until applicable downstream deletion has been completed or a lawful exception is explained.</w:t>
      </w:r>
    </w:p>
    <w:p>
      <w:pPr>
        <w:pStyle w:val="Heading2"/>
        <w:widowControl/>
      </w:pPr>
      <w:r>
        <w:t>7. Response quality</w:t>
      </w:r>
    </w:p>
    <w:p>
      <w:pPr>
        <w:widowControl/>
      </w:pPr>
      <w:r>
        <w:t>Responses should be understandable, accessible, and specific. If a request is denied or limited, explain the reason and available complaint or appeal rights where required. Do not use a vague "security reasons" statement when a more precise explanation can be given safely.</w:t>
      </w:r>
    </w:p>
    <w:p>
      <w:pPr>
        <w:pStyle w:val="Heading2"/>
        <w:widowControl/>
      </w:pPr>
      <w:r>
        <w:t>8. Deadlines</w:t>
      </w:r>
    </w:p>
    <w:p>
      <w:pPr>
        <w:widowControl/>
      </w:pPr>
      <w:r>
        <w:t>The DPO should maintain a jurisdictional deadline tracker rather than assuming every privacy law uses the same response period. Start the internal target substantially before the legal deadline so identity questions and vendor work do not cause a late response.</w:t>
      </w:r>
    </w:p>
    <w:p>
      <w:pPr>
        <w:pStyle w:val="Heading2"/>
        <w:widowControl/>
      </w:pPr>
      <w:r>
        <w:t>9. Sensitive exports</w:t>
      </w:r>
    </w:p>
    <w:p>
      <w:pPr>
        <w:widowControl/>
      </w:pPr>
      <w:r>
        <w:t>Exports containing private information should use a secure delivery method, limited-lived download, authenticated portal, or encrypted archive where appropriate. Do not send a large private-data export to an unverified email address merely because that address appears in a request.</w:t>
      </w:r>
    </w:p>
    <w:p>
      <w:pPr>
        <w:pStyle w:val="Heading2"/>
        <w:widowControl/>
      </w:pPr>
      <w:r>
        <w:t>10. Audit trail</w:t>
      </w:r>
    </w:p>
    <w:p>
      <w:pPr>
        <w:widowControl/>
      </w:pPr>
      <w:r>
        <w:t>Keep a proportionate record of the request and disposition so the operator can demonstrate compliance without retaining an unnecessary duplicate of all information that was deleted.</w:t>
      </w:r>
    </w:p>
    <w:p>
      <w:pPr>
        <w:widowControl/>
      </w:pPr>
      <w:r>
        <w:br w:type="page"/>
      </w:r>
    </w:p>
    <w:p>
      <w:pPr>
        <w:pStyle w:val="Heading1"/>
        <w:widowControl/>
      </w:pPr>
      <w:r>
        <w:t>Part XIX - Internal Data Retention and Deletion Schedule</w:t>
      </w:r>
    </w:p>
    <w:p>
      <w:pPr>
        <w:pStyle w:val="DocumentNote"/>
        <w:widowControl/>
      </w:pPr>
      <w:r>
        <w:t>INTERNAL IMPLEMENTATION TARGETS - VERIFY AGAINST ACTUAL CODE, CONTRACTS, ACCOUNTING, TAX, AND LEGAL DUTIES BEFORE AUTOMATING</w:t>
      </w:r>
    </w:p>
    <w:p>
      <w:pPr>
        <w:pStyle w:val="Heading2"/>
        <w:widowControl/>
      </w:pPr>
      <w:r>
        <w:t>1. Governing principle</w:t>
      </w:r>
    </w:p>
    <w:p>
      <w:pPr>
        <w:widowControl/>
      </w:pPr>
      <w:r>
        <w:t>Do not keep information forever merely because storage is cheap. Each category needs a documented purpose, owner, trigger date, ordinary period, legal-hold override, and deletion or anonymization method. Production code and vendor settings must match the published retention description.</w:t>
      </w:r>
    </w:p>
    <w:p>
      <w:pPr>
        <w:pStyle w:val="Heading2"/>
        <w:widowControl/>
      </w:pPr>
      <w:r>
        <w:t>2. Local-only Media Suite source files</w:t>
      </w:r>
    </w:p>
    <w:p>
      <w:pPr>
        <w:widowControl/>
      </w:pPr>
      <w:r>
        <w:t>Target: no server retention because the source remains in the browser. Revoke browser object URLs and release temporary references after processing or navigation where feasible.</w:t>
      </w:r>
    </w:p>
    <w:p>
      <w:pPr>
        <w:pStyle w:val="Heading2"/>
        <w:widowControl/>
      </w:pPr>
      <w:r>
        <w:t>3. Future server-side temporary media</w:t>
      </w:r>
    </w:p>
    <w:p>
      <w:pPr>
        <w:widowControl/>
      </w:pPr>
      <w:r>
        <w:t>Target: automatic deletion within 24 hours after successful processing or failure unless the user expressly saves the project into an authenticated workspace with a different disclosed lifecycle. Never introduce silent indefinite media storage.</w:t>
      </w:r>
    </w:p>
    <w:p>
      <w:pPr>
        <w:pStyle w:val="Heading2"/>
        <w:widowControl/>
      </w:pPr>
      <w:r>
        <w:t>4. Rejected or inactive music-submission media</w:t>
      </w:r>
    </w:p>
    <w:p>
      <w:pPr>
        <w:widowControl/>
      </w:pPr>
      <w:r>
        <w:t>Target: 12 months after the review closes or becomes inactive, unless the submitter requests earlier deletion and no lawful preservation reason applies. Consider shorter periods for large source audio once review is complete while retaining minimal submission metadata needed to prevent confusion or document decisions.</w:t>
      </w:r>
    </w:p>
    <w:p>
      <w:pPr>
        <w:pStyle w:val="Heading2"/>
        <w:widowControl/>
      </w:pPr>
      <w:r>
        <w:t>5. Submission metadata and ordinary professional inquiries</w:t>
      </w:r>
    </w:p>
    <w:p>
      <w:pPr>
        <w:widowControl/>
      </w:pPr>
      <w:r>
        <w:t>Target: 24 months after closure or last meaningful activity for ordinary unsuccessful inquiries. Active negotiations and accepted relationships move into the applicable contractual record schedule.</w:t>
      </w:r>
    </w:p>
    <w:p>
      <w:pPr>
        <w:pStyle w:val="Heading2"/>
        <w:widowControl/>
      </w:pPr>
      <w:r>
        <w:t>6. Community content</w:t>
      </w:r>
    </w:p>
    <w:p>
      <w:pPr>
        <w:widowControl/>
      </w:pPr>
      <w:r>
        <w:t>Public posts and comments: retain while published and until deleted by the user or moderation process, subject to legal or safety holds. Deleted public content should be removed from ordinary active display promptly. Backend deletion or anonymization should follow the configured lifecycle.</w:t>
      </w:r>
    </w:p>
    <w:p>
      <w:pPr>
        <w:pStyle w:val="Heading2"/>
        <w:widowControl/>
      </w:pPr>
      <w:r>
        <w:t>7. Moderation and abuse records</w:t>
      </w:r>
    </w:p>
    <w:p>
      <w:pPr>
        <w:widowControl/>
      </w:pPr>
      <w:r>
        <w:t>Target: 24 months after final action for ordinary moderation. Serious threats, exploitation, fraud, repeat-infringer evidence, litigation, or regulatory matters may justify longer preservation. Avoid retaining full prohibited content when a hash, URL, decision record, or redacted evidence is sufficient.</w:t>
      </w:r>
    </w:p>
    <w:p>
      <w:pPr>
        <w:pStyle w:val="Heading2"/>
        <w:widowControl/>
      </w:pPr>
      <w:r>
        <w:t>8. Authentication and security logs</w:t>
      </w:r>
    </w:p>
    <w:p>
      <w:pPr>
        <w:widowControl/>
      </w:pPr>
      <w:r>
        <w:t>Target: 12 months for ordinary sign-in, fraud, rate-limit, and security logs unless a shorter provider default is sufficient or a longer period is justified by a documented investigation. High-risk privileged-administration logs may justify a longer controlled period.</w:t>
      </w:r>
    </w:p>
    <w:p>
      <w:pPr>
        <w:pStyle w:val="Heading2"/>
        <w:widowControl/>
      </w:pPr>
      <w:r>
        <w:t>9. Support tickets</w:t>
      </w:r>
    </w:p>
    <w:p>
      <w:pPr>
        <w:widowControl/>
      </w:pPr>
      <w:r>
        <w:t>Target: 24 months after closure for ordinary support. Move contract, safety, dispute, or rights-request records into the applicable longer schedule when necessary.</w:t>
      </w:r>
    </w:p>
    <w:p>
      <w:pPr>
        <w:pStyle w:val="Heading2"/>
        <w:widowControl/>
      </w:pPr>
      <w:r>
        <w:t>10. Marketing consent evidence</w:t>
      </w:r>
    </w:p>
    <w:p>
      <w:pPr>
        <w:widowControl/>
      </w:pPr>
      <w:r>
        <w:t>Target: retain active consent evidence while marketing continues and for a reasonable limitation/compliance period afterward. Keep a minimal unsubscribe/suppression identifier for as long as needed to honor the opt-out and demonstrate compliance.</w:t>
      </w:r>
    </w:p>
    <w:p>
      <w:pPr>
        <w:pStyle w:val="Heading2"/>
        <w:widowControl/>
      </w:pPr>
      <w:r>
        <w:t>11. Privacy-rights request records</w:t>
      </w:r>
    </w:p>
    <w:p>
      <w:pPr>
        <w:widowControl/>
      </w:pPr>
      <w:r>
        <w:t>Target: approximately three years after closure unless applicable law, limitation periods, or enforcement risk justify a different period. Do not retain unnecessary identity documents merely because a rights request occurred.</w:t>
      </w:r>
    </w:p>
    <w:p>
      <w:pPr>
        <w:pStyle w:val="Heading2"/>
        <w:widowControl/>
      </w:pPr>
      <w:r>
        <w:t>12. Contracts, royalty, catalog, accounting, payout, and tax records</w:t>
      </w:r>
    </w:p>
    <w:p>
      <w:pPr>
        <w:widowControl/>
      </w:pPr>
      <w:r>
        <w:t>Target: relationship duration plus at least seven years after the applicable accounting or contractual period where consistent with governing tax, accounting, limitation, distributor, and contract requirements. Some rights and royalty records can require longer preservation because ownership and royalty obligations can outlive ordinary business correspondence.</w:t>
      </w:r>
    </w:p>
    <w:p>
      <w:pPr>
        <w:pStyle w:val="Heading2"/>
        <w:widowControl/>
      </w:pPr>
      <w:r>
        <w:t>13. Label portal messages and tasks</w:t>
      </w:r>
    </w:p>
    <w:p>
      <w:pPr>
        <w:widowControl/>
      </w:pPr>
      <w:r>
        <w:t>Operational notes: review annually and remove stale material that has no continuing business purpose. Messages that form part of contract administration, release instructions, royalty disputes, approvals, or rights evidence should follow the corresponding contract or rights-record schedule.</w:t>
      </w:r>
    </w:p>
    <w:p>
      <w:pPr>
        <w:pStyle w:val="Heading2"/>
        <w:widowControl/>
      </w:pPr>
      <w:r>
        <w:t>14. Incident and breach records</w:t>
      </w:r>
    </w:p>
    <w:p>
      <w:pPr>
        <w:widowControl/>
      </w:pPr>
      <w:r>
        <w:t>Target: at least five years after closure or longer if NPC reporting rules, litigation, insurer requirements, or regulatory action require it. Preserve the incident chronology, decisions, notices, remediation, and evidence without maintaining unnecessary exposed data.</w:t>
      </w:r>
    </w:p>
    <w:p>
      <w:pPr>
        <w:pStyle w:val="Heading2"/>
        <w:widowControl/>
      </w:pPr>
      <w:r>
        <w:t>15. Backups</w:t>
      </w:r>
    </w:p>
    <w:p>
      <w:pPr>
        <w:widowControl/>
      </w:pPr>
      <w:r>
        <w:t>Target: rolling overwrite within 30 to 90 days depending on architecture. Deleted information may remain in secure backups until normal overwrite if restoration procedures prevent ordinary reintroduction or include a process to re-apply deletion after restoration.</w:t>
      </w:r>
    </w:p>
    <w:p>
      <w:pPr>
        <w:pStyle w:val="Heading2"/>
        <w:widowControl/>
      </w:pPr>
      <w:r>
        <w:t>16. Legal holds</w:t>
      </w:r>
    </w:p>
    <w:p>
      <w:pPr>
        <w:widowControl/>
      </w:pPr>
      <w:r>
        <w:t>A documented legal hold overrides ordinary deletion for specifically identified records. Holds should have an owner, scope, reason, start date, periodic review, and release process. Do not freeze unrelated data merely because one dispute exists.</w:t>
      </w:r>
    </w:p>
    <w:p>
      <w:pPr>
        <w:widowControl/>
      </w:pPr>
      <w:r>
        <w:br w:type="page"/>
      </w:r>
    </w:p>
    <w:p>
      <w:pPr>
        <w:pStyle w:val="Heading1"/>
        <w:widowControl/>
      </w:pPr>
      <w:r>
        <w:t>Part XX - Internal Security Incident and Personal Data Breach Response Plan</w:t>
      </w:r>
    </w:p>
    <w:p>
      <w:pPr>
        <w:pStyle w:val="DocumentNote"/>
        <w:widowControl/>
      </w:pPr>
      <w:r>
        <w:t>INTERNAL OPERATING PROCEDURE</w:t>
      </w:r>
    </w:p>
    <w:p>
      <w:pPr>
        <w:pStyle w:val="Heading2"/>
        <w:widowControl/>
      </w:pPr>
      <w:r>
        <w:t>1. Incident lead</w:t>
      </w:r>
    </w:p>
    <w:p>
      <w:pPr>
        <w:widowControl/>
      </w:pPr>
      <w:r>
        <w:t>Kaeleb Savon Heck serves as Security and Incident Response Lead and Data Protection Officer for this procedure. Security intake: security@mrblindbandit.net. Privacy escalation: privacy@mrblindbandit.net.</w:t>
      </w:r>
    </w:p>
    <w:p>
      <w:pPr>
        <w:pStyle w:val="Heading2"/>
        <w:widowControl/>
      </w:pPr>
      <w:r>
        <w:t>2. Immediate priorities</w:t>
      </w:r>
    </w:p>
    <w:p>
      <w:pPr>
        <w:widowControl/>
      </w:pPr>
      <w:r>
        <w:t>On receiving a credible report: preserve evidence; prevent further unauthorized access; rotate exposed credentials or keys; isolate affected systems if necessary; preserve logs; identify affected data and users; avoid destroying forensic evidence; and document every material action with timestamps.</w:t>
      </w:r>
    </w:p>
    <w:p>
      <w:pPr>
        <w:pStyle w:val="Heading2"/>
        <w:widowControl/>
      </w:pPr>
      <w:r>
        <w:t>3. Severity triage</w:t>
      </w:r>
    </w:p>
    <w:p>
      <w:pPr>
        <w:widowControl/>
      </w:pPr>
      <w:r>
        <w:t>Classify incidents according to data sensitivity, number of people, active attacker access, credential compromise, privilege level, financial exposure, public availability, child-safety implications, likelihood of identity fraud, operational impact, and whether protected or sensitive personal information was acquired.</w:t>
      </w:r>
    </w:p>
    <w:p>
      <w:pPr>
        <w:pStyle w:val="Heading2"/>
        <w:widowControl/>
      </w:pPr>
      <w:r>
        <w:t>4. Vendor incidents</w:t>
      </w:r>
    </w:p>
    <w:p>
      <w:pPr>
        <w:widowControl/>
      </w:pPr>
      <w:r>
        <w:t>If a provider is involved, open the provider's security process immediately, preserve case numbers and notices, determine what the provider knows, and do not assume the provider will satisfy the operator's own notification obligations. Contractual processor notice obligations should be recorded in the vendor inventory.</w:t>
      </w:r>
    </w:p>
    <w:p>
      <w:pPr>
        <w:pStyle w:val="Heading2"/>
        <w:widowControl/>
      </w:pPr>
      <w:r>
        <w:t>5. Philippine breach assessment</w:t>
      </w:r>
    </w:p>
    <w:p>
      <w:pPr>
        <w:widowControl/>
      </w:pPr>
      <w:r>
        <w:t>Assess whether the incident meets the Philippine mandatory-notification criteria. The NPC framework can require notification to the Commission and affected data subjects within 72 hours of knowledge or reasonable belief of a qualifying personal-data breach. If the incident is not reportable, document the analysis and include the incident in required Annual Security Incident Report processes as applicable.</w:t>
      </w:r>
    </w:p>
    <w:p>
      <w:pPr>
        <w:pStyle w:val="Heading2"/>
        <w:widowControl/>
      </w:pPr>
      <w:r>
        <w:t>6. Notification content</w:t>
      </w:r>
    </w:p>
    <w:p>
      <w:pPr>
        <w:widowControl/>
      </w:pPr>
      <w:r>
        <w:t>Where notice is required, provide clear information about the nature of the incident, affected data, likely consequences, containment and remediation, protective actions individuals can take, and a contact for further information. Do not delay simply to make every fact perfect if the law requires an initial notice based on available information.</w:t>
      </w:r>
    </w:p>
    <w:p>
      <w:pPr>
        <w:pStyle w:val="Heading2"/>
        <w:widowControl/>
      </w:pPr>
      <w:r>
        <w:t>7. Credentials and secret exposure</w:t>
      </w:r>
    </w:p>
    <w:p>
      <w:pPr>
        <w:widowControl/>
      </w:pPr>
      <w:r>
        <w:t>If a Clerk secret, API key, database credential, email key, Cloudflare token, webhook secret, signing key, or other privileged credential is exposed, rotate or revoke it immediately, review logs from before and after rotation, identify unauthorized actions, and remove the secret from repositories, builds, logs, support transcripts, and browser-delivered code where applicable.</w:t>
      </w:r>
    </w:p>
    <w:p>
      <w:pPr>
        <w:pStyle w:val="Heading2"/>
        <w:widowControl/>
      </w:pPr>
      <w:r>
        <w:t>8. User credential compromise</w:t>
      </w:r>
    </w:p>
    <w:p>
      <w:pPr>
        <w:widowControl/>
      </w:pPr>
      <w:r>
        <w:t>Invalidate sessions where appropriate, require credential reset or reauthentication, notify affected users when warranted, and review account changes, email changes, MFA changes, role grants, document access, and exports.</w:t>
      </w:r>
    </w:p>
    <w:p>
      <w:pPr>
        <w:pStyle w:val="Heading2"/>
        <w:widowControl/>
      </w:pPr>
      <w:r>
        <w:t>9. Post-incident review</w:t>
      </w:r>
    </w:p>
    <w:p>
      <w:pPr>
        <w:widowControl/>
      </w:pPr>
      <w:r>
        <w:t>After containment, record root cause, control failures, impact, notification decisions, remediation, owner, due dates, and evidence that the fix was deployed. Update threat models, tests, policies, or training so the same failure is less likely to recur.</w:t>
      </w:r>
    </w:p>
    <w:p>
      <w:pPr>
        <w:widowControl/>
      </w:pPr>
      <w:r>
        <w:br w:type="page"/>
      </w:r>
    </w:p>
    <w:p>
      <w:pPr>
        <w:pStyle w:val="Heading1"/>
        <w:widowControl/>
      </w:pPr>
      <w:r>
        <w:t>Part XXI - Internal Moderation, Illegal-Content, and Online-Safety Procedure</w:t>
      </w:r>
    </w:p>
    <w:p>
      <w:pPr>
        <w:pStyle w:val="DocumentNote"/>
        <w:widowControl/>
      </w:pPr>
      <w:r>
        <w:t>INTERNAL OPERATING PROCEDURE</w:t>
      </w:r>
    </w:p>
    <w:p>
      <w:pPr>
        <w:pStyle w:val="Heading2"/>
        <w:widowControl/>
      </w:pPr>
      <w:r>
        <w:t>1. Reporting channel</w:t>
      </w:r>
    </w:p>
    <w:p>
      <w:pPr>
        <w:widowControl/>
      </w:pPr>
      <w:r>
        <w:t>Provide a user-friendly method to report a specific post, comment, account, or other item. The report should capture the URL or content identifier, reason, supporting explanation, reporter contact where appropriate, urgency, and category without forcing the reporter to send unrelated private data.</w:t>
      </w:r>
    </w:p>
    <w:p>
      <w:pPr>
        <w:pStyle w:val="Heading2"/>
        <w:widowControl/>
      </w:pPr>
      <w:r>
        <w:t>2. Categories</w:t>
      </w:r>
    </w:p>
    <w:p>
      <w:pPr>
        <w:widowControl/>
      </w:pPr>
      <w:r>
        <w:t>Use consistent moderation categories such as copyright, impersonation, privacy/doxxing, harassment, threat/violence, child safety, sexual exploitation, fraud/scam, malware/security, illegal goods/services, spam/manipulation, hate/dehumanization, self-harm encouragement, non-consensual intimate content, and other legal concern.</w:t>
      </w:r>
    </w:p>
    <w:p>
      <w:pPr>
        <w:pStyle w:val="Heading2"/>
        <w:widowControl/>
      </w:pPr>
      <w:r>
        <w:t>3. Urgent escalation</w:t>
      </w:r>
    </w:p>
    <w:p>
      <w:pPr>
        <w:widowControl/>
      </w:pPr>
      <w:r>
        <w:t>Threats to life, suspected child sexual exploitation, active credential theft, malware distribution, and exposure of highly sensitive personal information should receive priority review. Preserve necessary evidence while minimizing additional exposure.</w:t>
      </w:r>
    </w:p>
    <w:p>
      <w:pPr>
        <w:pStyle w:val="Heading2"/>
        <w:widowControl/>
      </w:pPr>
      <w:r>
        <w:t>4. Decision record</w:t>
      </w:r>
    </w:p>
    <w:p>
      <w:pPr>
        <w:widowControl/>
      </w:pPr>
      <w:r>
        <w:t>For a meaningful restriction, record the content identifier, policy or legal basis, evidence reviewed, action, duration, reviewer, automation used if relevant, date, user notice, appeal availability, and appeal result.</w:t>
      </w:r>
    </w:p>
    <w:p>
      <w:pPr>
        <w:pStyle w:val="Heading2"/>
        <w:widowControl/>
      </w:pPr>
      <w:r>
        <w:t>5. Reasons to users</w:t>
      </w:r>
    </w:p>
    <w:p>
      <w:pPr>
        <w:widowControl/>
      </w:pPr>
      <w:r>
        <w:t>When appropriate and safe, tell the affected user what rule or legal issue caused the action and what content was affected. Do not disclose a reporter's private identity or law-enforcement-sensitive information merely to explain the decision.</w:t>
      </w:r>
    </w:p>
    <w:p>
      <w:pPr>
        <w:pStyle w:val="Heading2"/>
        <w:widowControl/>
      </w:pPr>
      <w:r>
        <w:t>6. Appeals</w:t>
      </w:r>
    </w:p>
    <w:p>
      <w:pPr>
        <w:widowControl/>
      </w:pPr>
      <w:r>
        <w:t>Provide a meaningful appeal path for significant content or account restrictions unless doing so would be unlawful, unsafe, or obviously abusive. A reviewer should examine context and evidence rather than treating the original action as automatically correct.</w:t>
      </w:r>
    </w:p>
    <w:p>
      <w:pPr>
        <w:pStyle w:val="Heading2"/>
        <w:widowControl/>
      </w:pPr>
      <w:r>
        <w:t>7. DSA readiness if scope applies</w:t>
      </w:r>
    </w:p>
    <w:p>
      <w:pPr>
        <w:widowControl/>
      </w:pPr>
      <w:r>
        <w:t>If the service becomes subject to the EU Digital Services Act as a hosting service or online platform, verify the exact obligations that apply to its size and establishment/targeting facts. Build the report form so it can support Article 16-style sufficiently precise notices and build the moderation system so qualifying restrictions can generate Article 17-style statements of reasons. Do not claim DSA compliance before scope and implementation are confirmed.</w:t>
      </w:r>
    </w:p>
    <w:p>
      <w:pPr>
        <w:pStyle w:val="Heading2"/>
        <w:widowControl/>
      </w:pPr>
      <w:r>
        <w:t>8. UK Online Safety readiness if scope applies</w:t>
      </w:r>
    </w:p>
    <w:p>
      <w:pPr>
        <w:widowControl/>
      </w:pPr>
      <w:r>
        <w:t>For a user-to-user service within UK Online Safety Act scope, maintain an illegal-content risk assessment, relevant safety measures, reporting and complaints processes, and terms describing protections. Complete and document a children's access assessment; if children are likely to access the service, complete the required child-risk and protection work. Scope and duties must be reassessed as the community changes.</w:t>
      </w:r>
    </w:p>
    <w:p>
      <w:pPr>
        <w:widowControl/>
      </w:pPr>
      <w:r>
        <w:br w:type="page"/>
      </w:r>
    </w:p>
    <w:p>
      <w:pPr>
        <w:pStyle w:val="Heading1"/>
        <w:widowControl/>
      </w:pPr>
      <w:r>
        <w:t>Part XXII - ChatGPT Work / Worker Mode Implementation Checklist</w:t>
      </w:r>
    </w:p>
    <w:p>
      <w:pPr>
        <w:widowControl/>
      </w:pPr>
      <w:r>
        <w:t>THIS IS THE ACTION PLAN TO HAND TO WORK MODE. ITEMS MAY REQUIRE CODE, ACCOUNT SETTINGS, DATABASE CHANGES, OR MANUAL EXTERNAL FILINGS.</w:t>
      </w:r>
    </w:p>
    <w:p>
      <w:pPr>
        <w:pStyle w:val="Heading2"/>
        <w:widowControl/>
      </w:pPr>
      <w:r>
        <w:t>Phase 1 - Freeze and inventory the live site</w:t>
      </w:r>
    </w:p>
    <w:p>
      <w:pPr>
        <w:pStyle w:val="ListBullet"/>
        <w:widowControl/>
      </w:pPr>
      <w:r>
        <w:t>Crawl every public route and authenticated route that Work can access.</w:t>
      </w:r>
    </w:p>
    <w:p>
      <w:pPr>
        <w:pStyle w:val="ListBullet"/>
        <w:widowControl/>
      </w:pPr>
      <w:r>
        <w:t>Export a route inventory including page title, purpose, forms, embeds, scripts, authentication requirement, advertising presence, and legal-policy links.</w:t>
      </w:r>
    </w:p>
    <w:p>
      <w:pPr>
        <w:pStyle w:val="ListBullet"/>
        <w:widowControl/>
      </w:pPr>
      <w:r>
        <w:t>Record every third-party domain requested by each route.</w:t>
      </w:r>
    </w:p>
    <w:p>
      <w:pPr>
        <w:pStyle w:val="ListBullet"/>
        <w:widowControl/>
      </w:pPr>
      <w:r>
        <w:t>Identify every form field and where its data is stored or sent.</w:t>
      </w:r>
    </w:p>
    <w:p>
      <w:pPr>
        <w:pStyle w:val="ListBullet"/>
        <w:widowControl/>
      </w:pPr>
      <w:r>
        <w:t>Identify every cookie, local-storage key, session-storage key, IndexedDB database, authentication token, analytics/ad identifier, and consent record.</w:t>
      </w:r>
    </w:p>
    <w:p>
      <w:pPr>
        <w:pStyle w:val="ListBullet"/>
        <w:widowControl/>
      </w:pPr>
      <w:r>
        <w:t>Identify all database tables or collections that store accounts, posts, comments, votes, submissions, messages, contracts, announcements, statements, tasks, or logs.</w:t>
      </w:r>
    </w:p>
    <w:p>
      <w:pPr>
        <w:pStyle w:val="ListBullet"/>
        <w:widowControl/>
      </w:pPr>
      <w:r>
        <w:t>Identify all cron jobs, queues, webhooks, serverless functions, and storage buckets.</w:t>
      </w:r>
    </w:p>
    <w:p>
      <w:pPr>
        <w:pStyle w:val="ListBullet"/>
        <w:widowControl/>
      </w:pPr>
      <w:r>
        <w:t>Produce a private data-flow map. Do not publish infrastructure secrets.</w:t>
      </w:r>
    </w:p>
    <w:p>
      <w:pPr>
        <w:pStyle w:val="Heading2"/>
        <w:widowControl/>
      </w:pPr>
      <w:r>
        <w:t>Phase 2 - Replace and align the legal pages</w:t>
      </w:r>
    </w:p>
    <w:p>
      <w:pPr>
        <w:pStyle w:val="ListBullet"/>
        <w:widowControl/>
      </w:pPr>
      <w:r>
        <w:t>Replace the current seven-section Website Terms with Part III of this package, adapting navigation links without weakening substantive protections.</w:t>
      </w:r>
    </w:p>
    <w:p>
      <w:pPr>
        <w:pStyle w:val="ListBullet"/>
        <w:widowControl/>
      </w:pPr>
      <w:r>
        <w:t>Expand the live Privacy Policy using Part IV only after confirming each factual statement against production behavior.</w:t>
      </w:r>
    </w:p>
    <w:p>
      <w:pPr>
        <w:pStyle w:val="ListBullet"/>
        <w:widowControl/>
      </w:pPr>
      <w:r>
        <w:t>Replace or expand the Cookie and Storage Notice using Part V.</w:t>
      </w:r>
    </w:p>
    <w:p>
      <w:pPr>
        <w:pStyle w:val="ListBullet"/>
        <w:widowControl/>
      </w:pPr>
      <w:r>
        <w:t>Update the Copyright Policy using Part VI. Do not publish a statement that the DMCA designation is registered until the registration is actually completed.</w:t>
      </w:r>
    </w:p>
    <w:p>
      <w:pPr>
        <w:pStyle w:val="ListBullet"/>
        <w:widowControl/>
      </w:pPr>
      <w:r>
        <w:t>Publish Community Guidelines from Part VII.</w:t>
      </w:r>
    </w:p>
    <w:p>
      <w:pPr>
        <w:pStyle w:val="ListBullet"/>
        <w:widowControl/>
      </w:pPr>
      <w:r>
        <w:t>Publish Child Safety Policy from Part VIII.</w:t>
      </w:r>
    </w:p>
    <w:p>
      <w:pPr>
        <w:pStyle w:val="ListBullet"/>
        <w:widowControl/>
      </w:pPr>
      <w:r>
        <w:t>Publish Music Submission Terms from Part IX and link them immediately before submission.</w:t>
      </w:r>
    </w:p>
    <w:p>
      <w:pPr>
        <w:pStyle w:val="ListBullet"/>
        <w:widowControl/>
      </w:pPr>
      <w:r>
        <w:t>Publish Media Suite Terms from Part X and link them from every Media Suite tool.</w:t>
      </w:r>
    </w:p>
    <w:p>
      <w:pPr>
        <w:pStyle w:val="ListBullet"/>
        <w:widowControl/>
      </w:pPr>
      <w:r>
        <w:t>Place Label Portal Supplemental Terms and Label Portal Privacy Notice inside the authenticated portal.</w:t>
      </w:r>
    </w:p>
    <w:p>
      <w:pPr>
        <w:pStyle w:val="ListBullet"/>
        <w:widowControl/>
      </w:pPr>
      <w:r>
        <w:t>Publish the Advertising Disclosure and revised Accessibility Statement.</w:t>
      </w:r>
    </w:p>
    <w:p>
      <w:pPr>
        <w:pStyle w:val="ListBullet"/>
        <w:widowControl/>
      </w:pPr>
      <w:r>
        <w:t>Add Security/Vulnerability Reporting as a small public page if desired.</w:t>
      </w:r>
    </w:p>
    <w:p>
      <w:pPr>
        <w:pStyle w:val="ListBullet"/>
        <w:widowControl/>
      </w:pPr>
      <w:r>
        <w:t>Add a legal hub linking Privacy, Terms, Cookies, Copyright, Community, Child Safety, Submission Terms, Media Suite Terms, Advertising, Accessibility, Security, and Contact.</w:t>
      </w:r>
    </w:p>
    <w:p>
      <w:pPr>
        <w:pStyle w:val="ListBullet"/>
        <w:widowControl/>
      </w:pPr>
      <w:r>
        <w:t>Add effective dates and retain prior versions privately for evidence.</w:t>
      </w:r>
    </w:p>
    <w:p>
      <w:pPr>
        <w:pStyle w:val="Heading2"/>
        <w:widowControl/>
      </w:pPr>
      <w:r>
        <w:t>Phase 3 - Officer and compliance-role implementation</w:t>
      </w:r>
    </w:p>
    <w:p>
      <w:pPr>
        <w:pStyle w:val="ListBullet"/>
        <w:widowControl/>
      </w:pPr>
      <w:r>
        <w:t>Make Kaeleb Savon Heck the internal and public Data Protection Officer / Privacy Officer where appropriate.</w:t>
      </w:r>
    </w:p>
    <w:p>
      <w:pPr>
        <w:pStyle w:val="ListBullet"/>
        <w:widowControl/>
      </w:pPr>
      <w:r>
        <w:t>Make Kaeleb Savon Heck the Copyright Officer.</w:t>
      </w:r>
    </w:p>
    <w:p>
      <w:pPr>
        <w:pStyle w:val="ListBullet"/>
        <w:widowControl/>
      </w:pPr>
      <w:r>
        <w:t>Make Kaeleb Savon Heck the Accessibility Coordinator.</w:t>
      </w:r>
    </w:p>
    <w:p>
      <w:pPr>
        <w:pStyle w:val="ListBullet"/>
        <w:widowControl/>
      </w:pPr>
      <w:r>
        <w:t>Make Kaeleb Savon Heck the Child Safety and Trust Officer.</w:t>
      </w:r>
    </w:p>
    <w:p>
      <w:pPr>
        <w:pStyle w:val="ListBullet"/>
        <w:widowControl/>
      </w:pPr>
      <w:r>
        <w:t>Make Kaeleb Savon Heck the Security and Incident Response Lead.</w:t>
      </w:r>
    </w:p>
    <w:p>
      <w:pPr>
        <w:pStyle w:val="ListBullet"/>
        <w:widowControl/>
      </w:pPr>
      <w:r>
        <w:t>Make Kaeleb Savon Heck the Community Moderation Lead.</w:t>
      </w:r>
    </w:p>
    <w:p>
      <w:pPr>
        <w:pStyle w:val="ListBullet"/>
        <w:widowControl/>
      </w:pPr>
      <w:r>
        <w:t>Make Kaeleb Savon Heck the Records Retention Officer.</w:t>
      </w:r>
    </w:p>
    <w:p>
      <w:pPr>
        <w:pStyle w:val="ListBullet"/>
        <w:widowControl/>
      </w:pPr>
      <w:r>
        <w:t>Make Kaeleb Savon Heck the Advertising Compliance Officer.</w:t>
      </w:r>
    </w:p>
    <w:p>
      <w:pPr>
        <w:pStyle w:val="ListBullet"/>
        <w:widowControl/>
      </w:pPr>
      <w:r>
        <w:t>Route the existing role-based addresses to monitored inboxes and test delivery.</w:t>
      </w:r>
    </w:p>
    <w:p>
      <w:pPr>
        <w:pStyle w:val="ListBullet"/>
        <w:widowControl/>
      </w:pPr>
      <w:r>
        <w:t>Keep operational proof of each designation privately; do not add "pending registration" placeholders to public pages.</w:t>
      </w:r>
    </w:p>
    <w:p>
      <w:pPr>
        <w:pStyle w:val="Heading2"/>
        <w:widowControl/>
      </w:pPr>
      <w:r>
        <w:t>Phase 4 - Philippine National Privacy Commission work</w:t>
      </w:r>
    </w:p>
    <w:p>
      <w:pPr>
        <w:pStyle w:val="ListBullet"/>
        <w:widowControl/>
      </w:pPr>
      <w:r>
        <w:t>Determine whether the operator meets mandatory NPCRS registration criteria, including employee count, processing of sensitive personal information of at least 1,000 individuals, and processing likely to pose a risk to rights and freedoms.</w:t>
      </w:r>
    </w:p>
    <w:p>
      <w:pPr>
        <w:pStyle w:val="ListBullet"/>
        <w:widowControl/>
      </w:pPr>
      <w:r>
        <w:t>If mandatory, prepare NPCRS registration of the organization/data processing systems and DPO information as required.</w:t>
      </w:r>
    </w:p>
    <w:p>
      <w:pPr>
        <w:pStyle w:val="ListBullet"/>
        <w:widowControl/>
      </w:pPr>
      <w:r>
        <w:t>If not mandatory and voluntary registration is not chosen, prepare the notarized Sworn Declaration and Undertaking for Exemption required by NPC Circular 2022-04.</w:t>
      </w:r>
    </w:p>
    <w:p>
      <w:pPr>
        <w:pStyle w:val="ListBullet"/>
        <w:widowControl/>
      </w:pPr>
      <w:r>
        <w:t>Create and maintain a record of processing activities describing purpose, data categories, users, recipients, transfers, retention, safeguards, and owner.</w:t>
      </w:r>
    </w:p>
    <w:p>
      <w:pPr>
        <w:pStyle w:val="ListBullet"/>
        <w:widowControl/>
      </w:pPr>
      <w:r>
        <w:t>Create a privacy impact assessment template and run it before high-risk new features.</w:t>
      </w:r>
    </w:p>
    <w:p>
      <w:pPr>
        <w:pStyle w:val="ListBullet"/>
        <w:widowControl/>
      </w:pPr>
      <w:r>
        <w:t>Create the Annual Security Incident Report process and calendar.</w:t>
      </w:r>
    </w:p>
    <w:p>
      <w:pPr>
        <w:pStyle w:val="ListBullet"/>
        <w:widowControl/>
      </w:pPr>
      <w:r>
        <w:t>Configure the Data Breach Notification Management System access needed for qualifying breach reports and ASIR submissions.</w:t>
      </w:r>
    </w:p>
    <w:p>
      <w:pPr>
        <w:pStyle w:val="ListBullet"/>
        <w:widowControl/>
      </w:pPr>
      <w:r>
        <w:t>Implement the 72-hour incident escalation clock in the internal incident runbook.</w:t>
      </w:r>
    </w:p>
    <w:p>
      <w:pPr>
        <w:pStyle w:val="Heading2"/>
        <w:widowControl/>
      </w:pPr>
      <w:r>
        <w:t>Phase 5 - DMCA safe-harbor work</w:t>
      </w:r>
    </w:p>
    <w:p>
      <w:pPr>
        <w:pStyle w:val="ListBullet"/>
        <w:widowControl/>
      </w:pPr>
      <w:r>
        <w:t>Register a designated DMCA agent with the U.S. Copyright Office for the service provider, using the correct legal/operator identity and all relevant alternate names, including Mr. Blindbandit, Blindbandit Records, and mrblindbandit.net where appropriate.</w:t>
      </w:r>
    </w:p>
    <w:p>
      <w:pPr>
        <w:pStyle w:val="ListBullet"/>
        <w:widowControl/>
      </w:pPr>
      <w:r>
        <w:t>Name Kaeleb Savon Heck or the Copyright Officer role as the designated agent.</w:t>
      </w:r>
    </w:p>
    <w:p>
      <w:pPr>
        <w:pStyle w:val="ListBullet"/>
        <w:widowControl/>
      </w:pPr>
      <w:r>
        <w:t>Pay the current Copyright Office designation fee and preserve the confirmation.</w:t>
      </w:r>
    </w:p>
    <w:p>
      <w:pPr>
        <w:pStyle w:val="ListBullet"/>
        <w:widowControl/>
      </w:pPr>
      <w:r>
        <w:t>Update the public Copyright Policy with the exact agent information matching the Copyright Office directory.</w:t>
      </w:r>
    </w:p>
    <w:p>
      <w:pPr>
        <w:pStyle w:val="ListBullet"/>
        <w:widowControl/>
      </w:pPr>
      <w:r>
        <w:t>Add a three-year renewal reminder with advance warning so the designation does not lapse.</w:t>
      </w:r>
    </w:p>
    <w:p>
      <w:pPr>
        <w:pStyle w:val="ListBullet"/>
        <w:widowControl/>
      </w:pPr>
      <w:r>
        <w:t>Build a copyright notice intake form containing the statutory elements.</w:t>
      </w:r>
    </w:p>
    <w:p>
      <w:pPr>
        <w:pStyle w:val="ListBullet"/>
        <w:widowControl/>
      </w:pPr>
      <w:r>
        <w:t>Build a counter-notice workflow and track the statutory restoration window when applicable.</w:t>
      </w:r>
    </w:p>
    <w:p>
      <w:pPr>
        <w:pStyle w:val="ListBullet"/>
        <w:widowControl/>
      </w:pPr>
      <w:r>
        <w:t>Maintain a repeat-infringer log and documented termination policy.</w:t>
      </w:r>
    </w:p>
    <w:p>
      <w:pPr>
        <w:pStyle w:val="Heading2"/>
        <w:widowControl/>
      </w:pPr>
      <w:r>
        <w:t>Phase 6 - Google AdSense privacy and consent</w:t>
      </w:r>
    </w:p>
    <w:p>
      <w:pPr>
        <w:pStyle w:val="ListBullet"/>
        <w:widowControl/>
      </w:pPr>
      <w:r>
        <w:t>In AdSense Privacy &amp; messaging, create or verify the European regulations message for EEA, UK, and Switzerland traffic.</w:t>
      </w:r>
    </w:p>
    <w:p>
      <w:pPr>
        <w:pStyle w:val="ListBullet"/>
        <w:widowControl/>
      </w:pPr>
      <w:r>
        <w:t>Use Google's certified CMP or another certified TCF-integrated CMP. If using Google's CMP, enable the desired Consent Mode settings after reviewing what other Google products are deployed.</w:t>
      </w:r>
    </w:p>
    <w:p>
      <w:pPr>
        <w:pStyle w:val="ListBullet"/>
        <w:widowControl/>
      </w:pPr>
      <w:r>
        <w:t>Provide consent, do-not-consent, and manage-options choices consistent with the available Google configuration and applicable law.</w:t>
      </w:r>
    </w:p>
    <w:p>
      <w:pPr>
        <w:pStyle w:val="ListBullet"/>
        <w:widowControl/>
      </w:pPr>
      <w:r>
        <w:t>Turn on Google's Maximize Message Coverage only after reviewing whether the fallback behavior fits the site; it can help catch ad requests missing a valid TC string but is not a substitute for testing.</w:t>
      </w:r>
    </w:p>
    <w:p>
      <w:pPr>
        <w:pStyle w:val="ListBullet"/>
        <w:widowControl/>
      </w:pPr>
      <w:r>
        <w:t>Ensure a persistent Privacy Choices control lets users revisit the consent interface.</w:t>
      </w:r>
    </w:p>
    <w:p>
      <w:pPr>
        <w:pStyle w:val="ListBullet"/>
        <w:widowControl/>
      </w:pPr>
      <w:r>
        <w:t>Test a fresh EEA/UK/Swiss session with no prior consent and confirm optional advertising/storage behavior follows the selected choice.</w:t>
      </w:r>
    </w:p>
    <w:p>
      <w:pPr>
        <w:pStyle w:val="ListBullet"/>
        <w:widowControl/>
      </w:pPr>
      <w:r>
        <w:t>Test refusal and withdrawal, not merely consent.</w:t>
      </w:r>
    </w:p>
    <w:p>
      <w:pPr>
        <w:pStyle w:val="ListBullet"/>
        <w:widowControl/>
      </w:pPr>
      <w:r>
        <w:t>Prevent duplicate or conflicting custom cookie banners from fighting with the Google CMP.</w:t>
      </w:r>
    </w:p>
    <w:p>
      <w:pPr>
        <w:pStyle w:val="ListBullet"/>
        <w:widowControl/>
      </w:pPr>
      <w:r>
        <w:t>Verify AdSense is absent from private label-portal routes and private account data is not intentionally provided as ad-targeting input.</w:t>
      </w:r>
    </w:p>
    <w:p>
      <w:pPr>
        <w:pStyle w:val="ListBullet"/>
        <w:widowControl/>
      </w:pPr>
      <w:r>
        <w:t>Re-scan after every major advertising-code change.</w:t>
      </w:r>
    </w:p>
    <w:p>
      <w:pPr>
        <w:pStyle w:val="Heading2"/>
        <w:widowControl/>
      </w:pPr>
      <w:r>
        <w:t>Phase 7 - Cookie and storage inventory in code</w:t>
      </w:r>
    </w:p>
    <w:p>
      <w:pPr>
        <w:pStyle w:val="ListBullet"/>
        <w:widowControl/>
      </w:pPr>
      <w:r>
        <w:t>Enumerate cookies before consent, after reject-all, after accept-all, and after each optional category selection.</w:t>
      </w:r>
    </w:p>
    <w:p>
      <w:pPr>
        <w:pStyle w:val="ListBullet"/>
        <w:widowControl/>
      </w:pPr>
      <w:r>
        <w:t>Enumerate localStorage, sessionStorage, IndexedDB, service-worker caches, and third-party storage behavior.</w:t>
      </w:r>
    </w:p>
    <w:p>
      <w:pPr>
        <w:pStyle w:val="ListBullet"/>
        <w:widowControl/>
      </w:pPr>
      <w:r>
        <w:t>Classify each item as necessary, preference, advertising, analytics, media/embed, or other.</w:t>
      </w:r>
    </w:p>
    <w:p>
      <w:pPr>
        <w:pStyle w:val="ListBullet"/>
        <w:widowControl/>
      </w:pPr>
      <w:r>
        <w:t>Remove stale storage keys and unused trackers.</w:t>
      </w:r>
    </w:p>
    <w:p>
      <w:pPr>
        <w:pStyle w:val="ListBullet"/>
        <w:widowControl/>
      </w:pPr>
      <w:r>
        <w:t>Make consent state versioned so a material change can trigger re-consent where required.</w:t>
      </w:r>
    </w:p>
    <w:p>
      <w:pPr>
        <w:pStyle w:val="ListBullet"/>
        <w:widowControl/>
      </w:pPr>
      <w:r>
        <w:t>Add a developer test that fails if a known non-essential tag fires before required consent.</w:t>
      </w:r>
    </w:p>
    <w:p>
      <w:pPr>
        <w:pStyle w:val="Heading2"/>
        <w:widowControl/>
      </w:pPr>
      <w:r>
        <w:t>Phase 8 - Privacy-rights workflow</w:t>
      </w:r>
    </w:p>
    <w:p>
      <w:pPr>
        <w:pStyle w:val="ListBullet"/>
        <w:widowControl/>
      </w:pPr>
      <w:r>
        <w:t>Build an internal rights-request dashboard or structured ticket workflow.</w:t>
      </w:r>
    </w:p>
    <w:p>
      <w:pPr>
        <w:pStyle w:val="ListBullet"/>
        <w:widowControl/>
      </w:pPr>
      <w:r>
        <w:t>Add statuses: received, verification needed, verified, search in progress, vendor action pending, legal hold review, response ready, closed.</w:t>
      </w:r>
    </w:p>
    <w:p>
      <w:pPr>
        <w:pStyle w:val="ListBullet"/>
        <w:widowControl/>
      </w:pPr>
      <w:r>
        <w:t>Log deadlines and reminders.</w:t>
      </w:r>
    </w:p>
    <w:p>
      <w:pPr>
        <w:pStyle w:val="ListBullet"/>
        <w:widowControl/>
      </w:pPr>
      <w:r>
        <w:t>Provide export tooling for public account/community data and controlled admin export for private records.</w:t>
      </w:r>
    </w:p>
    <w:p>
      <w:pPr>
        <w:pStyle w:val="ListBullet"/>
        <w:widowControl/>
      </w:pPr>
      <w:r>
        <w:t>Implement deletion/anonymization jobs that respect legal holds.</w:t>
      </w:r>
    </w:p>
    <w:p>
      <w:pPr>
        <w:pStyle w:val="ListBullet"/>
        <w:widowControl/>
      </w:pPr>
      <w:r>
        <w:t>Verify deletion propagates to secondary stores and document any backup lifecycle.</w:t>
      </w:r>
    </w:p>
    <w:p>
      <w:pPr>
        <w:pStyle w:val="Heading2"/>
        <w:widowControl/>
      </w:pPr>
      <w:r>
        <w:t>Phase 9 - Retention automation</w:t>
      </w:r>
    </w:p>
    <w:p>
      <w:pPr>
        <w:pStyle w:val="ListBullet"/>
        <w:widowControl/>
      </w:pPr>
      <w:r>
        <w:t>Map every database field and object-storage bucket to Part XIX.</w:t>
      </w:r>
    </w:p>
    <w:p>
      <w:pPr>
        <w:pStyle w:val="ListBullet"/>
        <w:widowControl/>
      </w:pPr>
      <w:r>
        <w:t>Add timestamps needed to calculate inactivity and closure.</w:t>
      </w:r>
    </w:p>
    <w:p>
      <w:pPr>
        <w:pStyle w:val="ListBullet"/>
        <w:widowControl/>
      </w:pPr>
      <w:r>
        <w:t>Add scheduled purge jobs for expired rejected submissions, stale inquiries, temporary uploads, and logs where appropriate.</w:t>
      </w:r>
    </w:p>
    <w:p>
      <w:pPr>
        <w:pStyle w:val="ListBullet"/>
        <w:widowControl/>
      </w:pPr>
      <w:r>
        <w:t>Add legal-hold flags so required records are not accidentally deleted.</w:t>
      </w:r>
    </w:p>
    <w:p>
      <w:pPr>
        <w:pStyle w:val="ListBullet"/>
        <w:widowControl/>
      </w:pPr>
      <w:r>
        <w:t>Log automated purge counts without logging deleted content unnecessarily.</w:t>
      </w:r>
    </w:p>
    <w:p>
      <w:pPr>
        <w:pStyle w:val="ListBullet"/>
        <w:widowControl/>
      </w:pPr>
      <w:r>
        <w:t>Create restore procedures that re-apply prior deletion/suppression if an old backup is restored.</w:t>
      </w:r>
    </w:p>
    <w:p>
      <w:pPr>
        <w:pStyle w:val="Heading2"/>
        <w:widowControl/>
      </w:pPr>
      <w:r>
        <w:t>Phase 10 - Email and newsletter compliance</w:t>
      </w:r>
    </w:p>
    <w:p>
      <w:pPr>
        <w:pStyle w:val="ListBullet"/>
        <w:widowControl/>
      </w:pPr>
      <w:r>
        <w:t>Keep newsletter signup separate from required account or submission flows.</w:t>
      </w:r>
    </w:p>
    <w:p>
      <w:pPr>
        <w:pStyle w:val="ListBullet"/>
        <w:widowControl/>
      </w:pPr>
      <w:r>
        <w:t>Record consent source and timestamp.</w:t>
      </w:r>
    </w:p>
    <w:p>
      <w:pPr>
        <w:pStyle w:val="ListBullet"/>
        <w:widowControl/>
      </w:pPr>
      <w:r>
        <w:t>Enable double opt-in if practical.</w:t>
      </w:r>
    </w:p>
    <w:p>
      <w:pPr>
        <w:pStyle w:val="ListBullet"/>
        <w:widowControl/>
      </w:pPr>
      <w:r>
        <w:t>Ensure every marketing email contains a working unsubscribe and the required sender identification and postal address.</w:t>
      </w:r>
    </w:p>
    <w:p>
      <w:pPr>
        <w:pStyle w:val="ListBullet"/>
        <w:widowControl/>
      </w:pPr>
      <w:r>
        <w:t>Process unsubscribe immediately in normal operation and always within applicable legal deadlines.</w:t>
      </w:r>
    </w:p>
    <w:p>
      <w:pPr>
        <w:pStyle w:val="ListBullet"/>
        <w:widowControl/>
      </w:pPr>
      <w:r>
        <w:t>Keep a suppression list that prevents accidental re-import.</w:t>
      </w:r>
    </w:p>
    <w:p>
      <w:pPr>
        <w:pStyle w:val="ListBullet"/>
        <w:widowControl/>
      </w:pPr>
      <w:r>
        <w:t>Configure SPF, DKIM, and DMARC for sending domains and test alignment.</w:t>
      </w:r>
    </w:p>
    <w:p>
      <w:pPr>
        <w:pStyle w:val="ListBullet"/>
        <w:widowControl/>
      </w:pPr>
      <w:r>
        <w:t>Separate transactional and marketing templates so a user can unsubscribe from marketing without losing security or contract notices.</w:t>
      </w:r>
    </w:p>
    <w:p>
      <w:pPr>
        <w:pStyle w:val="Heading2"/>
        <w:widowControl/>
      </w:pPr>
      <w:r>
        <w:t>Phase 11 - Authentication and account security</w:t>
      </w:r>
    </w:p>
    <w:p>
      <w:pPr>
        <w:pStyle w:val="ListBullet"/>
        <w:widowControl/>
      </w:pPr>
      <w:r>
        <w:t>Verify Clerk production keys and redirect URIs.</w:t>
      </w:r>
    </w:p>
    <w:p>
      <w:pPr>
        <w:pStyle w:val="ListBullet"/>
        <w:widowControl/>
      </w:pPr>
      <w:r>
        <w:t>Keep Clerk secret keys exclusively server-side; scan public bundles and repositories for secrets.</w:t>
      </w:r>
    </w:p>
    <w:p>
      <w:pPr>
        <w:pStyle w:val="ListBullet"/>
        <w:widowControl/>
      </w:pPr>
      <w:r>
        <w:t>Require MFA for owner/admin accounts and strongly encourage it for portal users.</w:t>
      </w:r>
    </w:p>
    <w:p>
      <w:pPr>
        <w:pStyle w:val="ListBullet"/>
        <w:widowControl/>
      </w:pPr>
      <w:r>
        <w:t>Review session duration, device/session revocation, passwordless or social-login behavior, OAuth scopes, and account recovery.</w:t>
      </w:r>
    </w:p>
    <w:p>
      <w:pPr>
        <w:pStyle w:val="ListBullet"/>
        <w:widowControl/>
      </w:pPr>
      <w:r>
        <w:t>Ensure all portal authorization is checked server-side on every protected data request.</w:t>
      </w:r>
    </w:p>
    <w:p>
      <w:pPr>
        <w:pStyle w:val="ListBullet"/>
        <w:widowControl/>
      </w:pPr>
      <w:r>
        <w:t>Add CSRF protections where relevant to the framework and auth model.</w:t>
      </w:r>
    </w:p>
    <w:p>
      <w:pPr>
        <w:pStyle w:val="ListBullet"/>
        <w:widowControl/>
      </w:pPr>
      <w:r>
        <w:t>Rate-limit sign-in, signup, password-reset, OTP, posting, reports, submissions, and privileged actions.</w:t>
      </w:r>
    </w:p>
    <w:p>
      <w:pPr>
        <w:pStyle w:val="ListBullet"/>
        <w:widowControl/>
      </w:pPr>
      <w:r>
        <w:t>Log privileged role changes and document downloads.</w:t>
      </w:r>
    </w:p>
    <w:p>
      <w:pPr>
        <w:pStyle w:val="Heading2"/>
        <w:widowControl/>
      </w:pPr>
      <w:r>
        <w:t>Phase 12 - HTTP and browser security hardening</w:t>
      </w:r>
    </w:p>
    <w:p>
      <w:pPr>
        <w:pStyle w:val="ListBullet"/>
        <w:widowControl/>
      </w:pPr>
      <w:r>
        <w:t>Force HTTPS.</w:t>
      </w:r>
    </w:p>
    <w:p>
      <w:pPr>
        <w:pStyle w:val="ListBullet"/>
        <w:widowControl/>
      </w:pPr>
      <w:r>
        <w:t>Add HSTS after confirming every required subdomain is HTTPS-ready; use includeSubDomains or preload only after deliberate review.</w:t>
      </w:r>
    </w:p>
    <w:p>
      <w:pPr>
        <w:pStyle w:val="ListBullet"/>
        <w:widowControl/>
      </w:pPr>
      <w:r>
        <w:t>Add a Content-Security-Policy tuned to the actual domains required for Clerk, Google, media embeds, fonts, and Media Suite libraries. Start in report-only mode if necessary, then enforce.</w:t>
      </w:r>
    </w:p>
    <w:p>
      <w:pPr>
        <w:pStyle w:val="ListBullet"/>
        <w:widowControl/>
      </w:pPr>
      <w:r>
        <w:t>Add X-Content-Type-Options: nosniff.</w:t>
      </w:r>
    </w:p>
    <w:p>
      <w:pPr>
        <w:pStyle w:val="ListBullet"/>
        <w:widowControl/>
      </w:pPr>
      <w:r>
        <w:t>Use a restrictive Referrer-Policy appropriate to the site.</w:t>
      </w:r>
    </w:p>
    <w:p>
      <w:pPr>
        <w:pStyle w:val="ListBullet"/>
        <w:widowControl/>
      </w:pPr>
      <w:r>
        <w:t>Add Permissions-Policy to disable unneeded browser capabilities.</w:t>
      </w:r>
    </w:p>
    <w:p>
      <w:pPr>
        <w:pStyle w:val="ListBullet"/>
        <w:widowControl/>
      </w:pPr>
      <w:r>
        <w:t>Add frame-ancestors through CSP, or an equivalent defense, to prevent unwanted framing; do not break legitimate embedded flows.</w:t>
      </w:r>
    </w:p>
    <w:p>
      <w:pPr>
        <w:pStyle w:val="ListBullet"/>
        <w:widowControl/>
      </w:pPr>
      <w:r>
        <w:t>Set server-managed cookies Secure, HttpOnly where script access is unnecessary, and an appropriate SameSite attribute.</w:t>
      </w:r>
    </w:p>
    <w:p>
      <w:pPr>
        <w:pStyle w:val="ListBullet"/>
        <w:widowControl/>
      </w:pPr>
      <w:r>
        <w:t>Review CORS and never use wildcard origins with credentialed private APIs.</w:t>
      </w:r>
    </w:p>
    <w:p>
      <w:pPr>
        <w:pStyle w:val="ListBullet"/>
        <w:widowControl/>
      </w:pPr>
      <w:r>
        <w:t>Validate and sanitize user-generated content server-side to prevent XSS.</w:t>
      </w:r>
    </w:p>
    <w:p>
      <w:pPr>
        <w:pStyle w:val="Heading2"/>
        <w:widowControl/>
      </w:pPr>
      <w:r>
        <w:t>Phase 13 - File upload security</w:t>
      </w:r>
    </w:p>
    <w:p>
      <w:pPr>
        <w:pStyle w:val="ListBullet"/>
        <w:widowControl/>
      </w:pPr>
      <w:r>
        <w:t>Validate file type by content/signature in addition to extension where practical.</w:t>
      </w:r>
    </w:p>
    <w:p>
      <w:pPr>
        <w:pStyle w:val="ListBullet"/>
        <w:widowControl/>
      </w:pPr>
      <w:r>
        <w:t>Store uploads outside directly executable paths.</w:t>
      </w:r>
    </w:p>
    <w:p>
      <w:pPr>
        <w:pStyle w:val="ListBullet"/>
        <w:widowControl/>
      </w:pPr>
      <w:r>
        <w:t>Generate random object names rather than trusting user filenames.</w:t>
      </w:r>
    </w:p>
    <w:p>
      <w:pPr>
        <w:pStyle w:val="ListBullet"/>
        <w:widowControl/>
      </w:pPr>
      <w:r>
        <w:t>Enforce size and duration limits before expensive processing.</w:t>
      </w:r>
    </w:p>
    <w:p>
      <w:pPr>
        <w:pStyle w:val="ListBullet"/>
        <w:widowControl/>
      </w:pPr>
      <w:r>
        <w:t>Sanitize metadata and filenames displayed back to other users.</w:t>
      </w:r>
    </w:p>
    <w:p>
      <w:pPr>
        <w:pStyle w:val="ListBullet"/>
        <w:widowControl/>
      </w:pPr>
      <w:r>
        <w:t>Scan or quarantine files when server-side processing is introduced.</w:t>
      </w:r>
    </w:p>
    <w:p>
      <w:pPr>
        <w:pStyle w:val="ListBullet"/>
        <w:widowControl/>
      </w:pPr>
      <w:r>
        <w:t>Never execute uploaded documents, scripts, or macros.</w:t>
      </w:r>
    </w:p>
    <w:p>
      <w:pPr>
        <w:pStyle w:val="Heading2"/>
        <w:widowControl/>
      </w:pPr>
      <w:r>
        <w:t>Phase 14 - Media Suite privacy and engineering</w:t>
      </w:r>
    </w:p>
    <w:p>
      <w:pPr>
        <w:pStyle w:val="ListBullet"/>
        <w:widowControl/>
      </w:pPr>
      <w:r>
        <w:t>Keep conversion, trimming, loudness analysis, metadata editing, and rendering local in-browser where technically reasonable.</w:t>
      </w:r>
    </w:p>
    <w:p>
      <w:pPr>
        <w:pStyle w:val="ListBullet"/>
        <w:widowControl/>
      </w:pPr>
      <w:r>
        <w:t>Before any feature uploads source media, show a clear pre-transfer disclosure describing destination, purpose, and deletion period.</w:t>
      </w:r>
    </w:p>
    <w:p>
      <w:pPr>
        <w:pStyle w:val="ListBullet"/>
        <w:widowControl/>
      </w:pPr>
      <w:r>
        <w:t>Do not add URL-based stream ripping or DRM circumvention.</w:t>
      </w:r>
    </w:p>
    <w:p>
      <w:pPr>
        <w:pStyle w:val="ListBullet"/>
        <w:widowControl/>
      </w:pPr>
      <w:r>
        <w:t>Preserve original source files by default.</w:t>
      </w:r>
    </w:p>
    <w:p>
      <w:pPr>
        <w:pStyle w:val="ListBullet"/>
        <w:widowControl/>
      </w:pPr>
      <w:r>
        <w:t>Give users an explicit export/download action after rendering.</w:t>
      </w:r>
    </w:p>
    <w:p>
      <w:pPr>
        <w:pStyle w:val="ListBullet"/>
        <w:widowControl/>
      </w:pPr>
      <w:r>
        <w:t>Surface codec, sample rate, bit depth, duration, loudness, and true-peak information as readable text.</w:t>
      </w:r>
    </w:p>
    <w:p>
      <w:pPr>
        <w:pStyle w:val="ListBullet"/>
        <w:widowControl/>
      </w:pPr>
      <w:r>
        <w:t>Audit the exact FFmpeg/WebAssembly build, compile flags, and bundled codecs for LGPL/GPL obligations.</w:t>
      </w:r>
    </w:p>
    <w:p>
      <w:pPr>
        <w:pStyle w:val="ListBullet"/>
        <w:widowControl/>
      </w:pPr>
      <w:r>
        <w:t>Add an open-source notices page or bundled notices file where needed.</w:t>
      </w:r>
    </w:p>
    <w:p>
      <w:pPr>
        <w:pStyle w:val="ListBullet"/>
        <w:widowControl/>
      </w:pPr>
      <w:r>
        <w:t>Pin dependency versions and verify subresource integrity when appropriate and compatible with the delivery architecture.</w:t>
      </w:r>
    </w:p>
    <w:p>
      <w:pPr>
        <w:pStyle w:val="Heading2"/>
        <w:widowControl/>
      </w:pPr>
      <w:r>
        <w:t>Phase 15 - Community moderation and online safety</w:t>
      </w:r>
    </w:p>
    <w:p>
      <w:pPr>
        <w:pStyle w:val="ListBullet"/>
        <w:widowControl/>
      </w:pPr>
      <w:r>
        <w:t>Put a Report action on each post/comment where possible.</w:t>
      </w:r>
    </w:p>
    <w:p>
      <w:pPr>
        <w:pStyle w:val="ListBullet"/>
        <w:widowControl/>
      </w:pPr>
      <w:r>
        <w:t>Build a report queue with category, content ID, urgency, reporter contact, timestamps, reviewer, action, reason, and appeal.</w:t>
      </w:r>
    </w:p>
    <w:p>
      <w:pPr>
        <w:pStyle w:val="ListBullet"/>
        <w:widowControl/>
      </w:pPr>
      <w:r>
        <w:t>Build user-facing block/mute tools if community features justify them.</w:t>
      </w:r>
    </w:p>
    <w:p>
      <w:pPr>
        <w:pStyle w:val="ListBullet"/>
        <w:widowControl/>
      </w:pPr>
      <w:r>
        <w:t>Add rate limits for posts, comments, votes, reports, and account creation.</w:t>
      </w:r>
    </w:p>
    <w:p>
      <w:pPr>
        <w:pStyle w:val="ListBullet"/>
        <w:widowControl/>
      </w:pPr>
      <w:r>
        <w:t>Add spam detection without making automated scores the only basis for severe decisions.</w:t>
      </w:r>
    </w:p>
    <w:p>
      <w:pPr>
        <w:pStyle w:val="ListBullet"/>
        <w:widowControl/>
      </w:pPr>
      <w:r>
        <w:t>Create severe-content escalation for threats, child exploitation, credential theft, malware, and doxxing.</w:t>
      </w:r>
    </w:p>
    <w:p>
      <w:pPr>
        <w:pStyle w:val="ListBullet"/>
        <w:widowControl/>
      </w:pPr>
      <w:r>
        <w:t>Build an appeal path for significant actions.</w:t>
      </w:r>
    </w:p>
    <w:p>
      <w:pPr>
        <w:pStyle w:val="ListBullet"/>
        <w:widowControl/>
      </w:pPr>
      <w:r>
        <w:t>Preserve moderation reason codes and notices so future DSA/UK assessments are easier if scope applies.</w:t>
      </w:r>
    </w:p>
    <w:p>
      <w:pPr>
        <w:pStyle w:val="Heading2"/>
        <w:widowControl/>
      </w:pPr>
      <w:r>
        <w:t>Phase 16 - Accessibility engineering baseline</w:t>
      </w:r>
    </w:p>
    <w:p>
      <w:pPr>
        <w:pStyle w:val="ListBullet"/>
        <w:widowControl/>
      </w:pPr>
      <w:r>
        <w:t>Set WCAG 2.2 Level AA as the development target.</w:t>
      </w:r>
    </w:p>
    <w:p>
      <w:pPr>
        <w:pStyle w:val="ListBullet"/>
        <w:widowControl/>
      </w:pPr>
      <w:r>
        <w:t>Add eslint-plugin-jsx-a11y or the equivalent lint tooling if the stack supports it.</w:t>
      </w:r>
    </w:p>
    <w:p>
      <w:pPr>
        <w:pStyle w:val="ListBullet"/>
        <w:widowControl/>
      </w:pPr>
      <w:r>
        <w:t>Add axe-core automated tests to key pages and components.</w:t>
      </w:r>
    </w:p>
    <w:p>
      <w:pPr>
        <w:pStyle w:val="ListBullet"/>
        <w:widowControl/>
      </w:pPr>
      <w:r>
        <w:t>Add Playwright or equivalent keyboard tests for menus, dialogs, forms, community posting, authentication, and Media Suite flows.</w:t>
      </w:r>
    </w:p>
    <w:p>
      <w:pPr>
        <w:pStyle w:val="ListBullet"/>
        <w:widowControl/>
      </w:pPr>
      <w:r>
        <w:t>Use Lighthouse only as a secondary automated signal, never as proof of WCAG conformance.</w:t>
      </w:r>
    </w:p>
    <w:p>
      <w:pPr>
        <w:pStyle w:val="ListBullet"/>
        <w:widowControl/>
      </w:pPr>
      <w:r>
        <w:t>Test production with iOS VoiceOver and Safari, macOS VoiceOver, and at least one Windows screen reader such as NVDA where feasible.</w:t>
      </w:r>
    </w:p>
    <w:p>
      <w:pPr>
        <w:pStyle w:val="ListBullet"/>
        <w:widowControl/>
      </w:pPr>
      <w:r>
        <w:t>Record accessibility defects in the ordinary issue tracker with severity and regression tests.</w:t>
      </w:r>
    </w:p>
    <w:p>
      <w:pPr>
        <w:pStyle w:val="Heading2"/>
        <w:widowControl/>
      </w:pPr>
      <w:r>
        <w:t>Phase 17 - Menu and modal code requirements</w:t>
      </w:r>
    </w:p>
    <w:p>
      <w:pPr>
        <w:pStyle w:val="ListBullet"/>
        <w:widowControl/>
      </w:pPr>
      <w:r>
        <w:t>Use a real button for the menu trigger with aria-expanded and aria-controls.</w:t>
      </w:r>
    </w:p>
    <w:p>
      <w:pPr>
        <w:pStyle w:val="ListBullet"/>
        <w:widowControl/>
      </w:pPr>
      <w:r>
        <w:t>Give the menu/dialog an accessible name.</w:t>
      </w:r>
    </w:p>
    <w:p>
      <w:pPr>
        <w:pStyle w:val="ListBullet"/>
        <w:widowControl/>
      </w:pPr>
      <w:r>
        <w:t>On open, move focus to a sensible first element or dialog container.</w:t>
      </w:r>
    </w:p>
    <w:p>
      <w:pPr>
        <w:pStyle w:val="ListBullet"/>
        <w:widowControl/>
      </w:pPr>
      <w:r>
        <w:t>Constrain Tab/Shift+Tab to an active modal when the background must be unavailable.</w:t>
      </w:r>
    </w:p>
    <w:p>
      <w:pPr>
        <w:pStyle w:val="ListBullet"/>
        <w:widowControl/>
      </w:pPr>
      <w:r>
        <w:t>Make the background inert or otherwise remove it from the interactive focus order while the modal is active.</w:t>
      </w:r>
    </w:p>
    <w:p>
      <w:pPr>
        <w:pStyle w:val="ListBullet"/>
        <w:widowControl/>
      </w:pPr>
      <w:r>
        <w:t>Close on Escape when the pattern permits it.</w:t>
      </w:r>
    </w:p>
    <w:p>
      <w:pPr>
        <w:pStyle w:val="ListBullet"/>
        <w:widowControl/>
      </w:pPr>
      <w:r>
        <w:t>Return focus to the trigger after close.</w:t>
      </w:r>
    </w:p>
    <w:p>
      <w:pPr>
        <w:pStyle w:val="ListBullet"/>
        <w:widowControl/>
      </w:pPr>
      <w:r>
        <w:t>Provide a clearly named Close button with an adequate target size.</w:t>
      </w:r>
    </w:p>
    <w:p>
      <w:pPr>
        <w:pStyle w:val="ListBullet"/>
        <w:widowControl/>
      </w:pPr>
      <w:r>
        <w:t>Prevent background scrolling when appropriate without trapping screen-reader virtual navigation incorrectly.</w:t>
      </w:r>
    </w:p>
    <w:p>
      <w:pPr>
        <w:pStyle w:val="ListBullet"/>
        <w:widowControl/>
      </w:pPr>
      <w:r>
        <w:t>Test the exact VoiceOver gesture flow, including moving to blank space, dialog boundaries, and dismissal behavior requested by the operator.</w:t>
      </w:r>
    </w:p>
    <w:p>
      <w:pPr>
        <w:pStyle w:val="Heading2"/>
        <w:widowControl/>
      </w:pPr>
      <w:r>
        <w:t>Phase 18 - Form accessibility code requirements</w:t>
      </w:r>
    </w:p>
    <w:p>
      <w:pPr>
        <w:pStyle w:val="ListBullet"/>
        <w:widowControl/>
      </w:pPr>
      <w:r>
        <w:t>Associate every input with a label element or equivalent programmatic label.</w:t>
      </w:r>
    </w:p>
    <w:p>
      <w:pPr>
        <w:pStyle w:val="ListBullet"/>
        <w:widowControl/>
      </w:pPr>
      <w:r>
        <w:t>Connect help text using aria-describedby only when needed and avoid overly verbose repeated announcements.</w:t>
      </w:r>
    </w:p>
    <w:p>
      <w:pPr>
        <w:pStyle w:val="ListBullet"/>
        <w:widowControl/>
      </w:pPr>
      <w:r>
        <w:t>Use autocomplete tokens for common identity/contact fields where appropriate.</w:t>
      </w:r>
    </w:p>
    <w:p>
      <w:pPr>
        <w:pStyle w:val="ListBullet"/>
        <w:widowControl/>
      </w:pPr>
      <w:r>
        <w:t>Expose required state programmatically.</w:t>
      </w:r>
    </w:p>
    <w:p>
      <w:pPr>
        <w:pStyle w:val="ListBullet"/>
        <w:widowControl/>
      </w:pPr>
      <w:r>
        <w:t>On validation failure, provide an error summary linking to invalid fields and set aria-invalid where appropriate.</w:t>
      </w:r>
    </w:p>
    <w:p>
      <w:pPr>
        <w:pStyle w:val="ListBullet"/>
        <w:widowControl/>
      </w:pPr>
      <w:r>
        <w:t>Use role=status or aria-live=polite for non-urgent async completion messages; reserve assertive announcements for urgent errors.</w:t>
      </w:r>
    </w:p>
    <w:p>
      <w:pPr>
        <w:pStyle w:val="ListBullet"/>
        <w:widowControl/>
      </w:pPr>
      <w:r>
        <w:t>Do not disable the submit button in a way that prevents the user from learning why submission is unavailable.</w:t>
      </w:r>
    </w:p>
    <w:p>
      <w:pPr>
        <w:pStyle w:val="Heading2"/>
        <w:widowControl/>
      </w:pPr>
      <w:r>
        <w:t>Phase 19 - Media Suite accessibility code requirements</w:t>
      </w:r>
    </w:p>
    <w:p>
      <w:pPr>
        <w:pStyle w:val="ListBullet"/>
        <w:widowControl/>
      </w:pPr>
      <w:r>
        <w:t>Every visual timeline must have start/end time inputs that work by keyboard and screen reader.</w:t>
      </w:r>
    </w:p>
    <w:p>
      <w:pPr>
        <w:pStyle w:val="ListBullet"/>
        <w:widowControl/>
      </w:pPr>
      <w:r>
        <w:t>Every drag handle must have a non-drag alternative.</w:t>
      </w:r>
    </w:p>
    <w:p>
      <w:pPr>
        <w:pStyle w:val="ListBullet"/>
        <w:widowControl/>
      </w:pPr>
      <w:r>
        <w:t>Waveform selection must expose selected times numerically.</w:t>
      </w:r>
    </w:p>
    <w:p>
      <w:pPr>
        <w:pStyle w:val="ListBullet"/>
        <w:widowControl/>
      </w:pPr>
      <w:r>
        <w:t>Loudness meters must expose numeric LUFS and peak values.</w:t>
      </w:r>
    </w:p>
    <w:p>
      <w:pPr>
        <w:pStyle w:val="ListBullet"/>
        <w:widowControl/>
      </w:pPr>
      <w:r>
        <w:t>Normalization presets must be ordinary radio buttons, select options, or buttons with clear selected state.</w:t>
      </w:r>
    </w:p>
    <w:p>
      <w:pPr>
        <w:pStyle w:val="ListBullet"/>
        <w:widowControl/>
      </w:pPr>
      <w:r>
        <w:t>Progress must expose current stage and percentage when meaningful.</w:t>
      </w:r>
    </w:p>
    <w:p>
      <w:pPr>
        <w:pStyle w:val="ListBullet"/>
        <w:widowControl/>
      </w:pPr>
      <w:r>
        <w:t>Canvas previews must have an adjacent accessible control panel and text description of current project state.</w:t>
      </w:r>
    </w:p>
    <w:p>
      <w:pPr>
        <w:pStyle w:val="ListBullet"/>
        <w:widowControl/>
      </w:pPr>
      <w:r>
        <w:t>Artwork dimensions and crop values must be editable in labeled fields.</w:t>
      </w:r>
    </w:p>
    <w:p>
      <w:pPr>
        <w:pStyle w:val="ListBullet"/>
        <w:widowControl/>
      </w:pPr>
      <w:r>
        <w:t>Aspect-ratio lock must expose on/off state.</w:t>
      </w:r>
    </w:p>
    <w:p>
      <w:pPr>
        <w:pStyle w:val="ListBullet"/>
        <w:widowControl/>
      </w:pPr>
      <w:r>
        <w:t>Caption and lyric timing tools must provide a text-list editor in addition to any visual timeline.</w:t>
      </w:r>
    </w:p>
    <w:p>
      <w:pPr>
        <w:pStyle w:val="ListBullet"/>
        <w:widowControl/>
      </w:pPr>
      <w:r>
        <w:t>Export success must announce filename, format, and completion without forcing focus unexpectedly.</w:t>
      </w:r>
    </w:p>
    <w:p>
      <w:pPr>
        <w:pStyle w:val="Heading2"/>
        <w:widowControl/>
      </w:pPr>
      <w:r>
        <w:t>Phase 20 - Accessibility visual and responsive checks</w:t>
      </w:r>
    </w:p>
    <w:p>
      <w:pPr>
        <w:pStyle w:val="ListBullet"/>
        <w:widowControl/>
      </w:pPr>
      <w:r>
        <w:t>Verify normal text contrast of at least the applicable WCAG AA ratio and UI/component contrast where required.</w:t>
      </w:r>
    </w:p>
    <w:p>
      <w:pPr>
        <w:pStyle w:val="ListBullet"/>
        <w:widowControl/>
      </w:pPr>
      <w:r>
        <w:t>Verify focus indicators remain visible in default and high-contrast modes.</w:t>
      </w:r>
    </w:p>
    <w:p>
      <w:pPr>
        <w:pStyle w:val="ListBullet"/>
        <w:widowControl/>
      </w:pPr>
      <w:r>
        <w:t>Test browser zoom to 200 percent.</w:t>
      </w:r>
    </w:p>
    <w:p>
      <w:pPr>
        <w:pStyle w:val="ListBullet"/>
        <w:widowControl/>
      </w:pPr>
      <w:r>
        <w:t>Test reflow at a 320 CSS-pixel-wide viewport or equivalent 400-percent zoom condition required by WCAG testing.</w:t>
      </w:r>
    </w:p>
    <w:p>
      <w:pPr>
        <w:pStyle w:val="ListBullet"/>
        <w:widowControl/>
      </w:pPr>
      <w:r>
        <w:t>Test landscape and portrait phone layouts.</w:t>
      </w:r>
    </w:p>
    <w:p>
      <w:pPr>
        <w:pStyle w:val="ListBullet"/>
        <w:widowControl/>
      </w:pPr>
      <w:r>
        <w:t>Test prefers-reduced-motion.</w:t>
      </w:r>
    </w:p>
    <w:p>
      <w:pPr>
        <w:pStyle w:val="ListBullet"/>
        <w:widowControl/>
      </w:pPr>
      <w:r>
        <w:t>Ensure the persistent Listen drawer, consent UI, sticky footer, or cookie controls never completely obscure keyboard focus.</w:t>
      </w:r>
    </w:p>
    <w:p>
      <w:pPr>
        <w:pStyle w:val="ListBullet"/>
        <w:widowControl/>
      </w:pPr>
      <w:r>
        <w:t>Check that touch targets satisfy WCAG 2.2 target-size rules or valid exceptions.</w:t>
      </w:r>
    </w:p>
    <w:p>
      <w:pPr>
        <w:pStyle w:val="Heading2"/>
        <w:widowControl/>
      </w:pPr>
      <w:r>
        <w:t>Phase 21 - Media accessibility</w:t>
      </w:r>
    </w:p>
    <w:p>
      <w:pPr>
        <w:pStyle w:val="ListBullet"/>
        <w:widowControl/>
      </w:pPr>
      <w:r>
        <w:t>Add captions to prerecorded video containing meaningful speech where required.</w:t>
      </w:r>
    </w:p>
    <w:p>
      <w:pPr>
        <w:pStyle w:val="ListBullet"/>
        <w:widowControl/>
      </w:pPr>
      <w:r>
        <w:t>Provide transcripts for audio-only content where required and useful.</w:t>
      </w:r>
    </w:p>
    <w:p>
      <w:pPr>
        <w:pStyle w:val="ListBullet"/>
        <w:widowControl/>
      </w:pPr>
      <w:r>
        <w:t>Provide audio description or equivalent access for important visual-only information where required.</w:t>
      </w:r>
    </w:p>
    <w:p>
      <w:pPr>
        <w:pStyle w:val="ListBullet"/>
        <w:widowControl/>
      </w:pPr>
      <w:r>
        <w:t>Do not autoplay audio unexpectedly.</w:t>
      </w:r>
    </w:p>
    <w:p>
      <w:pPr>
        <w:pStyle w:val="ListBullet"/>
        <w:widowControl/>
      </w:pPr>
      <w:r>
        <w:t>Ensure player controls have accessible names and can be operated without a pointer.</w:t>
      </w:r>
    </w:p>
    <w:p>
      <w:pPr>
        <w:pStyle w:val="Heading2"/>
        <w:widowControl/>
      </w:pPr>
      <w:r>
        <w:t>Phase 22 - Language and translation</w:t>
      </w:r>
    </w:p>
    <w:p>
      <w:pPr>
        <w:pStyle w:val="ListBullet"/>
        <w:widowControl/>
      </w:pPr>
      <w:r>
        <w:t>Set the correct html lang value for each first-party language version.</w:t>
      </w:r>
    </w:p>
    <w:p>
      <w:pPr>
        <w:pStyle w:val="ListBullet"/>
        <w:widowControl/>
      </w:pPr>
      <w:r>
        <w:t>When switching first-party languages dynamically, update the document language.</w:t>
      </w:r>
    </w:p>
    <w:p>
      <w:pPr>
        <w:pStyle w:val="ListBullet"/>
        <w:widowControl/>
      </w:pPr>
      <w:r>
        <w:t>Clearly label Google Translate links as external automatic translations.</w:t>
      </w:r>
    </w:p>
    <w:p>
      <w:pPr>
        <w:pStyle w:val="ListBullet"/>
        <w:widowControl/>
      </w:pPr>
      <w:r>
        <w:t>Keep private portal data out of third-party automatic translation unless the privacy/security implications have been intentionally approved.</w:t>
      </w:r>
    </w:p>
    <w:p>
      <w:pPr>
        <w:pStyle w:val="Heading2"/>
        <w:widowControl/>
      </w:pPr>
      <w:r>
        <w:t>Phase 23 - Pre-launch legal truth test</w:t>
      </w:r>
    </w:p>
    <w:p>
      <w:pPr>
        <w:widowControl/>
      </w:pPr>
      <w:r>
        <w:t>For every sentence in every public policy that says "we use," "we do not," "we retain," "we delete," "we honor," "we encrypt," "we never," "we require," or "we provide," Work should find the corresponding production behavior, configuration, contract, or process. If it cannot be verified, either implement it or soften the statement before publishing.</w:t>
      </w:r>
    </w:p>
    <w:p>
      <w:pPr>
        <w:pStyle w:val="Heading2"/>
        <w:widowControl/>
      </w:pPr>
      <w:r>
        <w:t>Phase 24 - Regression and monitoring</w:t>
      </w:r>
    </w:p>
    <w:p>
      <w:pPr>
        <w:pStyle w:val="ListBullet"/>
        <w:widowControl/>
      </w:pPr>
      <w:r>
        <w:t>Run automated accessibility, dependency, secret, and security-header checks on every significant release.</w:t>
      </w:r>
    </w:p>
    <w:p>
      <w:pPr>
        <w:pStyle w:val="ListBullet"/>
        <w:widowControl/>
      </w:pPr>
      <w:r>
        <w:t>Re-run cookie/consent tests when Google, Clerk, analytics, embeds, or advertising code changes.</w:t>
      </w:r>
    </w:p>
    <w:p>
      <w:pPr>
        <w:pStyle w:val="ListBullet"/>
        <w:widowControl/>
      </w:pPr>
      <w:r>
        <w:t>Re-run legal-page diff checks whenever a feature begins collecting a new category of information.</w:t>
      </w:r>
    </w:p>
    <w:p>
      <w:pPr>
        <w:pStyle w:val="ListBullet"/>
        <w:widowControl/>
      </w:pPr>
      <w:r>
        <w:t>Re-run Media Suite license and privacy review when adding a codec, cloud renderer, AI service, or new CDN.</w:t>
      </w:r>
    </w:p>
    <w:p>
      <w:pPr>
        <w:pStyle w:val="ListBullet"/>
        <w:widowControl/>
      </w:pPr>
      <w:r>
        <w:t>Schedule quarterly policy-to-product review and annual full compliance audit.</w:t>
      </w:r>
    </w:p>
    <w:p>
      <w:pPr>
        <w:widowControl/>
      </w:pPr>
      <w:r>
        <w:br w:type="page"/>
      </w:r>
    </w:p>
    <w:p>
      <w:pPr>
        <w:pStyle w:val="Heading1"/>
        <w:widowControl/>
      </w:pPr>
      <w:r>
        <w:t>Part XXIII - WCAG 2.2 Level AA Accessibility Audit, Remediation Standard, and Acceptance Plan</w:t>
      </w:r>
    </w:p>
    <w:p>
      <w:pPr>
        <w:pStyle w:val="DocumentNote"/>
        <w:widowControl/>
      </w:pPr>
      <w:r>
        <w:t>INTERNAL AUDIT AND ENGINEERING STANDARD. The public Accessibility Statement is in Part XIV. This Part is the detailed test plan Work should use against production.</w:t>
      </w:r>
    </w:p>
    <w:p>
      <w:pPr>
        <w:pStyle w:val="Heading2"/>
        <w:widowControl/>
      </w:pPr>
      <w:r>
        <w:t>1. Standard and scope</w:t>
      </w:r>
    </w:p>
    <w:p>
      <w:pPr>
        <w:widowControl/>
      </w:pPr>
      <w:r>
        <w:t>The accessibility target for mrblindbandit.net is WCAG 2.2 Level AA across the public website, authentication, community, forms, consent interfaces, Media Suite, and private label portal to the extent each surface is under the operator's control.</w:t>
      </w:r>
    </w:p>
    <w:p>
      <w:pPr>
        <w:widowControl/>
      </w:pPr>
      <w:r>
        <w:t>The requested standard is WCAG 2.2 AA. There is no "GAFC 2.8" web accessibility standard. WCAG 2.2 is the current W3C Recommendation used by this package. Where a jurisdiction uses WCAG 2.1 AA or another incorporated technical standard, targeting WCAG 2.2 AA generally adds newer requirements rather than removing the older Level A and AA criteria, but legal scope must still be assessed separately.</w:t>
      </w:r>
    </w:p>
    <w:p>
      <w:pPr>
        <w:widowControl/>
      </w:pPr>
      <w:r>
        <w:t>Conformance cannot be proven by a scanner, Lighthouse score, accessibility overlay, or policy statement. Work must combine source-code review, automated testing, keyboard testing, visual review, browser zoom/reflow testing, and screen-reader testing.</w:t>
      </w:r>
    </w:p>
    <w:p>
      <w:pPr>
        <w:pStyle w:val="Heading2"/>
        <w:widowControl/>
      </w:pPr>
      <w:r>
        <w:t>2. Live-site positives observed in the September 13, 2026 review</w:t>
      </w:r>
    </w:p>
    <w:p>
      <w:pPr>
        <w:widowControl/>
      </w:pPr>
      <w:r>
        <w:t>The current public site already has several useful foundations:</w:t>
      </w:r>
    </w:p>
    <w:p>
      <w:pPr>
        <w:pStyle w:val="ListBullet"/>
        <w:widowControl/>
      </w:pPr>
      <w:r>
        <w:t>A Skip to content mechanism is exposed on public pages.</w:t>
      </w:r>
    </w:p>
    <w:p>
      <w:pPr>
        <w:pStyle w:val="ListBullet"/>
        <w:widowControl/>
      </w:pPr>
      <w:r>
        <w:t>The site has an Accessibility page and user-facing larger-text, high-contrast, and pause-motion controls.</w:t>
      </w:r>
    </w:p>
    <w:p>
      <w:pPr>
        <w:pStyle w:val="ListBullet"/>
        <w:widowControl/>
      </w:pPr>
      <w:r>
        <w:t>Public legal and safety pages are reachable from the site footer.</w:t>
      </w:r>
    </w:p>
    <w:p>
      <w:pPr>
        <w:pStyle w:val="ListBullet"/>
        <w:widowControl/>
      </w:pPr>
      <w:r>
        <w:t>Current public forms expose visible field labels in the text representation reviewed.</w:t>
      </w:r>
    </w:p>
    <w:p>
      <w:pPr>
        <w:pStyle w:val="ListBullet"/>
        <w:widowControl/>
      </w:pPr>
      <w:r>
        <w:t>The public Privacy Policy explains authentication, community information, submissions, advertising, and local-browser conversion.</w:t>
      </w:r>
    </w:p>
    <w:p>
      <w:pPr>
        <w:pStyle w:val="ListBullet"/>
        <w:widowControl/>
      </w:pPr>
      <w:r>
        <w:t>Public pages use headings and generally descriptive link text rather than being one undifferentiated block.</w:t>
      </w:r>
    </w:p>
    <w:p>
      <w:pPr>
        <w:pStyle w:val="ListBullet"/>
        <w:widowControl/>
      </w:pPr>
      <w:r>
        <w:t>The website has dedicated role addresses such as privacy, copyright, safety, security, and accessibility contacts.</w:t>
      </w:r>
    </w:p>
    <w:p>
      <w:pPr>
        <w:pStyle w:val="ListBullet"/>
        <w:widowControl/>
      </w:pPr>
      <w:r>
        <w:t>The site already treats accessibility as a product concern rather than relying solely on an accessibility widget.</w:t>
      </w:r>
    </w:p>
    <w:p>
      <w:pPr>
        <w:widowControl/>
      </w:pPr>
      <w:r>
        <w:t>These positives are not a conformance certification. The remaining acceptance tests below are required.</w:t>
      </w:r>
    </w:p>
    <w:p>
      <w:pPr>
        <w:pStyle w:val="Heading2"/>
        <w:widowControl/>
      </w:pPr>
      <w:r>
        <w:t>3. Live-site issues or inconsistencies to remediate</w:t>
      </w:r>
    </w:p>
    <w:p>
      <w:pPr>
        <w:widowControl/>
      </w:pPr>
      <w:r>
        <w:t>Work should treat the following as concrete review items rather than theoretical suggestions:</w:t>
      </w:r>
    </w:p>
    <w:p>
      <w:pPr>
        <w:ind w:left="317" w:hanging="317"/>
        <w:widowControl/>
      </w:pPr>
      <w:r>
        <w:t>1. The live Home experience has used wording such as "Sign in with ChatGPT to post" while the Privacy Policy describes Clerk as the authentication provider. The visible product copy and actual authentication implementation must agree. If Clerk is the real provider, do not present another service as the login mechanism unless that service is genuinely an enabled identity provider and the wording is technically accurate.</w:t>
      </w:r>
    </w:p>
    <w:p>
      <w:pPr>
        <w:ind w:left="317" w:hanging="317"/>
        <w:widowControl/>
      </w:pPr>
      <w:r>
        <w:t>2. The Accessibility page currently routes reports through a general business address in at least one place while a dedicated accessibility@mrblindbandit.net address exists elsewhere. Standardize accessibility feedback on accessibility@mrblindbandit.net and keep a general route as fallback only.</w:t>
      </w:r>
    </w:p>
    <w:p>
      <w:pPr>
        <w:ind w:left="317" w:hanging="317"/>
        <w:widowControl/>
      </w:pPr>
      <w:r>
        <w:t>3. A contact-form honeypot has appeared in extracted page text as "Leave this field empty." Verify that the anti-spam field is removed from the accessibility tree and normal keyboard order when it is intended to be invisible. Do not use aria-hidden on a focusable input; the control itself should be truly hidden/non-focusable or otherwise implemented accessibly.</w:t>
      </w:r>
    </w:p>
    <w:p>
      <w:pPr>
        <w:ind w:left="317" w:hanging="317"/>
        <w:widowControl/>
      </w:pPr>
      <w:r>
        <w:t>4. A persistent Listen drawer and its Close control appear in page extraction. Verify that when the drawer is closed, its hidden controls are not keyboard-focusable or exposed as active controls to assistive technology. When it opens, announce the state appropriately without unnecessarily trapping reading navigation.</w:t>
      </w:r>
    </w:p>
    <w:p>
      <w:pPr>
        <w:ind w:left="317" w:hanging="317"/>
        <w:widowControl/>
      </w:pPr>
      <w:r>
        <w:t>5. The Menu button must expose expanded/collapsed state and its controlled region programmatically. Verify aria-expanded changes correctly and aria-controls points to the actual menu container.</w:t>
      </w:r>
    </w:p>
    <w:p>
      <w:pPr>
        <w:ind w:left="317" w:hanging="317"/>
        <w:widowControl/>
      </w:pPr>
      <w:r>
        <w:t>6. Larger Text, High Contrast, and Pause Motion controls should expose their current on/off state with a native control or an appropriate state such as aria-pressed. Their labels must remain understandable without relying on icon shape or color.</w:t>
      </w:r>
    </w:p>
    <w:p>
      <w:pPr>
        <w:ind w:left="317" w:hanging="317"/>
        <w:widowControl/>
      </w:pPr>
      <w:r>
        <w:t>7. Google consent and Privacy Choices interfaces must be tested as real interactive components. A consent interface that is legally correct but inaccessible is still a product failure.</w:t>
      </w:r>
    </w:p>
    <w:p>
      <w:pPr>
        <w:ind w:left="317" w:hanging="317"/>
        <w:widowControl/>
      </w:pPr>
      <w:r>
        <w:t>8. Embedded third-party players need an accessible first-party link or alternate path when the embed creates a barrier.</w:t>
      </w:r>
    </w:p>
    <w:p>
      <w:pPr>
        <w:ind w:left="317" w:hanging="317"/>
        <w:widowControl/>
      </w:pPr>
      <w:r>
        <w:t>9. Every Media Suite visual control requires a nonvisual, keyboard-operable equivalent. This is a launch blocker for a suite intended to be usable by its blind owner.</w:t>
      </w:r>
    </w:p>
    <w:p>
      <w:pPr>
        <w:pStyle w:val="Heading2"/>
        <w:widowControl/>
      </w:pPr>
      <w:r>
        <w:t>4. Priority severity model</w:t>
      </w:r>
    </w:p>
    <w:p>
      <w:pPr>
        <w:widowControl/>
      </w:pPr>
      <w:r>
        <w:t>Work should assign every accessibility defect one of four severities.</w:t>
      </w:r>
    </w:p>
    <w:p>
      <w:pPr>
        <w:widowControl/>
      </w:pPr>
      <w:r>
        <w:t>Critical means a user cannot complete a core task at all, such as signing in, accepting or refusing consent, posting, submitting music, uploading a file, choosing a Media Suite preset, exporting a file, or opening the label portal without sight or a mouse.</w:t>
      </w:r>
    </w:p>
    <w:p>
      <w:pPr>
        <w:widowControl/>
      </w:pPr>
      <w:r>
        <w:t>High means the task can technically be completed but only with severe confusion, an undocumented workaround, inaccessible CAPTCHA, keyboard trap, lost focus, unlabeled control, missing error association, or another major barrier.</w:t>
      </w:r>
    </w:p>
    <w:p>
      <w:pPr>
        <w:widowControl/>
      </w:pPr>
      <w:r>
        <w:t>Medium means the task is usable but violates a WCAG requirement or causes repeated friction, such as weak focus styling, inconsistent headings, redundant announcements, small targets, or avoidable horizontal scrolling.</w:t>
      </w:r>
    </w:p>
    <w:p>
      <w:pPr>
        <w:widowControl/>
      </w:pPr>
      <w:r>
        <w:t>Low means a best-practice or usability defect that does not independently block WCAG AA conformance but should still be corrected.</w:t>
      </w:r>
    </w:p>
    <w:p>
      <w:pPr>
        <w:widowControl/>
      </w:pPr>
      <w:r>
        <w:t>Critical and High defects on core flows should block launch of the affected feature.</w:t>
      </w:r>
    </w:p>
    <w:p>
      <w:pPr>
        <w:pStyle w:val="Heading2"/>
        <w:widowControl/>
      </w:pPr>
      <w:r>
        <w:t>5. Global semantic structure acceptance tests</w:t>
      </w:r>
    </w:p>
    <w:p>
      <w:pPr>
        <w:widowControl/>
      </w:pPr>
      <w:r>
        <w:t>For every first-party page, Work should verify:</w:t>
      </w:r>
    </w:p>
    <w:p>
      <w:pPr>
        <w:pStyle w:val="ListBullet"/>
        <w:widowControl/>
      </w:pPr>
      <w:r>
        <w:t>The document has one useful page title that identifies both the page and site where practical.</w:t>
      </w:r>
    </w:p>
    <w:p>
      <w:pPr>
        <w:pStyle w:val="ListBullet"/>
        <w:widowControl/>
      </w:pPr>
      <w:r>
        <w:t>The primary language is set on the html element.</w:t>
      </w:r>
    </w:p>
    <w:p>
      <w:pPr>
        <w:pStyle w:val="ListBullet"/>
        <w:widowControl/>
      </w:pPr>
      <w:r>
        <w:t>There is a single meaningful main landmark for the main content.</w:t>
      </w:r>
    </w:p>
    <w:p>
      <w:pPr>
        <w:pStyle w:val="ListBullet"/>
        <w:widowControl/>
      </w:pPr>
      <w:r>
        <w:t>Header, navigation, main, complementary content, and footer use native landmarks where appropriate.</w:t>
      </w:r>
    </w:p>
    <w:p>
      <w:pPr>
        <w:pStyle w:val="ListBullet"/>
        <w:widowControl/>
      </w:pPr>
      <w:r>
        <w:t>A keyboard user can bypass repeated navigation using the skip link or an equivalent mechanism.</w:t>
      </w:r>
    </w:p>
    <w:p>
      <w:pPr>
        <w:pStyle w:val="ListBullet"/>
        <w:widowControl/>
      </w:pPr>
      <w:r>
        <w:t>Heading levels communicate structure and do not exist solely to make text visually large.</w:t>
      </w:r>
    </w:p>
    <w:p>
      <w:pPr>
        <w:pStyle w:val="ListBullet"/>
        <w:widowControl/>
      </w:pPr>
      <w:r>
        <w:t>Heading order is understandable when navigating only by heading commands in VoiceOver or NVDA.</w:t>
      </w:r>
    </w:p>
    <w:p>
      <w:pPr>
        <w:pStyle w:val="ListBullet"/>
        <w:widowControl/>
      </w:pPr>
      <w:r>
        <w:t>Lists use list semantics when content is actually a list.</w:t>
      </w:r>
    </w:p>
    <w:p>
      <w:pPr>
        <w:pStyle w:val="ListBullet"/>
        <w:widowControl/>
      </w:pPr>
      <w:r>
        <w:t>Buttons are buttons and links are links. A clickable div should not impersonate a button when native HTML can perform the job.</w:t>
      </w:r>
    </w:p>
    <w:p>
      <w:pPr>
        <w:pStyle w:val="ListBullet"/>
        <w:widowControl/>
      </w:pPr>
      <w:r>
        <w:t>Decorative icons are hidden from assistive technology and do not create noisy spoken labels.</w:t>
      </w:r>
    </w:p>
    <w:p>
      <w:pPr>
        <w:pStyle w:val="ListBullet"/>
        <w:widowControl/>
      </w:pPr>
      <w:r>
        <w:t>Icon-only actionable controls have concise accessible names.</w:t>
      </w:r>
    </w:p>
    <w:p>
      <w:pPr>
        <w:pStyle w:val="ListBullet"/>
        <w:widowControl/>
      </w:pPr>
      <w:r>
        <w:t>Duplicate IDs, broken label references, and invalid ARIA relationships are removed.</w:t>
      </w:r>
    </w:p>
    <w:p>
      <w:pPr>
        <w:pStyle w:val="ListBullet"/>
        <w:widowControl/>
      </w:pPr>
      <w:r>
        <w:t>ARIA is not used to override correct native semantics unnecessarily.</w:t>
      </w:r>
    </w:p>
    <w:p>
      <w:pPr>
        <w:pStyle w:val="Heading2"/>
        <w:widowControl/>
      </w:pPr>
      <w:r>
        <w:t>6. Keyboard-only acceptance tests</w:t>
      </w:r>
    </w:p>
    <w:p>
      <w:pPr>
        <w:widowControl/>
      </w:pPr>
      <w:r>
        <w:t>A tester must be able to load the page, put the mouse aside, and complete every core task using Tab, Shift+Tab, Enter, Space, arrow keys where expected, Escape, and ordinary text editing keys.</w:t>
      </w:r>
    </w:p>
    <w:p>
      <w:pPr>
        <w:widowControl/>
      </w:pPr>
      <w:r>
        <w:t>Verify that:</w:t>
      </w:r>
    </w:p>
    <w:p>
      <w:pPr>
        <w:pStyle w:val="ListBullet"/>
        <w:widowControl/>
      </w:pPr>
      <w:r>
        <w:t>All interactive controls are reachable in a logical order.</w:t>
      </w:r>
    </w:p>
    <w:p>
      <w:pPr>
        <w:pStyle w:val="ListBullet"/>
        <w:widowControl/>
      </w:pPr>
      <w:r>
        <w:t>No visible interactive control is pointer-only.</w:t>
      </w:r>
    </w:p>
    <w:p>
      <w:pPr>
        <w:pStyle w:val="ListBullet"/>
        <w:widowControl/>
      </w:pPr>
      <w:r>
        <w:t>No focusable element is invisible or intentionally hidden.</w:t>
      </w:r>
    </w:p>
    <w:p>
      <w:pPr>
        <w:pStyle w:val="ListBullet"/>
        <w:widowControl/>
      </w:pPr>
      <w:r>
        <w:t>Focus never becomes trapped except inside a genuinely modal interface that provides a clear exit.</w:t>
      </w:r>
    </w:p>
    <w:p>
      <w:pPr>
        <w:pStyle w:val="ListBullet"/>
        <w:widowControl/>
      </w:pPr>
      <w:r>
        <w:t>Escape closes dismissible menus and dialogs when that is the expected interaction.</w:t>
      </w:r>
    </w:p>
    <w:p>
      <w:pPr>
        <w:pStyle w:val="ListBullet"/>
        <w:widowControl/>
      </w:pPr>
      <w:r>
        <w:t>Closing a modal restores focus to the logical triggering control unless the workflow intentionally moves the user elsewhere.</w:t>
      </w:r>
    </w:p>
    <w:p>
      <w:pPr>
        <w:pStyle w:val="ListBullet"/>
        <w:widowControl/>
      </w:pPr>
      <w:r>
        <w:t>Custom menus do not require undocumented keyboard commands.</w:t>
      </w:r>
    </w:p>
    <w:p>
      <w:pPr>
        <w:pStyle w:val="ListBullet"/>
        <w:widowControl/>
      </w:pPr>
      <w:r>
        <w:t>Keyboard activation performs the same essential action as pointer activation.</w:t>
      </w:r>
    </w:p>
    <w:p>
      <w:pPr>
        <w:pStyle w:val="ListBullet"/>
        <w:widowControl/>
      </w:pPr>
      <w:r>
        <w:t>Repeated tabbing does not unexpectedly move focus to background controls behind an open dialog.</w:t>
      </w:r>
    </w:p>
    <w:p>
      <w:pPr>
        <w:pStyle w:val="ListBullet"/>
        <w:widowControl/>
      </w:pPr>
      <w:r>
        <w:t>Sticky banners, drawers, headers, consent messages, and floating controls do not completely obscure the focused element.</w:t>
      </w:r>
    </w:p>
    <w:p>
      <w:pPr>
        <w:pStyle w:val="Heading2"/>
        <w:widowControl/>
      </w:pPr>
      <w:r>
        <w:t>7. VoiceOver acceptance tests on iPhone and Safari</w:t>
      </w:r>
    </w:p>
    <w:p>
      <w:pPr>
        <w:widowControl/>
      </w:pPr>
      <w:r>
        <w:t>Because the operator uses iPhone VoiceOver, this is a mandatory first-class test rather than an optional compatibility check.</w:t>
      </w:r>
    </w:p>
    <w:p>
      <w:pPr>
        <w:widowControl/>
      </w:pPr>
      <w:r>
        <w:t>For each core flow:</w:t>
      </w:r>
    </w:p>
    <w:p>
      <w:pPr>
        <w:pStyle w:val="ListBullet"/>
        <w:widowControl/>
      </w:pPr>
      <w:r>
        <w:t>Navigate by headings and confirm the page outline is sensible.</w:t>
      </w:r>
    </w:p>
    <w:p>
      <w:pPr>
        <w:pStyle w:val="ListBullet"/>
        <w:widowControl/>
      </w:pPr>
      <w:r>
        <w:t>Navigate by links and confirm each spoken label makes sense out of context.</w:t>
      </w:r>
    </w:p>
    <w:p>
      <w:pPr>
        <w:pStyle w:val="ListBullet"/>
        <w:widowControl/>
      </w:pPr>
      <w:r>
        <w:t>Navigate by form controls and confirm labels, values, required state, errors, descriptions, and selection state are spoken.</w:t>
      </w:r>
    </w:p>
    <w:p>
      <w:pPr>
        <w:pStyle w:val="ListBullet"/>
        <w:widowControl/>
      </w:pPr>
      <w:r>
        <w:t>Open the Menu and verify VoiceOver announces it as a button with expanded/collapsed state.</w:t>
      </w:r>
    </w:p>
    <w:p>
      <w:pPr>
        <w:pStyle w:val="ListBullet"/>
        <w:widowControl/>
      </w:pPr>
      <w:r>
        <w:t>Open every custom dialog or popup and verify the dialog has a name, focus moves into it appropriately, and dismissal is discoverable.</w:t>
      </w:r>
    </w:p>
    <w:p>
      <w:pPr>
        <w:pStyle w:val="ListBullet"/>
        <w:widowControl/>
      </w:pPr>
      <w:r>
        <w:t>Use the rotor to navigate form controls, headings, links, landmarks, and errors where relevant.</w:t>
      </w:r>
    </w:p>
    <w:p>
      <w:pPr>
        <w:pStyle w:val="ListBullet"/>
        <w:widowControl/>
      </w:pPr>
      <w:r>
        <w:t>Verify toggles expose selected/on/off state.</w:t>
      </w:r>
    </w:p>
    <w:p>
      <w:pPr>
        <w:pStyle w:val="ListBullet"/>
        <w:widowControl/>
      </w:pPr>
      <w:r>
        <w:t>Verify live updates such as "upload complete," "conversion 70 percent," "export ready," "comment posted," or "error" are announced once and at an appropriate urgency.</w:t>
      </w:r>
    </w:p>
    <w:p>
      <w:pPr>
        <w:pStyle w:val="ListBullet"/>
        <w:widowControl/>
      </w:pPr>
      <w:r>
        <w:t>Verify hidden drawers, closed menus, and inactive modals do not remain reachable by swiping.</w:t>
      </w:r>
    </w:p>
    <w:p>
      <w:pPr>
        <w:pStyle w:val="ListBullet"/>
        <w:widowControl/>
      </w:pPr>
      <w:r>
        <w:t>Verify a user can move to a logical blank/background area and dismiss a popover where that interaction is intentionally provided, while also retaining a conventional Close button.</w:t>
      </w:r>
    </w:p>
    <w:p>
      <w:pPr>
        <w:pStyle w:val="ListBullet"/>
        <w:widowControl/>
      </w:pPr>
      <w:r>
        <w:t>Verify swipe order follows reading and visual order closely enough to avoid confusion.</w:t>
      </w:r>
    </w:p>
    <w:p>
      <w:pPr>
        <w:pStyle w:val="ListBullet"/>
        <w:widowControl/>
      </w:pPr>
      <w:r>
        <w:t>Verify no gesture unique to sighted dragging is required for a Media Suite task.</w:t>
      </w:r>
    </w:p>
    <w:p>
      <w:pPr>
        <w:pStyle w:val="Heading2"/>
        <w:widowControl/>
      </w:pPr>
      <w:r>
        <w:t>8. Desktop screen-reader acceptance tests</w:t>
      </w:r>
    </w:p>
    <w:p>
      <w:pPr>
        <w:widowControl/>
      </w:pPr>
      <w:r>
        <w:t>Use macOS VoiceOver with Safari and, where feasible, NVDA with a current Chromium or Firefox browser.</w:t>
      </w:r>
    </w:p>
    <w:p>
      <w:pPr>
        <w:widowControl/>
      </w:pPr>
      <w:r>
        <w:t>At minimum, test Home, Music, Videos, Bio, Contact, Privacy, Terms, Community, authentication, a post/comment flow, music submission, every Media Suite tool, Privacy Choices, and the private portal's primary dashboard flow.</w:t>
      </w:r>
    </w:p>
    <w:p>
      <w:pPr>
        <w:widowControl/>
      </w:pPr>
      <w:r>
        <w:t>The purpose is not to make every screen reader speak identically. The purpose is to confirm that native semantics and accessibility APIs expose an equivalent task and understandable state.</w:t>
      </w:r>
    </w:p>
    <w:p>
      <w:pPr>
        <w:pStyle w:val="Heading2"/>
        <w:widowControl/>
      </w:pPr>
      <w:r>
        <w:t>9. Focus visibility and WCAG 2.2 Focus Not Obscured</w:t>
      </w:r>
    </w:p>
    <w:p>
      <w:pPr>
        <w:widowControl/>
      </w:pPr>
      <w:r>
        <w:t>The focused element must remain visibly identifiable. Work should test this with:</w:t>
      </w:r>
    </w:p>
    <w:p>
      <w:pPr>
        <w:pStyle w:val="ListBullet"/>
        <w:widowControl/>
      </w:pPr>
      <w:r>
        <w:t>The normal header and footer.</w:t>
      </w:r>
    </w:p>
    <w:p>
      <w:pPr>
        <w:pStyle w:val="ListBullet"/>
        <w:widowControl/>
      </w:pPr>
      <w:r>
        <w:t>The Listen drawer.</w:t>
      </w:r>
    </w:p>
    <w:p>
      <w:pPr>
        <w:pStyle w:val="ListBullet"/>
        <w:widowControl/>
      </w:pPr>
      <w:r>
        <w:t>Cookie/CMP messages.</w:t>
      </w:r>
    </w:p>
    <w:p>
      <w:pPr>
        <w:pStyle w:val="ListBullet"/>
        <w:widowControl/>
      </w:pPr>
      <w:r>
        <w:t>Accessibility controls.</w:t>
      </w:r>
    </w:p>
    <w:p>
      <w:pPr>
        <w:pStyle w:val="ListBullet"/>
        <w:widowControl/>
      </w:pPr>
      <w:r>
        <w:t>Sticky toolbars.</w:t>
      </w:r>
    </w:p>
    <w:p>
      <w:pPr>
        <w:pStyle w:val="ListBullet"/>
        <w:widowControl/>
      </w:pPr>
      <w:r>
        <w:t>Mobile browser chrome.</w:t>
      </w:r>
    </w:p>
    <w:p>
      <w:pPr>
        <w:pStyle w:val="ListBullet"/>
        <w:widowControl/>
      </w:pPr>
      <w:r>
        <w:t>Media Suite transport controls.</w:t>
      </w:r>
    </w:p>
    <w:p>
      <w:pPr>
        <w:pStyle w:val="ListBullet"/>
        <w:widowControl/>
      </w:pPr>
      <w:r>
        <w:t>Any floating chat, help, or share controls.</w:t>
      </w:r>
    </w:p>
    <w:p>
      <w:pPr>
        <w:widowControl/>
      </w:pPr>
      <w:r>
        <w:t>At Level AA, WCAG 2.2 includes Focus Not Obscured (Minimum). If a sticky element covers the focused field or button completely, fix the layout, scroll margin, overlay position, or focus behavior instead of expecting the user to manually scroll around it.</w:t>
      </w:r>
    </w:p>
    <w:p>
      <w:pPr>
        <w:pStyle w:val="Heading2"/>
        <w:widowControl/>
      </w:pPr>
      <w:r>
        <w:t>10. Target Size (Minimum)</w:t>
      </w:r>
    </w:p>
    <w:p>
      <w:pPr>
        <w:widowControl/>
      </w:pPr>
      <w:r>
        <w:t>WCAG 2.2 Level AA includes Target Size (Minimum). Review small close icons, menu controls, transport controls, waveform handles, drag handles, vote icons, pagination, checkboxes, tiny social icons, and inline edit controls.</w:t>
      </w:r>
    </w:p>
    <w:p>
      <w:pPr>
        <w:widowControl/>
      </w:pPr>
      <w:r>
        <w:t>Use sufficiently large targets or valid spacing/exception logic. Work should not "pass" a 12-pixel icon just because it visually looks stylish. Increase the clickable area without necessarily increasing the visible icon.</w:t>
      </w:r>
    </w:p>
    <w:p>
      <w:pPr>
        <w:pStyle w:val="Heading2"/>
        <w:widowControl/>
      </w:pPr>
      <w:r>
        <w:t>11. Dragging Movements</w:t>
      </w:r>
    </w:p>
    <w:p>
      <w:pPr>
        <w:widowControl/>
      </w:pPr>
      <w:r>
        <w:t>WCAG 2.2 Level AA requires a non-drag method when dragging is used and dragging is not essential.</w:t>
      </w:r>
    </w:p>
    <w:p>
      <w:pPr>
        <w:widowControl/>
      </w:pPr>
      <w:r>
        <w:t>For the Media Suite:</w:t>
      </w:r>
    </w:p>
    <w:p>
      <w:pPr>
        <w:pStyle w:val="ListBullet"/>
        <w:widowControl/>
      </w:pPr>
      <w:r>
        <w:t>A clip range must have start-time and end-time fields.</w:t>
      </w:r>
    </w:p>
    <w:p>
      <w:pPr>
        <w:pStyle w:val="ListBullet"/>
        <w:widowControl/>
      </w:pPr>
      <w:r>
        <w:t>A crop box must have numeric X/Y/width/height or equivalent controls.</w:t>
      </w:r>
    </w:p>
    <w:p>
      <w:pPr>
        <w:pStyle w:val="ListBullet"/>
        <w:widowControl/>
      </w:pPr>
      <w:r>
        <w:t>Artwork positioning must have keyboard controls or numeric position fields.</w:t>
      </w:r>
    </w:p>
    <w:p>
      <w:pPr>
        <w:pStyle w:val="ListBullet"/>
        <w:widowControl/>
      </w:pPr>
      <w:r>
        <w:t>Waveform selection must have time inputs.</w:t>
      </w:r>
    </w:p>
    <w:p>
      <w:pPr>
        <w:pStyle w:val="ListBullet"/>
        <w:widowControl/>
      </w:pPr>
      <w:r>
        <w:t>Timeline markers must be editable without dragging.</w:t>
      </w:r>
    </w:p>
    <w:p>
      <w:pPr>
        <w:pStyle w:val="ListBullet"/>
        <w:widowControl/>
      </w:pPr>
      <w:r>
        <w:t>Slider values must have keyboard support and a spoken numeric value.</w:t>
      </w:r>
    </w:p>
    <w:p>
      <w:pPr>
        <w:pStyle w:val="ListBullet"/>
        <w:widowControl/>
      </w:pPr>
      <w:r>
        <w:t>Caption or lyric timing must have a text-list editor with timecode fields.</w:t>
      </w:r>
    </w:p>
    <w:p>
      <w:pPr>
        <w:widowControl/>
      </w:pPr>
      <w:r>
        <w:t>A blind user must be able to perform the same essential edit without interpreting a visual waveform.</w:t>
      </w:r>
    </w:p>
    <w:p>
      <w:pPr>
        <w:pStyle w:val="Heading2"/>
        <w:widowControl/>
      </w:pPr>
      <w:r>
        <w:t>12. Accessible Authentication (Minimum)</w:t>
      </w:r>
    </w:p>
    <w:p>
      <w:pPr>
        <w:widowControl/>
      </w:pPr>
      <w:r>
        <w:t>WCAG 2.2 Level AA adds Accessible Authentication (Minimum). Authentication should not depend on solving, memorizing, or transcribing a cognitive-function test unless an allowed alternative or assistance mechanism exists.</w:t>
      </w:r>
    </w:p>
    <w:p>
      <w:pPr>
        <w:widowControl/>
      </w:pPr>
      <w:r>
        <w:t>Work should:</w:t>
      </w:r>
    </w:p>
    <w:p>
      <w:pPr>
        <w:pStyle w:val="ListBullet"/>
        <w:widowControl/>
      </w:pPr>
      <w:r>
        <w:t>Allow password managers.</w:t>
      </w:r>
    </w:p>
    <w:p>
      <w:pPr>
        <w:pStyle w:val="ListBullet"/>
        <w:widowControl/>
      </w:pPr>
      <w:r>
        <w:t>Allow paste into password and one-time-code fields unless a specific security requirement makes it genuinely necessary to restrict it.</w:t>
      </w:r>
    </w:p>
    <w:p>
      <w:pPr>
        <w:pStyle w:val="ListBullet"/>
        <w:widowControl/>
      </w:pPr>
      <w:r>
        <w:t>Use autocomplete tokens where appropriate.</w:t>
      </w:r>
    </w:p>
    <w:p>
      <w:pPr>
        <w:pStyle w:val="ListBullet"/>
        <w:widowControl/>
      </w:pPr>
      <w:r>
        <w:t>Give one-time-code fields clear labels and instructions.</w:t>
      </w:r>
    </w:p>
    <w:p>
      <w:pPr>
        <w:pStyle w:val="ListBullet"/>
        <w:widowControl/>
      </w:pPr>
      <w:r>
        <w:t>Ensure social sign-in buttons have accurate provider names.</w:t>
      </w:r>
    </w:p>
    <w:p>
      <w:pPr>
        <w:pStyle w:val="ListBullet"/>
        <w:widowControl/>
      </w:pPr>
      <w:r>
        <w:t>Avoid visual-only CAPTCHA. If bot protection is used, provide an accessible path.</w:t>
      </w:r>
    </w:p>
    <w:p>
      <w:pPr>
        <w:pStyle w:val="ListBullet"/>
        <w:widowControl/>
      </w:pPr>
      <w:r>
        <w:t>Keep authentication errors specific enough to be useful without leaking unnecessary security information.</w:t>
      </w:r>
    </w:p>
    <w:p>
      <w:pPr>
        <w:pStyle w:val="ListBullet"/>
        <w:widowControl/>
      </w:pPr>
      <w:r>
        <w:t>Test Clerk components with screen readers instead of assuming vendor components are automatically accessible.</w:t>
      </w:r>
    </w:p>
    <w:p>
      <w:pPr>
        <w:pStyle w:val="Heading2"/>
        <w:widowControl/>
      </w:pPr>
      <w:r>
        <w:t>13. Consistent Help and Redundant Entry</w:t>
      </w:r>
    </w:p>
    <w:p>
      <w:pPr>
        <w:widowControl/>
      </w:pPr>
      <w:r>
        <w:t>WCAG 2.2 adds Consistent Help and Redundant Entry criteria.</w:t>
      </w:r>
    </w:p>
    <w:p>
      <w:pPr>
        <w:widowControl/>
      </w:pPr>
      <w:r>
        <w:t>If help/contact mechanisms repeat across a set of pages, keep them in a consistent relative order where the criterion applies. Do not repeatedly force a user to re-enter information already supplied in the same process when it can be safely auto-populated or selected, subject to exceptions for security or essential confirmation.</w:t>
      </w:r>
    </w:p>
    <w:p>
      <w:pPr>
        <w:widowControl/>
      </w:pPr>
      <w:r>
        <w:t>This is particularly relevant to multi-step submissions, account setup, checkout, and label onboarding.</w:t>
      </w:r>
    </w:p>
    <w:p>
      <w:pPr>
        <w:pStyle w:val="Heading2"/>
        <w:widowControl/>
      </w:pPr>
      <w:r>
        <w:t>14. Forms, labels, instructions, and errors</w:t>
      </w:r>
    </w:p>
    <w:p>
      <w:pPr>
        <w:widowControl/>
      </w:pPr>
      <w:r>
        <w:t>Every form must have:</w:t>
      </w:r>
    </w:p>
    <w:p>
      <w:pPr>
        <w:pStyle w:val="ListBullet"/>
        <w:widowControl/>
      </w:pPr>
      <w:r>
        <w:t>A visible or otherwise properly associated accessible label for every user-editable field.</w:t>
      </w:r>
    </w:p>
    <w:p>
      <w:pPr>
        <w:pStyle w:val="ListBullet"/>
        <w:widowControl/>
      </w:pPr>
      <w:r>
        <w:t>Programmatic required state.</w:t>
      </w:r>
    </w:p>
    <w:p>
      <w:pPr>
        <w:pStyle w:val="ListBullet"/>
        <w:widowControl/>
      </w:pPr>
      <w:r>
        <w:t>Clear format instructions before an error occurs when format is unusual.</w:t>
      </w:r>
    </w:p>
    <w:p>
      <w:pPr>
        <w:pStyle w:val="ListBullet"/>
        <w:widowControl/>
      </w:pPr>
      <w:r>
        <w:t>Autocomplete metadata for common personal fields where appropriate.</w:t>
      </w:r>
    </w:p>
    <w:p>
      <w:pPr>
        <w:pStyle w:val="ListBullet"/>
        <w:widowControl/>
      </w:pPr>
      <w:r>
        <w:t>Errors in text, not color alone.</w:t>
      </w:r>
    </w:p>
    <w:p>
      <w:pPr>
        <w:pStyle w:val="ListBullet"/>
        <w:widowControl/>
      </w:pPr>
      <w:r>
        <w:t>aria-invalid or native invalid state where appropriate.</w:t>
      </w:r>
    </w:p>
    <w:p>
      <w:pPr>
        <w:pStyle w:val="ListBullet"/>
        <w:widowControl/>
      </w:pPr>
      <w:r>
        <w:t>A relationship between the field and its error/help text.</w:t>
      </w:r>
    </w:p>
    <w:p>
      <w:pPr>
        <w:pStyle w:val="ListBullet"/>
        <w:widowControl/>
      </w:pPr>
      <w:r>
        <w:t>An error summary for long forms when several fields fail.</w:t>
      </w:r>
    </w:p>
    <w:p>
      <w:pPr>
        <w:pStyle w:val="ListBullet"/>
        <w:widowControl/>
      </w:pPr>
      <w:r>
        <w:t>Focus management that helps the user reach the first meaningful error without causing an unexpected context change.</w:t>
      </w:r>
    </w:p>
    <w:p>
      <w:pPr>
        <w:pStyle w:val="ListBullet"/>
        <w:widowControl/>
      </w:pPr>
      <w:r>
        <w:t>Success confirmation that is exposed to assistive technology.</w:t>
      </w:r>
    </w:p>
    <w:p>
      <w:pPr>
        <w:widowControl/>
      </w:pPr>
      <w:r>
        <w:t>For the honeypot anti-spam field, use a method that does not cause a screen-reader user to encounter a fake instruction to leave a mysterious field blank.</w:t>
      </w:r>
    </w:p>
    <w:p>
      <w:pPr>
        <w:pStyle w:val="Heading2"/>
        <w:widowControl/>
      </w:pPr>
      <w:r>
        <w:t>15. File upload accessibility</w:t>
      </w:r>
    </w:p>
    <w:p>
      <w:pPr>
        <w:widowControl/>
      </w:pPr>
      <w:r>
        <w:t>Every upload component should announce or expose:</w:t>
      </w:r>
    </w:p>
    <w:p>
      <w:pPr>
        <w:pStyle w:val="ListBullet"/>
        <w:widowControl/>
      </w:pPr>
      <w:r>
        <w:t>What file type is expected.</w:t>
      </w:r>
    </w:p>
    <w:p>
      <w:pPr>
        <w:pStyle w:val="ListBullet"/>
        <w:widowControl/>
      </w:pPr>
      <w:r>
        <w:t>Accepted formats.</w:t>
      </w:r>
    </w:p>
    <w:p>
      <w:pPr>
        <w:pStyle w:val="ListBullet"/>
        <w:widowControl/>
      </w:pPr>
      <w:r>
        <w:t>Maximum size when one exists.</w:t>
      </w:r>
    </w:p>
    <w:p>
      <w:pPr>
        <w:pStyle w:val="ListBullet"/>
        <w:widowControl/>
      </w:pPr>
      <w:r>
        <w:t>Whether multiple files are allowed.</w:t>
      </w:r>
    </w:p>
    <w:p>
      <w:pPr>
        <w:pStyle w:val="ListBullet"/>
        <w:widowControl/>
      </w:pPr>
      <w:r>
        <w:t>The selected filename.</w:t>
      </w:r>
    </w:p>
    <w:p>
      <w:pPr>
        <w:pStyle w:val="ListBullet"/>
        <w:widowControl/>
      </w:pPr>
      <w:r>
        <w:t>Upload or processing state.</w:t>
      </w:r>
    </w:p>
    <w:p>
      <w:pPr>
        <w:pStyle w:val="ListBullet"/>
        <w:widowControl/>
      </w:pPr>
      <w:r>
        <w:t>Progress when meaningful.</w:t>
      </w:r>
    </w:p>
    <w:p>
      <w:pPr>
        <w:pStyle w:val="ListBullet"/>
        <w:widowControl/>
      </w:pPr>
      <w:r>
        <w:t>Validation failure and how to correct it.</w:t>
      </w:r>
    </w:p>
    <w:p>
      <w:pPr>
        <w:pStyle w:val="ListBullet"/>
        <w:widowControl/>
      </w:pPr>
      <w:r>
        <w:t>Successful completion.</w:t>
      </w:r>
    </w:p>
    <w:p>
      <w:pPr>
        <w:pStyle w:val="ListBullet"/>
        <w:widowControl/>
      </w:pPr>
      <w:r>
        <w:t>A way to remove or replace the selected file by keyboard.</w:t>
      </w:r>
    </w:p>
    <w:p>
      <w:pPr>
        <w:widowControl/>
      </w:pPr>
      <w:r>
        <w:t>Native file input controls should be preserved or wrapped in a way that does not destroy their accessibility.</w:t>
      </w:r>
    </w:p>
    <w:p>
      <w:pPr>
        <w:pStyle w:val="Heading2"/>
        <w:widowControl/>
      </w:pPr>
      <w:r>
        <w:t>16. Dynamic status and live regions</w:t>
      </w:r>
    </w:p>
    <w:p>
      <w:pPr>
        <w:widowControl/>
      </w:pPr>
      <w:r>
        <w:t>Use live regions sparingly and intentionally.</w:t>
      </w:r>
    </w:p>
    <w:p>
      <w:pPr>
        <w:widowControl/>
      </w:pPr>
      <w:r>
        <w:t>Use polite status for ordinary progress, save confirmation, processing completion, or non-urgent updates. Use assertive alerts for urgent errors that require immediate attention. Do not place an entire frequently changing page region inside aria-live because that can cause constant interruption.</w:t>
      </w:r>
    </w:p>
    <w:p>
      <w:pPr>
        <w:widowControl/>
      </w:pPr>
      <w:r>
        <w:t>For long media jobs, announce major phases and meaningful percentage changes rather than every fraction of a second.</w:t>
      </w:r>
    </w:p>
    <w:p>
      <w:pPr>
        <w:pStyle w:val="Heading2"/>
        <w:widowControl/>
      </w:pPr>
      <w:r>
        <w:t>17. Modal dialogs, popovers, and drawers</w:t>
      </w:r>
    </w:p>
    <w:p>
      <w:pPr>
        <w:widowControl/>
      </w:pPr>
      <w:r>
        <w:t>For a true modal dialog:</w:t>
      </w:r>
    </w:p>
    <w:p>
      <w:pPr>
        <w:pStyle w:val="ListBullet"/>
        <w:widowControl/>
      </w:pPr>
      <w:r>
        <w:t>Give it an accessible name.</w:t>
      </w:r>
    </w:p>
    <w:p>
      <w:pPr>
        <w:pStyle w:val="ListBullet"/>
        <w:widowControl/>
      </w:pPr>
      <w:r>
        <w:t>Move focus into the dialog on open.</w:t>
      </w:r>
    </w:p>
    <w:p>
      <w:pPr>
        <w:pStyle w:val="ListBullet"/>
        <w:widowControl/>
      </w:pPr>
      <w:r>
        <w:t>Ensure all required actions are inside the dialog.</w:t>
      </w:r>
    </w:p>
    <w:p>
      <w:pPr>
        <w:pStyle w:val="ListBullet"/>
        <w:widowControl/>
      </w:pPr>
      <w:r>
        <w:t>Keep keyboard focus within the modal while it is active.</w:t>
      </w:r>
    </w:p>
    <w:p>
      <w:pPr>
        <w:pStyle w:val="ListBullet"/>
        <w:widowControl/>
      </w:pPr>
      <w:r>
        <w:t>Make the background inert or otherwise unavailable for interaction.</w:t>
      </w:r>
    </w:p>
    <w:p>
      <w:pPr>
        <w:pStyle w:val="ListBullet"/>
        <w:widowControl/>
      </w:pPr>
      <w:r>
        <w:t>Provide a clearly named Close or Cancel mechanism where dismissal is allowed.</w:t>
      </w:r>
    </w:p>
    <w:p>
      <w:pPr>
        <w:pStyle w:val="ListBullet"/>
        <w:widowControl/>
      </w:pPr>
      <w:r>
        <w:t>Support Escape where appropriate.</w:t>
      </w:r>
    </w:p>
    <w:p>
      <w:pPr>
        <w:pStyle w:val="ListBullet"/>
        <w:widowControl/>
      </w:pPr>
      <w:r>
        <w:t>Restore focus logically on close.</w:t>
      </w:r>
    </w:p>
    <w:p>
      <w:pPr>
        <w:pStyle w:val="ListBullet"/>
        <w:widowControl/>
      </w:pPr>
      <w:r>
        <w:t>Do not mark a dialog aria-modal="true" if users can still interact with background content.</w:t>
      </w:r>
    </w:p>
    <w:p>
      <w:pPr>
        <w:widowControl/>
      </w:pPr>
      <w:r>
        <w:t>For nonmodal popovers or drawers, do not apply modal semantics incorrectly. The chosen interaction must match what the UI actually does.</w:t>
      </w:r>
    </w:p>
    <w:p>
      <w:pPr>
        <w:pStyle w:val="Heading2"/>
        <w:widowControl/>
      </w:pPr>
      <w:r>
        <w:t>18. Navigation menus</w:t>
      </w:r>
    </w:p>
    <w:p>
      <w:pPr>
        <w:widowControl/>
      </w:pPr>
      <w:r>
        <w:t>The mobile menu trigger should be a native button. It needs a stable accessible name such as "Menu" and state via aria-expanded. If it controls a specific element, aria-controls should point to that element.</w:t>
      </w:r>
    </w:p>
    <w:p>
      <w:pPr>
        <w:widowControl/>
      </w:pPr>
      <w:r>
        <w:t>When the menu opens, Work should verify whether focus should move into it based on the implementation. Closing must be possible by keyboard and screen reader. Hidden navigation links must not remain tabbable.</w:t>
      </w:r>
    </w:p>
    <w:p>
      <w:pPr>
        <w:pStyle w:val="Heading2"/>
        <w:widowControl/>
      </w:pPr>
      <w:r>
        <w:t>19. Accessibility preference controls</w:t>
      </w:r>
    </w:p>
    <w:p>
      <w:pPr>
        <w:widowControl/>
      </w:pPr>
      <w:r>
        <w:t>Larger Text, High Contrast, and Pause Motion are useful enhancements. They must not compensate for an inaccessible default experience.</w:t>
      </w:r>
    </w:p>
    <w:p>
      <w:pPr>
        <w:widowControl/>
      </w:pPr>
      <w:r>
        <w:t>Each control should expose its state and persist only through an appropriate first-party preference mechanism. Changes should take effect without unexpectedly moving focus. High-contrast mode must not erase focus rings, disabled states, links, or errors. Larger text must not cause clipping. Pause Motion must suppress non-essential animation consistently.</w:t>
      </w:r>
    </w:p>
    <w:p>
      <w:pPr>
        <w:pStyle w:val="Heading2"/>
        <w:widowControl/>
      </w:pPr>
      <w:r>
        <w:t>20. Text resizing and zoom</w:t>
      </w:r>
    </w:p>
    <w:p>
      <w:pPr>
        <w:widowControl/>
      </w:pPr>
      <w:r>
        <w:t>At 200 percent text resizing, content and controls must remain usable without lost text, overlapping labels, inaccessible controls, or clipped dialogs except where a valid exception applies.</w:t>
      </w:r>
    </w:p>
    <w:p>
      <w:pPr>
        <w:widowControl/>
      </w:pPr>
      <w:r>
        <w:t>Browser zoom should also be tested at 200 and 400 percent. The site must not disable pinch zoom or user scaling without an exceptional reason.</w:t>
      </w:r>
    </w:p>
    <w:p>
      <w:pPr>
        <w:pStyle w:val="Heading2"/>
        <w:widowControl/>
      </w:pPr>
      <w:r>
        <w:t>21. Reflow</w:t>
      </w:r>
    </w:p>
    <w:p>
      <w:pPr>
        <w:widowControl/>
      </w:pPr>
      <w:r>
        <w:t>Test at a viewport equivalent to 320 CSS pixels wide for ordinary vertical content. Users should not need horizontal and vertical scrolling together merely to read text or operate forms, except for content where two-dimensional layout is essential.</w:t>
      </w:r>
    </w:p>
    <w:p>
      <w:pPr>
        <w:widowControl/>
      </w:pPr>
      <w:r>
        <w:t>Media Suite editors can use complex workspaces, but essential actions and values still need a reflow-friendly or alternate control view.</w:t>
      </w:r>
    </w:p>
    <w:p>
      <w:pPr>
        <w:pStyle w:val="Heading2"/>
        <w:widowControl/>
      </w:pPr>
      <w:r>
        <w:t>22. Orientation</w:t>
      </w:r>
    </w:p>
    <w:p>
      <w:pPr>
        <w:widowControl/>
      </w:pPr>
      <w:r>
        <w:t>Do not lock the site to portrait or landscape unless a particular orientation is essential. Test phone layouts in both orientations, including consent messages and Media Suite dialogs.</w:t>
      </w:r>
    </w:p>
    <w:p>
      <w:pPr>
        <w:pStyle w:val="Heading2"/>
        <w:widowControl/>
      </w:pPr>
      <w:r>
        <w:t>23. Color and contrast</w:t>
      </w:r>
    </w:p>
    <w:p>
      <w:pPr>
        <w:widowControl/>
      </w:pPr>
      <w:r>
        <w:t>Work should measure, not eyeball, contrast.</w:t>
      </w:r>
    </w:p>
    <w:p>
      <w:pPr>
        <w:widowControl/>
      </w:pPr>
      <w:r>
        <w:t>Verify applicable WCAG AA contrast for text and meaningful UI components. Check default mode, high-contrast mode, hover, focus, disabled appearance, visited links if styled, validation errors, placeholders where they carry useful supplemental information, waveform control states, selected presets, and text over artwork.</w:t>
      </w:r>
    </w:p>
    <w:p>
      <w:pPr>
        <w:widowControl/>
      </w:pPr>
      <w:r>
        <w:t>Color cannot be the only signal for selected, error, success, required, online/offline, or waveform marker state.</w:t>
      </w:r>
    </w:p>
    <w:p>
      <w:pPr>
        <w:pStyle w:val="Heading2"/>
        <w:widowControl/>
      </w:pPr>
      <w:r>
        <w:t>24. Links and controls</w:t>
      </w:r>
    </w:p>
    <w:p>
      <w:pPr>
        <w:widowControl/>
      </w:pPr>
      <w:r>
        <w:t>Avoid generic repeated links such as "click here" where context is insufficient. Social icon links need provider names. External-link icons should not cause a screen reader to repeat meaningless symbol names.</w:t>
      </w:r>
    </w:p>
    <w:p>
      <w:pPr>
        <w:widowControl/>
      </w:pPr>
      <w:r>
        <w:t>A control that changes application state should usually be a button. A control that navigates to another location should usually be a link.</w:t>
      </w:r>
    </w:p>
    <w:p>
      <w:pPr>
        <w:pStyle w:val="Heading2"/>
        <w:widowControl/>
      </w:pPr>
      <w:r>
        <w:t>25. Images and artwork</w:t>
      </w:r>
    </w:p>
    <w:p>
      <w:pPr>
        <w:widowControl/>
      </w:pPr>
      <w:r>
        <w:t>Informative images need concise alternative text communicating their purpose. Decorative imagery should use empty alt text or an equivalent method so it is ignored.</w:t>
      </w:r>
    </w:p>
    <w:p>
      <w:pPr>
        <w:widowControl/>
      </w:pPr>
      <w:r>
        <w:t>Album artwork can usually use an alternative such as "Cover art for [release title] by [artist]" unless the artwork itself conveys additional information important to the page.</w:t>
      </w:r>
    </w:p>
    <w:p>
      <w:pPr>
        <w:widowControl/>
      </w:pPr>
      <w:r>
        <w:t>Do not automatically generate overly long AI descriptions for every decorative image and call that accessibility. Alternative text should match context and purpose.</w:t>
      </w:r>
    </w:p>
    <w:p>
      <w:pPr>
        <w:pStyle w:val="Heading2"/>
        <w:widowControl/>
      </w:pPr>
      <w:r>
        <w:t>26. Audio and video accessibility</w:t>
      </w:r>
    </w:p>
    <w:p>
      <w:pPr>
        <w:widowControl/>
      </w:pPr>
      <w:r>
        <w:t>Prerecorded video with meaningful spoken content needs captions when WCAG requires them. Captions must identify important non-speech audio when needed for understanding. Audio-only material needs a text alternative where required. Important visual information in video needs audio description or another allowed equivalent when the applicable criterion requires it.</w:t>
      </w:r>
    </w:p>
    <w:p>
      <w:pPr>
        <w:widowControl/>
      </w:pPr>
      <w:r>
        <w:t>The player itself must be keyboard operable. Play, pause, mute, volume, seek, captions, fullscreen, and other first-party controls require accessible names and state. Avoid autoplay with unexpected sound.</w:t>
      </w:r>
    </w:p>
    <w:p>
      <w:pPr>
        <w:pStyle w:val="Heading2"/>
        <w:widowControl/>
      </w:pPr>
      <w:r>
        <w:t>27. Media Suite architecture: common shell</w:t>
      </w:r>
    </w:p>
    <w:p>
      <w:pPr>
        <w:widowControl/>
      </w:pPr>
      <w:r>
        <w:t>Every Media Suite tool should use a consistent structure:</w:t>
      </w:r>
    </w:p>
    <w:p>
      <w:pPr>
        <w:ind w:left="317" w:hanging="317"/>
        <w:widowControl/>
      </w:pPr>
      <w:r>
        <w:t>1. Tool title and one-sentence purpose.</w:t>
      </w:r>
    </w:p>
    <w:p>
      <w:pPr>
        <w:ind w:left="317" w:hanging="317"/>
        <w:widowControl/>
      </w:pPr>
      <w:r>
        <w:t>2. Source-file selector with accepted formats and size information.</w:t>
      </w:r>
    </w:p>
    <w:p>
      <w:pPr>
        <w:ind w:left="317" w:hanging="317"/>
        <w:widowControl/>
      </w:pPr>
      <w:r>
        <w:t>3. Project or source-file summary.</w:t>
      </w:r>
    </w:p>
    <w:p>
      <w:pPr>
        <w:ind w:left="317" w:hanging="317"/>
        <w:widowControl/>
      </w:pPr>
      <w:r>
        <w:t>4. Settings grouped under real fieldset/legend or headings.</w:t>
      </w:r>
    </w:p>
    <w:p>
      <w:pPr>
        <w:ind w:left="317" w:hanging="317"/>
        <w:widowControl/>
      </w:pPr>
      <w:r>
        <w:t>5. Presets with explicit selected state.</w:t>
      </w:r>
    </w:p>
    <w:p>
      <w:pPr>
        <w:ind w:left="317" w:hanging="317"/>
        <w:widowControl/>
      </w:pPr>
      <w:r>
        <w:t>6. Custom controls.</w:t>
      </w:r>
    </w:p>
    <w:p>
      <w:pPr>
        <w:ind w:left="317" w:hanging="317"/>
        <w:widowControl/>
      </w:pPr>
      <w:r>
        <w:t>7. Accessible preview/status information.</w:t>
      </w:r>
    </w:p>
    <w:p>
      <w:pPr>
        <w:ind w:left="317" w:hanging="317"/>
        <w:widowControl/>
      </w:pPr>
      <w:r>
        <w:t>8. Process/render action.</w:t>
      </w:r>
    </w:p>
    <w:p>
      <w:pPr>
        <w:ind w:left="317" w:hanging="317"/>
        <w:widowControl/>
      </w:pPr>
      <w:r>
        <w:t>9. Progress/status region.</w:t>
      </w:r>
    </w:p>
    <w:p>
      <w:pPr>
        <w:ind w:left="317" w:hanging="317"/>
        <w:widowControl/>
      </w:pPr>
      <w:r>
        <w:t>10. Output summary including filename, format, size when available, duration, relevant quality information, and a conventional download control.</w:t>
      </w:r>
    </w:p>
    <w:p>
      <w:pPr>
        <w:widowControl/>
      </w:pPr>
      <w:r>
        <w:t>The shell should keep control order consistent across converter, normalizer, clipper, audiogram, art-track, and other tools.</w:t>
      </w:r>
    </w:p>
    <w:p>
      <w:pPr>
        <w:pStyle w:val="Heading2"/>
        <w:widowControl/>
      </w:pPr>
      <w:r>
        <w:t>28. Audio converter accessibility</w:t>
      </w:r>
    </w:p>
    <w:p>
      <w:pPr>
        <w:widowControl/>
      </w:pPr>
      <w:r>
        <w:t>The converter should expose:</w:t>
      </w:r>
    </w:p>
    <w:p>
      <w:pPr>
        <w:pStyle w:val="ListBullet"/>
        <w:widowControl/>
      </w:pPr>
      <w:r>
        <w:t>Source filename, media type, duration where available, and source technical details in text.</w:t>
      </w:r>
    </w:p>
    <w:p>
      <w:pPr>
        <w:pStyle w:val="ListBullet"/>
        <w:widowControl/>
      </w:pPr>
      <w:r>
        <w:t>Output format as a native select, radio group, or equivalent accessible widget.</w:t>
      </w:r>
    </w:p>
    <w:p>
      <w:pPr>
        <w:pStyle w:val="ListBullet"/>
        <w:widowControl/>
      </w:pPr>
      <w:r>
        <w:t>Professional presets with clear names and descriptions.</w:t>
      </w:r>
    </w:p>
    <w:p>
      <w:pPr>
        <w:pStyle w:val="ListBullet"/>
        <w:widowControl/>
      </w:pPr>
      <w:r>
        <w:t>Sample rate, bit depth, bitrate, channels, and codec controls when custom mode is used.</w:t>
      </w:r>
    </w:p>
    <w:p>
      <w:pPr>
        <w:pStyle w:val="ListBullet"/>
        <w:widowControl/>
      </w:pPr>
      <w:r>
        <w:t>Warnings when an option is not supported by the selected container or browser engine.</w:t>
      </w:r>
    </w:p>
    <w:p>
      <w:pPr>
        <w:pStyle w:val="ListBullet"/>
        <w:widowControl/>
      </w:pPr>
      <w:r>
        <w:t>A clear distinction between lossless, lossy, high-resolution-capable, and upsampled output.</w:t>
      </w:r>
    </w:p>
    <w:p>
      <w:pPr>
        <w:pStyle w:val="ListBullet"/>
        <w:widowControl/>
      </w:pPr>
      <w:r>
        <w:t>Progress and final technical summary.</w:t>
      </w:r>
    </w:p>
    <w:p>
      <w:pPr>
        <w:widowControl/>
      </w:pPr>
      <w:r>
        <w:t>Do not communicate "best," "professional," or "distribution-ready" solely by visual badge; include text explaining what the preset actually changes.</w:t>
      </w:r>
    </w:p>
    <w:p>
      <w:pPr>
        <w:pStyle w:val="Heading2"/>
        <w:widowControl/>
      </w:pPr>
      <w:r>
        <w:t>29. Loudness analyzer and normalizer accessibility</w:t>
      </w:r>
    </w:p>
    <w:p>
      <w:pPr>
        <w:widowControl/>
      </w:pPr>
      <w:r>
        <w:t>Expose integrated loudness, true peak or peak measurement, and any other reported metric as text with units. If a meter uses color bands, the same state must be available as text.</w:t>
      </w:r>
    </w:p>
    <w:p>
      <w:pPr>
        <w:widowControl/>
      </w:pPr>
      <w:r>
        <w:t>Normalization targets should be selectable by keyboard. A preset such as a streaming-platform target must be described as a technical target, not guaranteed acceptance by that platform. If applying gain can clip or require limiting, explain the result in text.</w:t>
      </w:r>
    </w:p>
    <w:p>
      <w:pPr>
        <w:pStyle w:val="Heading2"/>
        <w:widowControl/>
      </w:pPr>
      <w:r>
        <w:t>30. Clipper and silence trimmer accessibility</w:t>
      </w:r>
    </w:p>
    <w:p>
      <w:pPr>
        <w:widowControl/>
      </w:pPr>
      <w:r>
        <w:t>Provide editable start and end times, selected duration, and keyboard commands. Waveform clicking or dragging may be optional convenience, never the only method.</w:t>
      </w:r>
    </w:p>
    <w:p>
      <w:pPr>
        <w:widowControl/>
      </w:pPr>
      <w:r>
        <w:t>A silence detector should list detected regions or proposed cuts in text so a screen-reader user can inspect, include, exclude, or adjust them.</w:t>
      </w:r>
    </w:p>
    <w:p>
      <w:pPr>
        <w:pStyle w:val="Heading2"/>
        <w:widowControl/>
      </w:pPr>
      <w:r>
        <w:t>31. Metadata editor accessibility</w:t>
      </w:r>
    </w:p>
    <w:p>
      <w:pPr>
        <w:widowControl/>
      </w:pPr>
      <w:r>
        <w:t>Metadata fields should be ordinary labeled form controls. Artwork replacement should announce the selected image and dimensions. Unsupported tags should be clearly identified. If the tool shows before/after metadata, it should be navigable as text rather than a visual-only diff.</w:t>
      </w:r>
    </w:p>
    <w:p>
      <w:pPr>
        <w:pStyle w:val="Heading2"/>
        <w:widowControl/>
      </w:pPr>
      <w:r>
        <w:t>32. Art-track generator accessibility</w:t>
      </w:r>
    </w:p>
    <w:p>
      <w:pPr>
        <w:widowControl/>
      </w:pPr>
      <w:r>
        <w:t>The art-track generator should provide text controls for audio selection, artwork, title, artist, label text, copyright line, resolution, frame rate, duration behavior, background treatment, and output format.</w:t>
      </w:r>
    </w:p>
    <w:p>
      <w:pPr>
        <w:widowControl/>
      </w:pPr>
      <w:r>
        <w:t>Artwork position/crop must have non-drag inputs. A blind user should be able to produce a conventional centered-artwork art track without using a visual canvas. If optional visual positioning is used, expose numeric coordinates or presets such as Center, Fit, Fill, Top, Bottom, Left, and Right.</w:t>
      </w:r>
    </w:p>
    <w:p>
      <w:pPr>
        <w:widowControl/>
      </w:pPr>
      <w:r>
        <w:t>The interface must make clear that generating an art-track video does not directly deliver it to YouTube Music, create a YouTube Art Track object, enroll it in Content ID, or create DDEX delivery unless a separate approved partner integration actually performs those functions.</w:t>
      </w:r>
    </w:p>
    <w:p>
      <w:pPr>
        <w:pStyle w:val="Heading2"/>
        <w:widowControl/>
      </w:pPr>
      <w:r>
        <w:t>33. Audiogram generator accessibility</w:t>
      </w:r>
    </w:p>
    <w:p>
      <w:pPr>
        <w:widowControl/>
      </w:pPr>
      <w:r>
        <w:t>Waveform style, caption style, artwork placement, canvas size, progress bar, text, and branding should be selectable with conventional controls. Generated captions need an editable transcript/timecode list. The user needs a text summary of the configured layout.</w:t>
      </w:r>
    </w:p>
    <w:p>
      <w:pPr>
        <w:pStyle w:val="Heading2"/>
        <w:widowControl/>
      </w:pPr>
      <w:r>
        <w:t>34. Lyric-video generator accessibility</w:t>
      </w:r>
    </w:p>
    <w:p>
      <w:pPr>
        <w:widowControl/>
      </w:pPr>
      <w:r>
        <w:t>Lyrics should be editable in a linear text/timecode interface. Visual timeline editing can exist as an enhancement. Each lyric line should have an accessible start time and optional end time. Provide keyboard methods to insert, delete, reorder, and adjust cues.</w:t>
      </w:r>
    </w:p>
    <w:p>
      <w:pPr>
        <w:pStyle w:val="Heading2"/>
        <w:widowControl/>
      </w:pPr>
      <w:r>
        <w:t>35. Artwork resizer and platform-pack accessibility</w:t>
      </w:r>
    </w:p>
    <w:p>
      <w:pPr>
        <w:widowControl/>
      </w:pPr>
      <w:r>
        <w:t>Provide width and height fields, aspect-ratio lock state, crop mode, quality, output format, and preset dimensions in text. A batch export should announce how many files will be generated and then list the results by filename and dimension.</w:t>
      </w:r>
    </w:p>
    <w:p>
      <w:pPr>
        <w:pStyle w:val="Heading2"/>
        <w:widowControl/>
      </w:pPr>
      <w:r>
        <w:t>36. Waveform image generator accessibility</w:t>
      </w:r>
    </w:p>
    <w:p>
      <w:pPr>
        <w:widowControl/>
      </w:pPr>
      <w:r>
        <w:t>A waveform image is itself visual output. The tool still needs accessible configuration and should expose the underlying duration, selected range, amplitude scaling choice, dimensions, and output state in text. Decorative waveform preview canvases can use an accessible text summary rather than pretending every pixel needs an alternative description.</w:t>
      </w:r>
    </w:p>
    <w:p>
      <w:pPr>
        <w:pStyle w:val="Heading2"/>
        <w:widowControl/>
      </w:pPr>
      <w:r>
        <w:t>37. Progress, cancellation, and failure recovery</w:t>
      </w:r>
    </w:p>
    <w:p>
      <w:pPr>
        <w:widowControl/>
      </w:pPr>
      <w:r>
        <w:t>A long-running conversion or render should identify that work is in progress and whether the user can safely cancel. If cancellation leaves no usable output, say so. If an operation fails, preserve the selected settings where safe so a screen-reader user does not have to rebuild the entire project.</w:t>
      </w:r>
    </w:p>
    <w:p>
      <w:pPr>
        <w:widowControl/>
      </w:pPr>
      <w:r>
        <w:t>Do not use a spinner with no text as the only status signal.</w:t>
      </w:r>
    </w:p>
    <w:p>
      <w:pPr>
        <w:pStyle w:val="Heading2"/>
        <w:widowControl/>
      </w:pPr>
      <w:r>
        <w:t>38. Browser-engine loading state</w:t>
      </w:r>
    </w:p>
    <w:p>
      <w:pPr>
        <w:widowControl/>
      </w:pPr>
      <w:r>
        <w:t>The existing "Loading engine" experience must not be allowed to sit permanently at zero percent with no explanation. Work should add:</w:t>
      </w:r>
    </w:p>
    <w:p>
      <w:pPr>
        <w:pStyle w:val="ListBullet"/>
        <w:widowControl/>
      </w:pPr>
      <w:r>
        <w:t>A status message saying what component is loading.</w:t>
      </w:r>
    </w:p>
    <w:p>
      <w:pPr>
        <w:pStyle w:val="ListBullet"/>
        <w:widowControl/>
      </w:pPr>
      <w:r>
        <w:t>A timeout or failure state.</w:t>
      </w:r>
    </w:p>
    <w:p>
      <w:pPr>
        <w:pStyle w:val="ListBullet"/>
        <w:widowControl/>
      </w:pPr>
      <w:r>
        <w:t>Retry control.</w:t>
      </w:r>
    </w:p>
    <w:p>
      <w:pPr>
        <w:pStyle w:val="ListBullet"/>
        <w:widowControl/>
      </w:pPr>
      <w:r>
        <w:t>Diagnostic guidance that does not require developer tools.</w:t>
      </w:r>
    </w:p>
    <w:p>
      <w:pPr>
        <w:pStyle w:val="ListBullet"/>
        <w:widowControl/>
      </w:pPr>
      <w:r>
        <w:t>A fallback path or explanation when the browser cannot load WebAssembly or the CDN asset.</w:t>
      </w:r>
    </w:p>
    <w:p>
      <w:pPr>
        <w:pStyle w:val="ListBullet"/>
        <w:widowControl/>
      </w:pPr>
      <w:r>
        <w:t>A status announcement to screen readers.</w:t>
      </w:r>
    </w:p>
    <w:p>
      <w:pPr>
        <w:widowControl/>
      </w:pPr>
      <w:r>
        <w:t>If FFmpeg assets are downloaded from jsDelivr, a network/CSP failure should result in a useful error rather than an endless loading state.</w:t>
      </w:r>
    </w:p>
    <w:p>
      <w:pPr>
        <w:pStyle w:val="Heading2"/>
        <w:widowControl/>
      </w:pPr>
      <w:r>
        <w:t>39. Consent and privacy-message accessibility</w:t>
      </w:r>
    </w:p>
    <w:p>
      <w:pPr>
        <w:widowControl/>
      </w:pPr>
      <w:r>
        <w:t>Test Google's CMP on iPhone VoiceOver, keyboard-only desktop, zoomed desktop, and narrow mobile layout.</w:t>
      </w:r>
    </w:p>
    <w:p>
      <w:pPr>
        <w:widowControl/>
      </w:pPr>
      <w:r>
        <w:t>The user must be able to locate and operate Consent, Do not consent/Reject, and Manage options where configured. Focus must be visible and logical. The user must also be able to reopen the privacy choices later.</w:t>
      </w:r>
    </w:p>
    <w:p>
      <w:pPr>
        <w:widowControl/>
      </w:pPr>
      <w:r>
        <w:t>Do not add a second home-built overlay that conflicts with Google's consent state unless Work can prove the two systems synchronize correctly.</w:t>
      </w:r>
    </w:p>
    <w:p>
      <w:pPr>
        <w:pStyle w:val="Heading2"/>
        <w:widowControl/>
      </w:pPr>
      <w:r>
        <w:t>40. Community accessibility</w:t>
      </w:r>
    </w:p>
    <w:p>
      <w:pPr>
        <w:widowControl/>
      </w:pPr>
      <w:r>
        <w:t>The community must support:</w:t>
      </w:r>
    </w:p>
    <w:p>
      <w:pPr>
        <w:pStyle w:val="ListBullet"/>
        <w:widowControl/>
      </w:pPr>
      <w:r>
        <w:t>Accessible sign-in.</w:t>
      </w:r>
    </w:p>
    <w:p>
      <w:pPr>
        <w:pStyle w:val="ListBullet"/>
        <w:widowControl/>
      </w:pPr>
      <w:r>
        <w:t>A labeled post composer.</w:t>
      </w:r>
    </w:p>
    <w:p>
      <w:pPr>
        <w:pStyle w:val="ListBullet"/>
        <w:widowControl/>
      </w:pPr>
      <w:r>
        <w:t>Clear character/attachment rules.</w:t>
      </w:r>
    </w:p>
    <w:p>
      <w:pPr>
        <w:pStyle w:val="ListBullet"/>
        <w:widowControl/>
      </w:pPr>
      <w:r>
        <w:t>Accessible post actions.</w:t>
      </w:r>
    </w:p>
    <w:p>
      <w:pPr>
        <w:pStyle w:val="ListBullet"/>
        <w:widowControl/>
      </w:pPr>
      <w:r>
        <w:t>Vote/poll state conveyed without color alone.</w:t>
      </w:r>
    </w:p>
    <w:p>
      <w:pPr>
        <w:pStyle w:val="ListBullet"/>
        <w:widowControl/>
      </w:pPr>
      <w:r>
        <w:t>Comments in a logical reading order.</w:t>
      </w:r>
    </w:p>
    <w:p>
      <w:pPr>
        <w:pStyle w:val="ListBullet"/>
        <w:widowControl/>
      </w:pPr>
      <w:r>
        <w:t>Report and block controls with descriptive names.</w:t>
      </w:r>
    </w:p>
    <w:p>
      <w:pPr>
        <w:pStyle w:val="ListBullet"/>
        <w:widowControl/>
      </w:pPr>
      <w:r>
        <w:t>Moderation notices that explain the affected content and available next action.</w:t>
      </w:r>
    </w:p>
    <w:p>
      <w:pPr>
        <w:pStyle w:val="ListBullet"/>
        <w:widowControl/>
      </w:pPr>
      <w:r>
        <w:t>Accessible pagination or load-more behavior.</w:t>
      </w:r>
    </w:p>
    <w:p>
      <w:pPr>
        <w:pStyle w:val="ListBullet"/>
        <w:widowControl/>
      </w:pPr>
      <w:r>
        <w:t>No infinite-scroll design that makes footer/legal links effectively unreachable without an alternative.</w:t>
      </w:r>
    </w:p>
    <w:p>
      <w:pPr>
        <w:widowControl/>
      </w:pPr>
      <w:r>
        <w:t>If new posts load dynamically, avoid repeatedly moving or resetting the user's screen-reader position.</w:t>
      </w:r>
    </w:p>
    <w:p>
      <w:pPr>
        <w:pStyle w:val="Heading2"/>
        <w:widowControl/>
      </w:pPr>
      <w:r>
        <w:t>41. Label portal accessibility</w:t>
      </w:r>
    </w:p>
    <w:p>
      <w:pPr>
        <w:widowControl/>
      </w:pPr>
      <w:r>
        <w:t>The private portal should meet the same core target. High-priority checks include dashboard headings, contracts, earnings summaries, messages, account roles, file downloads, document review, notices, backup codes, password reset, and any future electronic-signature workflow.</w:t>
      </w:r>
    </w:p>
    <w:p>
      <w:pPr>
        <w:widowControl/>
      </w:pPr>
      <w:r>
        <w:t>Financial information should be presented as real text, not an inaccessible chart alone. Charts can supplement a text summary and accessible underlying values.</w:t>
      </w:r>
    </w:p>
    <w:p>
      <w:pPr>
        <w:pStyle w:val="Heading2"/>
        <w:widowControl/>
      </w:pPr>
      <w:r>
        <w:t>42. Document accessibility</w:t>
      </w:r>
    </w:p>
    <w:p>
      <w:pPr>
        <w:widowControl/>
      </w:pPr>
      <w:r>
        <w:t>Any PDFs, Word files, statements, contracts, invoices, or downloadable reports generated by the portal should have a document accessibility workflow. A WCAG-compliant web page does not make an inaccessible PDF compliant.</w:t>
      </w:r>
    </w:p>
    <w:p>
      <w:pPr>
        <w:widowControl/>
      </w:pPr>
      <w:r>
        <w:t>For PDF deliverables, use tagged structure, correct reading order, document language, useful title, headings, text alternatives, labeled links, and form accessibility as applicable. For DOCX files, use actual heading styles, lists, meaningful links, alt text, and logical reading order.</w:t>
      </w:r>
    </w:p>
    <w:p>
      <w:pPr>
        <w:pStyle w:val="Heading2"/>
        <w:widowControl/>
      </w:pPr>
      <w:r>
        <w:t>43. Reduced motion and animation</w:t>
      </w:r>
    </w:p>
    <w:p>
      <w:pPr>
        <w:widowControl/>
      </w:pPr>
      <w:r>
        <w:t>Honor prefers-reduced-motion for decorative or non-essential animation. The site's Pause Motion setting can offer an additional user preference. Avoid flashing content above accessibility thresholds. Animated waveform, progress, hover, and page transitions should not be required to understand state.</w:t>
      </w:r>
    </w:p>
    <w:p>
      <w:pPr>
        <w:pStyle w:val="Heading2"/>
        <w:widowControl/>
      </w:pPr>
      <w:r>
        <w:t>44. Time limits</w:t>
      </w:r>
    </w:p>
    <w:p>
      <w:pPr>
        <w:widowControl/>
      </w:pPr>
      <w:r>
        <w:t>If any feature introduces a time limit for authentication, upload, checkout, editing, or moderation response, identify whether the user can turn it off, adjust it, or extend it where WCAG requires. Security session expiry can have exceptions, but warning and recovery should still be accessible.</w:t>
      </w:r>
    </w:p>
    <w:p>
      <w:pPr>
        <w:pStyle w:val="Heading2"/>
        <w:widowControl/>
      </w:pPr>
      <w:r>
        <w:t>45. Accessible names and visible labels</w:t>
      </w:r>
    </w:p>
    <w:p>
      <w:pPr>
        <w:widowControl/>
      </w:pPr>
      <w:r>
        <w:t>Where a visible label exists, the accessible name should generally include the same words so speech-input and screen-reader users can correlate what they hear with what is displayed. Avoid a button visually labelled "Upload audio" whose accessible name is unrelated such as "Choose asset object."</w:t>
      </w:r>
    </w:p>
    <w:p>
      <w:pPr>
        <w:pStyle w:val="Heading2"/>
        <w:widowControl/>
      </w:pPr>
      <w:r>
        <w:t>46. Status after route changes in a single-page application</w:t>
      </w:r>
    </w:p>
    <w:p>
      <w:pPr>
        <w:widowControl/>
      </w:pPr>
      <w:r>
        <w:t>If the site uses client-side routing, update the document title and move or announce context appropriately after navigation. A screen reader should not remain on an old footer control with no indication that an entirely new page loaded.</w:t>
      </w:r>
    </w:p>
    <w:p>
      <w:pPr>
        <w:pStyle w:val="Heading2"/>
        <w:widowControl/>
      </w:pPr>
      <w:r>
        <w:t>47. Error prevention for important transactions</w:t>
      </w:r>
    </w:p>
    <w:p>
      <w:pPr>
        <w:widowControl/>
      </w:pPr>
      <w:r>
        <w:t>For legal, financial, or destructive actions such as deleting an account, publishing a post, executing a contract, changing payout information, or buying a paid service, apply the applicable WCAG error-prevention requirements. Provide confirmation, review, or reversibility as appropriate.</w:t>
      </w:r>
    </w:p>
    <w:p>
      <w:pPr>
        <w:pStyle w:val="Heading2"/>
        <w:widowControl/>
      </w:pPr>
      <w:r>
        <w:t>48. Automated testing suite</w:t>
      </w:r>
    </w:p>
    <w:p>
      <w:pPr>
        <w:widowControl/>
      </w:pPr>
      <w:r>
        <w:t>Work should add automated accessibility tests that cover representative routes and states. At minimum:</w:t>
      </w:r>
    </w:p>
    <w:p>
      <w:pPr>
        <w:pStyle w:val="ListBullet"/>
        <w:widowControl/>
      </w:pPr>
      <w:r>
        <w:t>axe-core or equivalent automated rules on core routes.</w:t>
      </w:r>
    </w:p>
    <w:p>
      <w:pPr>
        <w:pStyle w:val="ListBullet"/>
        <w:widowControl/>
      </w:pPr>
      <w:r>
        <w:t>jsx-a11y or equivalent linting where the framework supports it.</w:t>
      </w:r>
    </w:p>
    <w:p>
      <w:pPr>
        <w:pStyle w:val="ListBullet"/>
        <w:widowControl/>
      </w:pPr>
      <w:r>
        <w:t>Playwright keyboard smoke tests.</w:t>
      </w:r>
    </w:p>
    <w:p>
      <w:pPr>
        <w:pStyle w:val="ListBullet"/>
        <w:widowControl/>
      </w:pPr>
      <w:r>
        <w:t>Tests for dialog focus entry/exit.</w:t>
      </w:r>
    </w:p>
    <w:p>
      <w:pPr>
        <w:pStyle w:val="ListBullet"/>
        <w:widowControl/>
      </w:pPr>
      <w:r>
        <w:t>Tests that menu aria-expanded changes.</w:t>
      </w:r>
    </w:p>
    <w:p>
      <w:pPr>
        <w:pStyle w:val="ListBullet"/>
        <w:widowControl/>
      </w:pPr>
      <w:r>
        <w:t>Tests that hidden panels are not tabbable.</w:t>
      </w:r>
    </w:p>
    <w:p>
      <w:pPr>
        <w:pStyle w:val="ListBullet"/>
        <w:widowControl/>
      </w:pPr>
      <w:r>
        <w:t>Tests that form errors connect to fields.</w:t>
      </w:r>
    </w:p>
    <w:p>
      <w:pPr>
        <w:pStyle w:val="ListBullet"/>
        <w:widowControl/>
      </w:pPr>
      <w:r>
        <w:t>Tests that status messages appear in a live region where intended.</w:t>
      </w:r>
    </w:p>
    <w:p>
      <w:pPr>
        <w:pStyle w:val="ListBullet"/>
        <w:widowControl/>
      </w:pPr>
      <w:r>
        <w:t>Tests that Media Suite non-drag controls exist.</w:t>
      </w:r>
    </w:p>
    <w:p>
      <w:pPr>
        <w:widowControl/>
      </w:pPr>
      <w:r>
        <w:t>Automated tests should fail CI on newly introduced serious violations but should not be labelled "WCAG certified."</w:t>
      </w:r>
    </w:p>
    <w:p>
      <w:pPr>
        <w:pStyle w:val="Heading2"/>
        <w:widowControl/>
      </w:pPr>
      <w:r>
        <w:t>49. Manual visual testing suite</w:t>
      </w:r>
    </w:p>
    <w:p>
      <w:pPr>
        <w:widowControl/>
      </w:pPr>
      <w:r>
        <w:t>For every template and custom tool, manually test:</w:t>
      </w:r>
    </w:p>
    <w:p>
      <w:pPr>
        <w:pStyle w:val="ListBullet"/>
        <w:widowControl/>
      </w:pPr>
      <w:r>
        <w:t>100, 200, and 400 percent browser zoom.</w:t>
      </w:r>
    </w:p>
    <w:p>
      <w:pPr>
        <w:pStyle w:val="ListBullet"/>
        <w:widowControl/>
      </w:pPr>
      <w:r>
        <w:t>200 percent text-only enlargement where supported.</w:t>
      </w:r>
    </w:p>
    <w:p>
      <w:pPr>
        <w:pStyle w:val="ListBullet"/>
        <w:widowControl/>
      </w:pPr>
      <w:r>
        <w:t>Narrow reflow.</w:t>
      </w:r>
    </w:p>
    <w:p>
      <w:pPr>
        <w:pStyle w:val="ListBullet"/>
        <w:widowControl/>
      </w:pPr>
      <w:r>
        <w:t>Light/dark or site appearance variants if offered.</w:t>
      </w:r>
    </w:p>
    <w:p>
      <w:pPr>
        <w:pStyle w:val="ListBullet"/>
        <w:widowControl/>
      </w:pPr>
      <w:r>
        <w:t>High Contrast preference.</w:t>
      </w:r>
    </w:p>
    <w:p>
      <w:pPr>
        <w:pStyle w:val="ListBullet"/>
        <w:widowControl/>
      </w:pPr>
      <w:r>
        <w:t>System forced-colors/high-contrast mode where feasible.</w:t>
      </w:r>
    </w:p>
    <w:p>
      <w:pPr>
        <w:pStyle w:val="ListBullet"/>
        <w:widowControl/>
      </w:pPr>
      <w:r>
        <w:t>Reduced motion.</w:t>
      </w:r>
    </w:p>
    <w:p>
      <w:pPr>
        <w:pStyle w:val="ListBullet"/>
        <w:widowControl/>
      </w:pPr>
      <w:r>
        <w:t>Long translated strings.</w:t>
      </w:r>
    </w:p>
    <w:p>
      <w:pPr>
        <w:pStyle w:val="ListBullet"/>
        <w:widowControl/>
      </w:pPr>
      <w:r>
        <w:t>Large validation errors.</w:t>
      </w:r>
    </w:p>
    <w:p>
      <w:pPr>
        <w:pStyle w:val="ListBullet"/>
        <w:widowControl/>
      </w:pPr>
      <w:r>
        <w:t>No-image or failed-image conditions.</w:t>
      </w:r>
    </w:p>
    <w:p>
      <w:pPr>
        <w:pStyle w:val="ListBullet"/>
        <w:widowControl/>
      </w:pPr>
      <w:r>
        <w:t>Slow network and failed third-party script conditions.</w:t>
      </w:r>
    </w:p>
    <w:p>
      <w:pPr>
        <w:pStyle w:val="Heading2"/>
        <w:widowControl/>
      </w:pPr>
      <w:r>
        <w:t>50. Accessibility evidence file</w:t>
      </w:r>
    </w:p>
    <w:p>
      <w:pPr>
        <w:widowControl/>
      </w:pPr>
      <w:r>
        <w:t>Maintain a private accessibility evidence record containing the date, production commit/deployment identifier, routes tested, tools and versions, browsers, screen readers, defects, remediation commits, retest results, and known third-party limitations.</w:t>
      </w:r>
    </w:p>
    <w:p>
      <w:pPr>
        <w:widowControl/>
      </w:pPr>
      <w:r>
        <w:t>A public Accessibility Statement can accurately describe the target, feedback route, and known limitations without claiming a third-party certification that has not occurred.</w:t>
      </w:r>
    </w:p>
    <w:p>
      <w:pPr>
        <w:widowControl/>
      </w:pPr>
      <w:r>
        <w:br w:type="page"/>
      </w:r>
    </w:p>
    <w:p>
      <w:pPr>
        <w:pStyle w:val="Heading1"/>
        <w:widowControl/>
      </w:pPr>
      <w:r>
        <w:t>Part XXIV - Conditional Jurisdiction and Feature Launch Gates</w:t>
      </w:r>
    </w:p>
    <w:p>
      <w:pPr>
        <w:pStyle w:val="DocumentNote"/>
        <w:widowControl/>
      </w:pPr>
      <w:r>
        <w:t>INTERNAL LEGAL SCOPE CHECKLIST. These items are conditional. Work should not publish unsupported statements that a law applies or does not apply; it should evaluate the facts at each launch or major expansion.</w:t>
      </w:r>
    </w:p>
    <w:p>
      <w:pPr>
        <w:pStyle w:val="Heading2"/>
        <w:widowControl/>
      </w:pPr>
      <w:r>
        <w:t>1. Philippines Data Privacy Act and National Privacy Commission</w:t>
      </w:r>
    </w:p>
    <w:p>
      <w:pPr>
        <w:widowControl/>
      </w:pPr>
      <w:r>
        <w:t>This is a primary framework because the operator is based in the Philippines and the service processes personal information.</w:t>
      </w:r>
    </w:p>
    <w:p>
      <w:pPr>
        <w:widowControl/>
      </w:pPr>
      <w:r>
        <w:t>Operational gate:</w:t>
      </w:r>
    </w:p>
    <w:p>
      <w:pPr>
        <w:pStyle w:val="ListBullet"/>
        <w:widowControl/>
      </w:pPr>
      <w:r>
        <w:t>Maintain Kaeleb Savon Heck as Data Protection Officer / Privacy Officer unless formally changed.</w:t>
      </w:r>
    </w:p>
    <w:p>
      <w:pPr>
        <w:pStyle w:val="ListBullet"/>
        <w:widowControl/>
      </w:pPr>
      <w:r>
        <w:t>Use a dedicated official DPO email.</w:t>
      </w:r>
    </w:p>
    <w:p>
      <w:pPr>
        <w:pStyle w:val="ListBullet"/>
        <w:widowControl/>
      </w:pPr>
      <w:r>
        <w:t>Determine whether the current data-processing systems meet mandatory NPC registration criteria.</w:t>
      </w:r>
    </w:p>
    <w:p>
      <w:pPr>
        <w:pStyle w:val="ListBullet"/>
        <w:widowControl/>
      </w:pPr>
      <w:r>
        <w:t>If mandatory registration does not apply and the current NPC framework requires an exemption filing for the operator's status, complete the applicable Sworn Declaration and Undertaking process.</w:t>
      </w:r>
    </w:p>
    <w:p>
      <w:pPr>
        <w:pStyle w:val="ListBullet"/>
        <w:widowControl/>
      </w:pPr>
      <w:r>
        <w:t>Maintain data-processing inventories, security controls, privacy-rights handling, breach assessment, and required security-incident reporting.</w:t>
      </w:r>
    </w:p>
    <w:p>
      <w:pPr>
        <w:pStyle w:val="ListBullet"/>
        <w:widowControl/>
      </w:pPr>
      <w:r>
        <w:t>Reassess registration when employee count, number of sensitive-data subjects, automated decision-making, vulnerable data subjects, scale, or risk changes.</w:t>
      </w:r>
    </w:p>
    <w:p>
      <w:pPr>
        <w:widowControl/>
      </w:pPr>
      <w:r>
        <w:t>Do not place "registration pending" on the public website. Public copy should identify the DPO and rights route cleanly.</w:t>
      </w:r>
    </w:p>
    <w:p>
      <w:pPr>
        <w:pStyle w:val="Heading2"/>
        <w:widowControl/>
      </w:pPr>
      <w:r>
        <w:t>2. Philippine breach and security-incident duties</w:t>
      </w:r>
    </w:p>
    <w:p>
      <w:pPr>
        <w:widowControl/>
      </w:pPr>
      <w:r>
        <w:t>The internal incident procedure must be usable immediately, not invented after an incident occurs. Work should maintain a breach log, escalation path to the DPO, evidence preservation, affected-data analysis, harm analysis, notification-decision record, and the current NPC reporting route.</w:t>
      </w:r>
    </w:p>
    <w:p>
      <w:pPr>
        <w:widowControl/>
      </w:pPr>
      <w:r>
        <w:t>Where the statutory notification standard is met, the 72-hour framework can become relevant. Annual security-incident reporting requirements should be tracked separately because an event can belong in internal/annual reporting even when individual breach notification is not triggered.</w:t>
      </w:r>
    </w:p>
    <w:p>
      <w:pPr>
        <w:pStyle w:val="Heading2"/>
        <w:widowControl/>
      </w:pPr>
      <w:r>
        <w:t>3. Philippine Internet Transactions Act</w:t>
      </w:r>
    </w:p>
    <w:p>
      <w:pPr>
        <w:widowControl/>
      </w:pPr>
      <w:r>
        <w:t>If the site begins direct consumer e-commerce or paid online services, Work should reassess the Internet Transactions Act and its implementing rules before launch.</w:t>
      </w:r>
    </w:p>
    <w:p>
      <w:pPr>
        <w:widowControl/>
      </w:pPr>
      <w:r>
        <w:t>Launch gate for direct paid transactions:</w:t>
      </w:r>
    </w:p>
    <w:p>
      <w:pPr>
        <w:pStyle w:val="ListBullet"/>
        <w:widowControl/>
      </w:pPr>
      <w:r>
        <w:t>Seller identity and contact disclosures.</w:t>
      </w:r>
    </w:p>
    <w:p>
      <w:pPr>
        <w:pStyle w:val="ListBullet"/>
        <w:widowControl/>
      </w:pPr>
      <w:r>
        <w:t>Clear offer, price, and material conditions.</w:t>
      </w:r>
    </w:p>
    <w:p>
      <w:pPr>
        <w:pStyle w:val="ListBullet"/>
        <w:widowControl/>
      </w:pPr>
      <w:r>
        <w:t>Transaction records/confirmation.</w:t>
      </w:r>
    </w:p>
    <w:p>
      <w:pPr>
        <w:pStyle w:val="ListBullet"/>
        <w:widowControl/>
      </w:pPr>
      <w:r>
        <w:t>Consumer complaint and internal redress process.</w:t>
      </w:r>
    </w:p>
    <w:p>
      <w:pPr>
        <w:pStyle w:val="ListBullet"/>
        <w:widowControl/>
      </w:pPr>
      <w:r>
        <w:t>Privacy and security protections.</w:t>
      </w:r>
    </w:p>
    <w:p>
      <w:pPr>
        <w:pStyle w:val="ListBullet"/>
        <w:widowControl/>
      </w:pPr>
      <w:r>
        <w:t>Refund/cancellation language consistent with mandatory rights.</w:t>
      </w:r>
    </w:p>
    <w:p>
      <w:pPr>
        <w:pStyle w:val="ListBullet"/>
        <w:widowControl/>
      </w:pPr>
      <w:r>
        <w:t>Accessible purchasing and complaint paths.</w:t>
      </w:r>
    </w:p>
    <w:p>
      <w:pPr>
        <w:widowControl/>
      </w:pPr>
      <w:r>
        <w:t>Supplement A should go live with the paid transaction feature when applicable.</w:t>
      </w:r>
    </w:p>
    <w:p>
      <w:pPr>
        <w:pStyle w:val="Heading2"/>
        <w:widowControl/>
      </w:pPr>
      <w:r>
        <w:t>4. Philippine Electronic Commerce Act</w:t>
      </w:r>
    </w:p>
    <w:p>
      <w:pPr>
        <w:widowControl/>
      </w:pPr>
      <w:r>
        <w:t>If the portal implements actual electronic signing, Work should preserve an affirmative signing action, identity/authentication evidence, date/time, final document integrity, retention, and a copy available to the signer. Do not treat a casual "reviewed" checkbox as a signature unless the product is intentionally designed and documented as an electronic-signature process.</w:t>
      </w:r>
    </w:p>
    <w:p>
      <w:pPr>
        <w:pStyle w:val="Heading2"/>
        <w:widowControl/>
      </w:pPr>
      <w:r>
        <w:t>5. United States DMCA Section 512</w:t>
      </w:r>
    </w:p>
    <w:p>
      <w:pPr>
        <w:widowControl/>
      </w:pPr>
      <w:r>
        <w:t>If the operator seeks Section 512 safe-harbor protection for qualifying user-hosted material, the service-provider designation must be completed in the U.S. Copyright Office directory and maintained.</w:t>
      </w:r>
    </w:p>
    <w:p>
      <w:pPr>
        <w:widowControl/>
      </w:pPr>
      <w:r>
        <w:t>Private Work tasks:</w:t>
      </w:r>
    </w:p>
    <w:p>
      <w:pPr>
        <w:pStyle w:val="ListBullet"/>
        <w:widowControl/>
      </w:pPr>
      <w:r>
        <w:t>Register the correct legal service-provider name.</w:t>
      </w:r>
    </w:p>
    <w:p>
      <w:pPr>
        <w:pStyle w:val="ListBullet"/>
        <w:widowControl/>
      </w:pPr>
      <w:r>
        <w:t>Include relevant alternate names/domains as required by the Copyright Office system.</w:t>
      </w:r>
    </w:p>
    <w:p>
      <w:pPr>
        <w:pStyle w:val="ListBullet"/>
        <w:widowControl/>
      </w:pPr>
      <w:r>
        <w:t>Use Kaeleb Savon Heck as the designated copyright contact if that is the chosen filing.</w:t>
      </w:r>
    </w:p>
    <w:p>
      <w:pPr>
        <w:pStyle w:val="ListBullet"/>
        <w:widowControl/>
      </w:pPr>
      <w:r>
        <w:t>Match public agent/contact details to the filing after successful registration.</w:t>
      </w:r>
    </w:p>
    <w:p>
      <w:pPr>
        <w:pStyle w:val="ListBullet"/>
        <w:widowControl/>
      </w:pPr>
      <w:r>
        <w:t>Calendar renewal so the designation does not expire; the Copyright Office requires renewal at least every three years.</w:t>
      </w:r>
    </w:p>
    <w:p>
      <w:pPr>
        <w:pStyle w:val="ListBullet"/>
        <w:widowControl/>
      </w:pPr>
      <w:r>
        <w:t>Maintain a repeat-infringer policy and reasonably implement it.</w:t>
      </w:r>
    </w:p>
    <w:p>
      <w:pPr>
        <w:pStyle w:val="ListBullet"/>
        <w:widowControl/>
      </w:pPr>
      <w:r>
        <w:t>Maintain notice, counter-notice, forwarding, removal/restoration, and recordkeeping processes.</w:t>
      </w:r>
    </w:p>
    <w:p>
      <w:pPr>
        <w:widowControl/>
      </w:pPr>
      <w:r>
        <w:t>The current public policy can identify Kaeleb as Copyright Officer before registration; it should not falsely call him a registered Designated Agent until the registration exists.</w:t>
      </w:r>
    </w:p>
    <w:p>
      <w:pPr>
        <w:pStyle w:val="Heading2"/>
        <w:widowControl/>
      </w:pPr>
      <w:r>
        <w:t>6. U.S. COPPA</w:t>
      </w:r>
    </w:p>
    <w:p>
      <w:pPr>
        <w:widowControl/>
      </w:pPr>
      <w:r>
        <w:t>The service is intended as a general-audience service with an under-13 interactive-use prohibition. That does not create an absolute exemption if the operator obtains actual knowledge that it is collecting personal information from a child under 13 or if a feature becomes child-directed.</w:t>
      </w:r>
    </w:p>
    <w:p>
      <w:pPr>
        <w:widowControl/>
      </w:pPr>
      <w:r>
        <w:t>Launch gate:</w:t>
      </w:r>
    </w:p>
    <w:p>
      <w:pPr>
        <w:pStyle w:val="ListBullet"/>
        <w:widowControl/>
      </w:pPr>
      <w:r>
        <w:t>Do not knowingly allow an under-13 user to continue through an adult-facing account/community flow after actual knowledge arises without reassessing COPPA.</w:t>
      </w:r>
    </w:p>
    <w:p>
      <w:pPr>
        <w:pStyle w:val="ListBullet"/>
        <w:widowControl/>
      </w:pPr>
      <w:r>
        <w:t>If age is collected, handle it neutrally and intentionally.</w:t>
      </w:r>
    </w:p>
    <w:p>
      <w:pPr>
        <w:pStyle w:val="ListBullet"/>
        <w:widowControl/>
      </w:pPr>
      <w:r>
        <w:t>If the product becomes child-directed or mixed-audience, conduct a dedicated COPPA redesign before continuing collection.</w:t>
      </w:r>
    </w:p>
    <w:p>
      <w:pPr>
        <w:pStyle w:val="ListBullet"/>
        <w:widowControl/>
      </w:pPr>
      <w:r>
        <w:t>Do not use child-directed behavioral advertising contrary to applicable law/provider rules.</w:t>
      </w:r>
    </w:p>
    <w:p>
      <w:pPr>
        <w:pStyle w:val="ListBullet"/>
        <w:widowControl/>
      </w:pPr>
      <w:r>
        <w:t>Route known under-13 data cases to privacy and safety review rather than merely leaving the account active because the Terms say 13+.</w:t>
      </w:r>
    </w:p>
    <w:p>
      <w:pPr>
        <w:pStyle w:val="Heading2"/>
        <w:widowControl/>
      </w:pPr>
      <w:r>
        <w:t>7. U.S. CAN-SPAM and marketing email</w:t>
      </w:r>
    </w:p>
    <w:p>
      <w:pPr>
        <w:widowControl/>
      </w:pPr>
      <w:r>
        <w:t>Before sending promotional email to U.S. recipients:</w:t>
      </w:r>
    </w:p>
    <w:p>
      <w:pPr>
        <w:pStyle w:val="ListBullet"/>
        <w:widowControl/>
      </w:pPr>
      <w:r>
        <w:t>Use accurate routing and sender information.</w:t>
      </w:r>
    </w:p>
    <w:p>
      <w:pPr>
        <w:pStyle w:val="ListBullet"/>
        <w:widowControl/>
      </w:pPr>
      <w:r>
        <w:t>Avoid deceptive subject lines.</w:t>
      </w:r>
    </w:p>
    <w:p>
      <w:pPr>
        <w:pStyle w:val="ListBullet"/>
        <w:widowControl/>
      </w:pPr>
      <w:r>
        <w:t>Identify commercial advertising as required.</w:t>
      </w:r>
    </w:p>
    <w:p>
      <w:pPr>
        <w:pStyle w:val="ListBullet"/>
        <w:widowControl/>
      </w:pPr>
      <w:r>
        <w:t>Include a valid postal address.</w:t>
      </w:r>
    </w:p>
    <w:p>
      <w:pPr>
        <w:pStyle w:val="ListBullet"/>
        <w:widowControl/>
      </w:pPr>
      <w:r>
        <w:t>Provide a clear unsubscribe mechanism.</w:t>
      </w:r>
    </w:p>
    <w:p>
      <w:pPr>
        <w:pStyle w:val="ListBullet"/>
        <w:widowControl/>
      </w:pPr>
      <w:r>
        <w:t>Honor covered opt-out requests within 10 business days.</w:t>
      </w:r>
    </w:p>
    <w:p>
      <w:pPr>
        <w:pStyle w:val="ListBullet"/>
        <w:widowControl/>
      </w:pPr>
      <w:r>
        <w:t>Maintain suppression records so unsubscribed addresses are not casually reimported.</w:t>
      </w:r>
    </w:p>
    <w:p>
      <w:pPr>
        <w:pStyle w:val="ListBullet"/>
        <w:widowControl/>
      </w:pPr>
      <w:r>
        <w:t>Ensure a marketing vendor's failure does not erase the sender's compliance responsibility.</w:t>
      </w:r>
    </w:p>
    <w:p>
      <w:pPr>
        <w:pStyle w:val="Heading2"/>
        <w:widowControl/>
      </w:pPr>
      <w:r>
        <w:t>8. FTC endorsements, sponsorships, and affiliate marketing</w:t>
      </w:r>
    </w:p>
    <w:p>
      <w:pPr>
        <w:widowControl/>
      </w:pPr>
      <w:r>
        <w:t>If a post, article, video, review, or recommendation involves payment, free product, affiliate commission, or another material connection, put a clear disclosure with the endorsement itself. A general Advertising Disclosure page is useful but is not a substitute for a disclosure where the audience actually encounters the recommendation.</w:t>
      </w:r>
    </w:p>
    <w:p>
      <w:pPr>
        <w:widowControl/>
      </w:pPr>
      <w:r>
        <w:t>Work should add a sponsored-content field to the publishing system so the disclosure is difficult to forget.</w:t>
      </w:r>
    </w:p>
    <w:p>
      <w:pPr>
        <w:pStyle w:val="Heading2"/>
        <w:widowControl/>
      </w:pPr>
      <w:r>
        <w:t>9. California CCPA/CPRA</w:t>
      </w:r>
    </w:p>
    <w:p>
      <w:pPr>
        <w:widowControl/>
      </w:pPr>
      <w:r>
        <w:t>Do not assume California's comprehensive privacy law applies merely because Californians can visit the site. Reassess coverage against current thresholds and statutory categories as the business grows.</w:t>
      </w:r>
    </w:p>
    <w:p>
      <w:pPr>
        <w:widowControl/>
      </w:pPr>
      <w:r>
        <w:t>If the business becomes covered and uses advertising flows that constitute sale or sharing under California law, Work may need to implement additional notices, request handling, contracts, and an opt-out mechanism. A covered business that sells or shares personal information must evaluate Global Privacy Control as a valid opt-out preference signal.</w:t>
      </w:r>
    </w:p>
    <w:p>
      <w:pPr>
        <w:widowControl/>
      </w:pPr>
      <w:r>
        <w:t>Even before threshold coverage, the site can voluntarily use privacy-friendly choices, but the public policy should distinguish voluntary practice from statutory coverage.</w:t>
      </w:r>
    </w:p>
    <w:p>
      <w:pPr>
        <w:pStyle w:val="Heading2"/>
        <w:widowControl/>
      </w:pPr>
      <w:r>
        <w:t>10. Other U.S. state privacy laws</w:t>
      </w:r>
    </w:p>
    <w:p>
      <w:pPr>
        <w:widowControl/>
      </w:pPr>
      <w:r>
        <w:t>As audience, revenue, processing scale, and advertising practices grow, maintain a state-law applicability review rather than copying a generic fifty-state promise. Thresholds, definitions, cure periods, sensitive-data rules, universal opt-out signals, and appeal rights vary.</w:t>
      </w:r>
    </w:p>
    <w:p>
      <w:pPr>
        <w:pStyle w:val="Heading2"/>
        <w:widowControl/>
      </w:pPr>
      <w:r>
        <w:t>11. U.S. ADA and accessibility risk</w:t>
      </w:r>
    </w:p>
    <w:p>
      <w:pPr>
        <w:widowControl/>
      </w:pPr>
      <w:r>
        <w:t>For a private public-facing business website, accessibility is a meaningful U.S. legal and customer-access issue even though the detailed federal technical rule for state/local government sites is not the same thing as a universal private-site WCAG regulation.</w:t>
      </w:r>
    </w:p>
    <w:p>
      <w:pPr>
        <w:widowControl/>
      </w:pPr>
      <w:r>
        <w:t>Work should use WCAG 2.2 AA as the engineering target and avoid saying "ADA certified." The useful question is whether people with disabilities can actually access the offered goods, services, information, transactions, and communication.</w:t>
      </w:r>
    </w:p>
    <w:p>
      <w:pPr>
        <w:pStyle w:val="Heading2"/>
        <w:widowControl/>
      </w:pPr>
      <w:r>
        <w:t>12. GDPR territorial-scope gate</w:t>
      </w:r>
    </w:p>
    <w:p>
      <w:pPr>
        <w:widowControl/>
      </w:pPr>
      <w:r>
        <w:t>Do not treat a page view from an EU IP address as automatic proof that every GDPR extraterritorial obligation applies. Reassess if the operator intentionally offers goods or services to people in the EU or monitors their behavior in a way covered by Article 3(2), or if another establishment basis applies.</w:t>
      </w:r>
    </w:p>
    <w:p>
      <w:pPr>
        <w:widowControl/>
      </w:pPr>
      <w:r>
        <w:t>Evidence that can matter includes intentional EU targeting, EU currencies/payment/shipping or service design, EU-specific advertising, active solicitation, member-state language targeting beyond incidental availability, and behavioral monitoring.</w:t>
      </w:r>
    </w:p>
    <w:p>
      <w:pPr>
        <w:widowControl/>
      </w:pPr>
      <w:r>
        <w:t>If Article 3(2) applies, assess Article 27 representative requirements and whether an exception genuinely applies.</w:t>
      </w:r>
    </w:p>
    <w:p>
      <w:pPr>
        <w:pStyle w:val="Heading2"/>
        <w:widowControl/>
      </w:pPr>
      <w:r>
        <w:t>13. GDPR operational gate if applicable</w:t>
      </w:r>
    </w:p>
    <w:p>
      <w:pPr>
        <w:widowControl/>
      </w:pPr>
      <w:r>
        <w:t>If a processing activity is in GDPR scope, verify:</w:t>
      </w:r>
    </w:p>
    <w:p>
      <w:pPr>
        <w:pStyle w:val="ListBullet"/>
        <w:widowControl/>
      </w:pPr>
      <w:r>
        <w:t>Purpose and lawful basis per activity.</w:t>
      </w:r>
    </w:p>
    <w:p>
      <w:pPr>
        <w:pStyle w:val="ListBullet"/>
        <w:widowControl/>
      </w:pPr>
      <w:r>
        <w:t>Article 13/14 notice requirements.</w:t>
      </w:r>
    </w:p>
    <w:p>
      <w:pPr>
        <w:pStyle w:val="ListBullet"/>
        <w:widowControl/>
      </w:pPr>
      <w:r>
        <w:t>Data-subject rights workflow.</w:t>
      </w:r>
    </w:p>
    <w:p>
      <w:pPr>
        <w:pStyle w:val="ListBullet"/>
        <w:widowControl/>
      </w:pPr>
      <w:r>
        <w:t>Processor contracts where required.</w:t>
      </w:r>
    </w:p>
    <w:p>
      <w:pPr>
        <w:pStyle w:val="ListBullet"/>
        <w:widowControl/>
      </w:pPr>
      <w:r>
        <w:t>Appropriate security.</w:t>
      </w:r>
    </w:p>
    <w:p>
      <w:pPr>
        <w:pStyle w:val="ListBullet"/>
        <w:widowControl/>
      </w:pPr>
      <w:r>
        <w:t>Records of processing where required.</w:t>
      </w:r>
    </w:p>
    <w:p>
      <w:pPr>
        <w:pStyle w:val="ListBullet"/>
        <w:widowControl/>
      </w:pPr>
      <w:r>
        <w:t>DPIA where high-risk processing triggers it.</w:t>
      </w:r>
    </w:p>
    <w:p>
      <w:pPr>
        <w:pStyle w:val="ListBullet"/>
        <w:widowControl/>
      </w:pPr>
      <w:r>
        <w:t>International-transfer mechanism for relevant transfers.</w:t>
      </w:r>
    </w:p>
    <w:p>
      <w:pPr>
        <w:pStyle w:val="ListBullet"/>
        <w:widowControl/>
      </w:pPr>
      <w:r>
        <w:t>Consent standards for consent-based processing.</w:t>
      </w:r>
    </w:p>
    <w:p>
      <w:pPr>
        <w:pStyle w:val="ListBullet"/>
        <w:widowControl/>
      </w:pPr>
      <w:r>
        <w:t>Direct-marketing objections.</w:t>
      </w:r>
    </w:p>
    <w:p>
      <w:pPr>
        <w:pStyle w:val="ListBullet"/>
        <w:widowControl/>
      </w:pPr>
      <w:r>
        <w:t>Breach assessment and notification.</w:t>
      </w:r>
    </w:p>
    <w:p>
      <w:pPr>
        <w:pStyle w:val="ListBullet"/>
        <w:widowControl/>
      </w:pPr>
      <w:r>
        <w:t>EU representative where required.</w:t>
      </w:r>
    </w:p>
    <w:p>
      <w:pPr>
        <w:widowControl/>
      </w:pPr>
      <w:r>
        <w:t>Do not claim use of Standard Contractual Clauses, an adequacy basis, or another transfer mechanism unless the actual vendor/contract/data flow supports the statement.</w:t>
      </w:r>
    </w:p>
    <w:p>
      <w:pPr>
        <w:pStyle w:val="Heading2"/>
        <w:widowControl/>
      </w:pPr>
      <w:r>
        <w:t>14. EU cookies/ePrivacy-style consent and Google publisher requirements</w:t>
      </w:r>
    </w:p>
    <w:p>
      <w:pPr>
        <w:widowControl/>
      </w:pPr>
      <w:r>
        <w:t>For European advertising traffic, the immediate practical requirement comes from both applicable privacy/electronic-communications rules and Google's publisher requirements.</w:t>
      </w:r>
    </w:p>
    <w:p>
      <w:pPr>
        <w:widowControl/>
      </w:pPr>
      <w:r>
        <w:t>Work should enable the Google European regulations message using a Google-certified CMP configuration and verify that optional advertising storage/processing does not fire before the required choice. Provide an equally usable refusal path where required and a way to withdraw/change the decision.</w:t>
      </w:r>
    </w:p>
    <w:p>
      <w:pPr>
        <w:widowControl/>
      </w:pPr>
      <w:r>
        <w:t>Test the behavior with developer/network tools; policy text alone does not prove consent compliance.</w:t>
      </w:r>
    </w:p>
    <w:p>
      <w:pPr>
        <w:pStyle w:val="Heading2"/>
        <w:widowControl/>
      </w:pPr>
      <w:r>
        <w:t>15. EU Digital Services Act</w:t>
      </w:r>
    </w:p>
    <w:p>
      <w:pPr>
        <w:widowControl/>
      </w:pPr>
      <w:r>
        <w:t>A public community can potentially be a hosting/user-content service. The DSA has territorial rules and a "substantial connection" analysis; mere technical accessibility in the EU is not by itself enough.</w:t>
      </w:r>
    </w:p>
    <w:p>
      <w:pPr>
        <w:widowControl/>
      </w:pPr>
      <w:r>
        <w:t>If the service intentionally offers the community in the EU or otherwise develops the required substantial connection, Work should assess the applicable tier and exemptions. Potential base obligations can include points of contact, clear moderation terms, a notice-and-action mechanism for illegal content, reason-giving for certain restrictions, and records/transparency requirements. A non-EU provider offering covered services in the EU may also need a legal representative under the DSA.</w:t>
      </w:r>
    </w:p>
    <w:p>
      <w:pPr>
        <w:widowControl/>
      </w:pPr>
      <w:r>
        <w:t>Supplement B and the moderation records in this package intentionally make future DSA compliance easier without falsely claiming the law already applies.</w:t>
      </w:r>
    </w:p>
    <w:p>
      <w:pPr>
        <w:pStyle w:val="Heading2"/>
        <w:widowControl/>
      </w:pPr>
      <w:r>
        <w:t>16. European Accessibility Act</w:t>
      </w:r>
    </w:p>
    <w:p>
      <w:pPr>
        <w:widowControl/>
      </w:pPr>
      <w:r>
        <w:t>The EAA applies to specified products and services, including certain e-commerce services, from June 28, 2025 under Member State implementation. The Directive contains an exemption for microenterprises providing services, defined in the Directive by employee and financial thresholds.</w:t>
      </w:r>
    </w:p>
    <w:p>
      <w:pPr>
        <w:widowControl/>
      </w:pPr>
      <w:r>
        <w:t>If mrblindbandit.net begins directly providing covered e-commerce services to EU consumers, Work should assess exact scope, the operator's enterprise size, Member State implementation, and whether the microenterprise service exemption applies. Do not use the exemption as an excuse to reduce the site's accessibility target; WCAG 2.2 AA remains the product goal regardless.</w:t>
      </w:r>
    </w:p>
    <w:p>
      <w:pPr>
        <w:pStyle w:val="Heading2"/>
        <w:widowControl/>
      </w:pPr>
      <w:r>
        <w:t>17. United Kingdom PECR/cookie rules</w:t>
      </w:r>
    </w:p>
    <w:p>
      <w:pPr>
        <w:widowControl/>
      </w:pPr>
      <w:r>
        <w:t>If UK electronic-communications privacy rules apply to the site's use of cookies or similar technologies, non-essential storage/access ordinarily requires valid consent unless an exemption applies. Refusal and withdrawal must be workable. Google's UK publisher requirements are an additional platform requirement for AdSense configurations.</w:t>
      </w:r>
    </w:p>
    <w:p>
      <w:pPr>
        <w:pStyle w:val="Heading2"/>
        <w:widowControl/>
      </w:pPr>
      <w:r>
        <w:t>18. United Kingdom Online Safety Act</w:t>
      </w:r>
    </w:p>
    <w:p>
      <w:pPr>
        <w:widowControl/>
      </w:pPr>
      <w:r>
        <w:t>A public community can be a user-to-user service because one user's content can be encountered by another. The UK Online Safety Act can apply to services outside the UK if the statutory links to the UK exist.</w:t>
      </w:r>
    </w:p>
    <w:p>
      <w:pPr>
        <w:widowControl/>
      </w:pPr>
      <w:r>
        <w:t>If the service develops the required UK links, Work should run Ofcom's current scope analysis and implement the duties applicable to the service. Potential base work includes illegal-content risk assessment, safety measures, content reporting, complaints/appeals, terms explaining moderation, recordkeeping, and a named accountable individual. If children are likely to access the service, additional children's access and risk-assessment duties can arise.</w:t>
      </w:r>
    </w:p>
    <w:p>
      <w:pPr>
        <w:widowControl/>
      </w:pPr>
      <w:r>
        <w:t>Small size does not mean "ignore the law"; exact duties and proportionality still depend on scope and facts.</w:t>
      </w:r>
    </w:p>
    <w:p>
      <w:pPr>
        <w:pStyle w:val="Heading2"/>
        <w:widowControl/>
      </w:pPr>
      <w:r>
        <w:t>19. UK GDPR</w:t>
      </w:r>
    </w:p>
    <w:p>
      <w:pPr>
        <w:widowControl/>
      </w:pPr>
      <w:r>
        <w:t>If UK GDPR territorial scope is triggered, perform a UK-specific privacy assessment rather than assuming the EU GDPR analysis automatically completes every requirement. Assess representative requirements, transfers, rights, lawful bases, cookies/PECR interaction, and regulator contacts where applicable.</w:t>
      </w:r>
    </w:p>
    <w:p>
      <w:pPr>
        <w:pStyle w:val="Heading2"/>
        <w:widowControl/>
      </w:pPr>
      <w:r>
        <w:t>20. Direct sales into other countries</w:t>
      </w:r>
    </w:p>
    <w:p>
      <w:pPr>
        <w:widowControl/>
      </w:pPr>
      <w:r>
        <w:t>Before actively marketing or selling paid services into a new country at meaningful scale, Work should review consumer cancellation, digital-content rules, tax/VAT/GST, marketing, privacy, accessibility, age, and dispute requirements rather than relying exclusively on the Philippine Terms.</w:t>
      </w:r>
    </w:p>
    <w:p>
      <w:pPr>
        <w:pStyle w:val="Heading2"/>
        <w:widowControl/>
      </w:pPr>
      <w:r>
        <w:t>21. App-store or platform launch</w:t>
      </w:r>
    </w:p>
    <w:p>
      <w:pPr>
        <w:widowControl/>
      </w:pPr>
      <w:r>
        <w:t>If a future Media Suite is packaged as a mobile app, desktop app, browser extension, or platform-distributed product, conduct a new privacy, license, accessibility, payments, and store-policy review. Web policy text should not simply be copied into an app without examining device permissions, crash telemetry, app-store data declarations, in-app purchases, and local file access.</w:t>
      </w:r>
    </w:p>
    <w:p>
      <w:pPr>
        <w:pStyle w:val="Heading2"/>
        <w:widowControl/>
      </w:pPr>
      <w:r>
        <w:t>22. Cloud rendering or AI processing</w:t>
      </w:r>
    </w:p>
    <w:p>
      <w:pPr>
        <w:widowControl/>
      </w:pPr>
      <w:r>
        <w:t>If a future feature sends user audio, video, artwork, lyrics, voice, or private project data to a cloud renderer or AI provider, launch is blocked until Work:</w:t>
      </w:r>
    </w:p>
    <w:p>
      <w:pPr>
        <w:pStyle w:val="ListBullet"/>
        <w:widowControl/>
      </w:pPr>
      <w:r>
        <w:t>Identifies the provider and data flow.</w:t>
      </w:r>
    </w:p>
    <w:p>
      <w:pPr>
        <w:pStyle w:val="ListBullet"/>
        <w:widowControl/>
      </w:pPr>
      <w:r>
        <w:t>Reviews training/use rights and retention.</w:t>
      </w:r>
    </w:p>
    <w:p>
      <w:pPr>
        <w:pStyle w:val="ListBullet"/>
        <w:widowControl/>
      </w:pPr>
      <w:r>
        <w:t>Configures the provider to minimize secondary use where possible.</w:t>
      </w:r>
    </w:p>
    <w:p>
      <w:pPr>
        <w:pStyle w:val="ListBullet"/>
        <w:widowControl/>
      </w:pPr>
      <w:r>
        <w:t>Updates the Privacy Policy.</w:t>
      </w:r>
    </w:p>
    <w:p>
      <w:pPr>
        <w:pStyle w:val="ListBullet"/>
        <w:widowControl/>
      </w:pPr>
      <w:r>
        <w:t>Provides a just-in-time disclosure before upload where appropriate.</w:t>
      </w:r>
    </w:p>
    <w:p>
      <w:pPr>
        <w:pStyle w:val="ListBullet"/>
        <w:widowControl/>
      </w:pPr>
      <w:r>
        <w:t>Reviews international transfers.</w:t>
      </w:r>
    </w:p>
    <w:p>
      <w:pPr>
        <w:pStyle w:val="ListBullet"/>
        <w:widowControl/>
      </w:pPr>
      <w:r>
        <w:t>Reviews content/IP terms.</w:t>
      </w:r>
    </w:p>
    <w:p>
      <w:pPr>
        <w:pStyle w:val="ListBullet"/>
        <w:widowControl/>
      </w:pPr>
      <w:r>
        <w:t>Reviews child/minor implications.</w:t>
      </w:r>
    </w:p>
    <w:p>
      <w:pPr>
        <w:pStyle w:val="ListBullet"/>
        <w:widowControl/>
      </w:pPr>
      <w:r>
        <w:t>Reviews security and deletion.</w:t>
      </w:r>
    </w:p>
    <w:p>
      <w:pPr>
        <w:pStyle w:val="Heading2"/>
        <w:widowControl/>
      </w:pPr>
      <w:r>
        <w:t>23. Payments and royalties</w:t>
      </w:r>
    </w:p>
    <w:p>
      <w:pPr>
        <w:widowControl/>
      </w:pPr>
      <w:r>
        <w:t>If the label portal begins moving money rather than merely displaying accounting information, conduct a dedicated financial/payments review. Do not collect bank credentials through ordinary messages. Use a qualified provider and implement payout-change verification, fraud controls, audit logs, and accessible confirmation.</w:t>
      </w:r>
    </w:p>
    <w:p>
      <w:pPr>
        <w:pStyle w:val="Heading2"/>
        <w:widowControl/>
      </w:pPr>
      <w:r>
        <w:t>24. Employment or job applications</w:t>
      </w:r>
    </w:p>
    <w:p>
      <w:pPr>
        <w:widowControl/>
      </w:pPr>
      <w:r>
        <w:t>If the website accepts employment applications, create a separate applicant privacy notice and retention rule. Do not reuse music-submission terms as an employment notice. Review disability/accommodation contact, equal-opportunity language where applicable, and collection of sensitive information.</w:t>
      </w:r>
    </w:p>
    <w:p>
      <w:pPr>
        <w:pStyle w:val="Heading2"/>
        <w:widowControl/>
      </w:pPr>
      <w:r>
        <w:t>25. Health, biometric, or government-identity data</w:t>
      </w:r>
    </w:p>
    <w:p>
      <w:pPr>
        <w:widowControl/>
      </w:pPr>
      <w:r>
        <w:t>Do not add face recognition, voiceprint identity, government-ID upload, health screening, or biometric verification casually. Any such feature requires a new high-risk privacy and security assessment before launch.</w:t>
      </w:r>
    </w:p>
    <w:p>
      <w:pPr>
        <w:widowControl/>
      </w:pPr>
      <w:r>
        <w:br w:type="page"/>
      </w:r>
    </w:p>
    <w:p>
      <w:pPr>
        <w:pStyle w:val="Heading1"/>
        <w:widowControl/>
      </w:pPr>
      <w:r>
        <w:t>Part XXV - Final Go-Live Audit Script and Work Mode Execution Plan</w:t>
      </w:r>
    </w:p>
    <w:p>
      <w:pPr>
        <w:pStyle w:val="DocumentNote"/>
        <w:widowControl/>
      </w:pPr>
      <w:r>
        <w:t>INTERNAL WORK INSTRUCTION. This section is designed to be handed to ChatGPT Work after it has access to the site's production code, deployment environment, and authorized administrative surfaces.</w:t>
      </w:r>
    </w:p>
    <w:p>
      <w:pPr>
        <w:pStyle w:val="Heading2"/>
        <w:widowControl/>
      </w:pPr>
      <w:r>
        <w:t>1. Core instruction to Work</w:t>
      </w:r>
    </w:p>
    <w:p>
      <w:pPr>
        <w:widowControl/>
      </w:pPr>
      <w:r>
        <w:t>Audit and remediate mrblindbandit.net as a production service. Do not merely rewrite legal pages. Verify that every public legal promise corresponds to actual code, configuration, vendor behavior, or an operating process. Preserve existing design and content unless a change is necessary for law, privacy, security, accessibility, consistency, or reliability.</w:t>
      </w:r>
    </w:p>
    <w:p>
      <w:pPr>
        <w:widowControl/>
      </w:pPr>
      <w:r>
        <w:t>Target WCAG 2.2 Level AA. Treat iPhone VoiceOver as a primary acceptance environment. Do not claim certified compliance solely because automated scans pass.</w:t>
      </w:r>
    </w:p>
    <w:p>
      <w:pPr>
        <w:widowControl/>
      </w:pPr>
      <w:r>
        <w:t>Do not publish internal filing notes, "registration pending" language, TODO markers, test credentials, API secrets, private checklists, or developer comments into public legal pages.</w:t>
      </w:r>
    </w:p>
    <w:p>
      <w:pPr>
        <w:pStyle w:val="Heading2"/>
        <w:widowControl/>
      </w:pPr>
      <w:r>
        <w:t>2. Before changing production</w:t>
      </w:r>
    </w:p>
    <w:p>
      <w:pPr>
        <w:widowControl/>
      </w:pPr>
      <w:r>
        <w:t>Work should:</w:t>
      </w:r>
    </w:p>
    <w:p>
      <w:pPr>
        <w:pStyle w:val="ListBullet"/>
        <w:widowControl/>
      </w:pPr>
      <w:r>
        <w:t>Create a current deployment backup or recoverable version.</w:t>
      </w:r>
    </w:p>
    <w:p>
      <w:pPr>
        <w:pStyle w:val="ListBullet"/>
        <w:widowControl/>
      </w:pPr>
      <w:r>
        <w:t>Record the production commit/build identifier.</w:t>
      </w:r>
    </w:p>
    <w:p>
      <w:pPr>
        <w:pStyle w:val="ListBullet"/>
        <w:widowControl/>
      </w:pPr>
      <w:r>
        <w:t>Crawl and inventory routes.</w:t>
      </w:r>
    </w:p>
    <w:p>
      <w:pPr>
        <w:pStyle w:val="ListBullet"/>
        <w:widowControl/>
      </w:pPr>
      <w:r>
        <w:t>Inventory public and authenticated forms.</w:t>
      </w:r>
    </w:p>
    <w:p>
      <w:pPr>
        <w:pStyle w:val="ListBullet"/>
        <w:widowControl/>
      </w:pPr>
      <w:r>
        <w:t>Inventory scripts, iframes, network origins, APIs, cookies, local storage, session storage, indexed databases, service workers, and CDN resources.</w:t>
      </w:r>
    </w:p>
    <w:p>
      <w:pPr>
        <w:pStyle w:val="ListBullet"/>
        <w:widowControl/>
      </w:pPr>
      <w:r>
        <w:t>Inventory authentication and role checks.</w:t>
      </w:r>
    </w:p>
    <w:p>
      <w:pPr>
        <w:pStyle w:val="ListBullet"/>
        <w:widowControl/>
      </w:pPr>
      <w:r>
        <w:t>Inventory environment variables and confirm secrets are server-side.</w:t>
      </w:r>
    </w:p>
    <w:p>
      <w:pPr>
        <w:pStyle w:val="ListBullet"/>
        <w:widowControl/>
      </w:pPr>
      <w:r>
        <w:t>Inventory database tables/collections and retention behavior.</w:t>
      </w:r>
    </w:p>
    <w:p>
      <w:pPr>
        <w:pStyle w:val="ListBullet"/>
        <w:widowControl/>
      </w:pPr>
      <w:r>
        <w:t>Inventory user uploads and file-storage locations.</w:t>
      </w:r>
    </w:p>
    <w:p>
      <w:pPr>
        <w:pStyle w:val="ListBullet"/>
        <w:widowControl/>
      </w:pPr>
      <w:r>
        <w:t>Inventory emails and webhook integrations.</w:t>
      </w:r>
    </w:p>
    <w:p>
      <w:pPr>
        <w:pStyle w:val="ListBullet"/>
        <w:widowControl/>
      </w:pPr>
      <w:r>
        <w:t>Inventory ads and analytics.</w:t>
      </w:r>
    </w:p>
    <w:p>
      <w:pPr>
        <w:pStyle w:val="ListBullet"/>
        <w:widowControl/>
      </w:pPr>
      <w:r>
        <w:t>Inventory open-source packages and FFmpeg build artifacts.</w:t>
      </w:r>
    </w:p>
    <w:p>
      <w:pPr>
        <w:pStyle w:val="ListBullet"/>
        <w:widowControl/>
      </w:pPr>
      <w:r>
        <w:t>Save a baseline accessibility scan and screenshots/DOM evidence for major flows.</w:t>
      </w:r>
    </w:p>
    <w:p>
      <w:pPr>
        <w:pStyle w:val="Heading2"/>
        <w:widowControl/>
      </w:pPr>
      <w:r>
        <w:t>3. Legal-page replacement sequence</w:t>
      </w:r>
    </w:p>
    <w:p>
      <w:pPr>
        <w:widowControl/>
      </w:pPr>
      <w:r>
        <w:t>Work should publish or update these first-party pages so they are internally consistent:</w:t>
      </w:r>
    </w:p>
    <w:p>
      <w:pPr>
        <w:pStyle w:val="ListBullet"/>
        <w:widowControl/>
      </w:pPr>
      <w:r>
        <w:t>Terms of Service from Part III.</w:t>
      </w:r>
    </w:p>
    <w:p>
      <w:pPr>
        <w:pStyle w:val="ListBullet"/>
        <w:widowControl/>
      </w:pPr>
      <w:r>
        <w:t>Privacy Policy from Part IV.</w:t>
      </w:r>
    </w:p>
    <w:p>
      <w:pPr>
        <w:pStyle w:val="ListBullet"/>
        <w:widowControl/>
      </w:pPr>
      <w:r>
        <w:t>Cookie and Storage Notice from Part V.</w:t>
      </w:r>
    </w:p>
    <w:p>
      <w:pPr>
        <w:pStyle w:val="ListBullet"/>
        <w:widowControl/>
      </w:pPr>
      <w:r>
        <w:t>Copyright and DMCA Policy from Part VI.</w:t>
      </w:r>
    </w:p>
    <w:p>
      <w:pPr>
        <w:pStyle w:val="ListBullet"/>
        <w:widowControl/>
      </w:pPr>
      <w:r>
        <w:t>Community Guidelines from Part VII.</w:t>
      </w:r>
    </w:p>
    <w:p>
      <w:pPr>
        <w:pStyle w:val="ListBullet"/>
        <w:widowControl/>
      </w:pPr>
      <w:r>
        <w:t>Child Safety Policy from Part VIII.</w:t>
      </w:r>
    </w:p>
    <w:p>
      <w:pPr>
        <w:pStyle w:val="ListBullet"/>
        <w:widowControl/>
      </w:pPr>
      <w:r>
        <w:t>Music Submission Terms from Part IX.</w:t>
      </w:r>
    </w:p>
    <w:p>
      <w:pPr>
        <w:pStyle w:val="ListBullet"/>
        <w:widowControl/>
      </w:pPr>
      <w:r>
        <w:t>Media Suite Terms and Safety Rules from Part X before public Media Suite launch.</w:t>
      </w:r>
    </w:p>
    <w:p>
      <w:pPr>
        <w:pStyle w:val="ListBullet"/>
        <w:widowControl/>
      </w:pPr>
      <w:r>
        <w:t>Label Portal Supplemental Terms from Part XI inside or adjacent to portal onboarding.</w:t>
      </w:r>
    </w:p>
    <w:p>
      <w:pPr>
        <w:pStyle w:val="ListBullet"/>
        <w:widowControl/>
      </w:pPr>
      <w:r>
        <w:t>Label Portal Privacy Notice from Part XII inside the portal.</w:t>
      </w:r>
    </w:p>
    <w:p>
      <w:pPr>
        <w:pStyle w:val="ListBullet"/>
        <w:widowControl/>
      </w:pPr>
      <w:r>
        <w:t>Advertising, Sponsorship, Affiliate, and Endorsement Disclosure from Part XIII.</w:t>
      </w:r>
    </w:p>
    <w:p>
      <w:pPr>
        <w:pStyle w:val="ListBullet"/>
        <w:widowControl/>
      </w:pPr>
      <w:r>
        <w:t>Accessibility Statement from Part XIV.</w:t>
      </w:r>
    </w:p>
    <w:p>
      <w:pPr>
        <w:pStyle w:val="ListBullet"/>
        <w:widowControl/>
      </w:pPr>
      <w:r>
        <w:t>Security and Vulnerability Reporting Policy from Part XV.</w:t>
      </w:r>
    </w:p>
    <w:p>
      <w:pPr>
        <w:pStyle w:val="ListBullet"/>
        <w:widowControl/>
      </w:pPr>
      <w:r>
        <w:t>Supplement B illegal-content notice/appeal policy if the public community is active.</w:t>
      </w:r>
    </w:p>
    <w:p>
      <w:pPr>
        <w:pStyle w:val="ListBullet"/>
        <w:widowControl/>
      </w:pPr>
      <w:r>
        <w:t>Supplement A only when direct paid consumer transactions launch.</w:t>
      </w:r>
    </w:p>
    <w:p>
      <w:pPr>
        <w:widowControl/>
      </w:pPr>
      <w:r>
        <w:t>The public pages should not contain the internal labels used in this master document such as "PUBLIC WEBSITE DRAFT" or "INTERNAL."</w:t>
      </w:r>
    </w:p>
    <w:p>
      <w:pPr>
        <w:pStyle w:val="Heading2"/>
        <w:widowControl/>
      </w:pPr>
      <w:r>
        <w:t>4. Legal and Safety hub</w:t>
      </w:r>
    </w:p>
    <w:p>
      <w:pPr>
        <w:widowControl/>
      </w:pPr>
      <w:r>
        <w:t>Create one accessible Legal and Safety hub linking to the active public policies with descriptive link names. Include last-updated dates on the individual policy pages. Keep the hub easy to reach from the footer without forcing users through an expanding widget.</w:t>
      </w:r>
    </w:p>
    <w:p>
      <w:pPr>
        <w:pStyle w:val="Heading2"/>
        <w:widowControl/>
      </w:pPr>
      <w:r>
        <w:t>5. Contact-address consistency</w:t>
      </w:r>
    </w:p>
    <w:p>
      <w:pPr>
        <w:widowControl/>
      </w:pPr>
      <w:r>
        <w:t>Search the entire codebase and CMS for outdated policy contacts. Standardize:</w:t>
      </w:r>
    </w:p>
    <w:p>
      <w:pPr>
        <w:pStyle w:val="ListBullet"/>
        <w:widowControl/>
      </w:pPr>
      <w:r>
        <w:t>business@mrblindbandit.net for ordinary business.</w:t>
      </w:r>
    </w:p>
    <w:p>
      <w:pPr>
        <w:pStyle w:val="ListBullet"/>
        <w:widowControl/>
      </w:pPr>
      <w:r>
        <w:t>privacy@mrblindbandit.net for DPO/privacy rights.</w:t>
      </w:r>
    </w:p>
    <w:p>
      <w:pPr>
        <w:pStyle w:val="ListBullet"/>
        <w:widowControl/>
      </w:pPr>
      <w:r>
        <w:t>legal@mrblindbandit.net for legal notices/illegal-content appeals where appropriate.</w:t>
      </w:r>
    </w:p>
    <w:p>
      <w:pPr>
        <w:pStyle w:val="ListBullet"/>
        <w:widowControl/>
      </w:pPr>
      <w:r>
        <w:t>copyright@mrblindbandit.net for copyright.</w:t>
      </w:r>
    </w:p>
    <w:p>
      <w:pPr>
        <w:pStyle w:val="ListBullet"/>
        <w:widowControl/>
      </w:pPr>
      <w:r>
        <w:t>safety@mrblindbandit.net for child and urgent safety.</w:t>
      </w:r>
    </w:p>
    <w:p>
      <w:pPr>
        <w:pStyle w:val="ListBullet"/>
        <w:widowControl/>
      </w:pPr>
      <w:r>
        <w:t>security@mrblindbandit.net for vulnerabilities/security reports.</w:t>
      </w:r>
    </w:p>
    <w:p>
      <w:pPr>
        <w:pStyle w:val="ListBullet"/>
        <w:widowControl/>
      </w:pPr>
      <w:r>
        <w:t>accessibility@mrblindbandit.net for accessibility feedback.</w:t>
      </w:r>
    </w:p>
    <w:p>
      <w:pPr>
        <w:pStyle w:val="ListBullet"/>
        <w:widowControl/>
      </w:pPr>
      <w:r>
        <w:t>support@mrblindbandit.net for ordinary customer/community support.</w:t>
      </w:r>
    </w:p>
    <w:p>
      <w:pPr>
        <w:pStyle w:val="ListBullet"/>
        <w:widowControl/>
      </w:pPr>
      <w:r>
        <w:t>advertising@mrblindbandit.net for sponsorship/advertising.</w:t>
      </w:r>
    </w:p>
    <w:p>
      <w:pPr>
        <w:widowControl/>
      </w:pPr>
      <w:r>
        <w:t>Fix the Accessibility page if it still uses business@ as the main accessibility-report route.</w:t>
      </w:r>
    </w:p>
    <w:p>
      <w:pPr>
        <w:pStyle w:val="Heading2"/>
        <w:widowControl/>
      </w:pPr>
      <w:r>
        <w:t>6. Authentication consistency</w:t>
      </w:r>
    </w:p>
    <w:p>
      <w:pPr>
        <w:widowControl/>
      </w:pPr>
      <w:r>
        <w:t>Determine the actual authentication provider and enabled identity providers from production. If Clerk is the authentication layer, update any public copy that incorrectly says "Sign in with ChatGPT" unless ChatGPT/OpenAI is genuinely configured as an identity provider and the wording accurately describes that flow.</w:t>
      </w:r>
    </w:p>
    <w:p>
      <w:pPr>
        <w:widowControl/>
      </w:pPr>
      <w:r>
        <w:t>Test sign-in, sign-out, password reset, email verification, social login, multifactor flows, backup codes, session expiration, and role changes with VoiceOver and keyboard.</w:t>
      </w:r>
    </w:p>
    <w:p>
      <w:pPr>
        <w:pStyle w:val="Heading2"/>
        <w:widowControl/>
      </w:pPr>
      <w:r>
        <w:t>7. Google CMP execution</w:t>
      </w:r>
    </w:p>
    <w:p>
      <w:pPr>
        <w:widowControl/>
      </w:pPr>
      <w:r>
        <w:t>In the authorized AdSense account, configure the European regulations message and use the appropriate Google-certified CMP path for the current AdSense setup. Prefer the three-option experience where available: consent, do not consent, and manage options.</w:t>
      </w:r>
    </w:p>
    <w:p>
      <w:pPr>
        <w:widowControl/>
      </w:pPr>
      <w:r>
        <w:t>Then verify in production, not just in the AdSense UI:</w:t>
      </w:r>
    </w:p>
    <w:p>
      <w:pPr>
        <w:pStyle w:val="ListBullet"/>
        <w:widowControl/>
      </w:pPr>
      <w:r>
        <w:t>The message appears in the intended regulated regions.</w:t>
      </w:r>
    </w:p>
    <w:p>
      <w:pPr>
        <w:pStyle w:val="ListBullet"/>
        <w:widowControl/>
      </w:pPr>
      <w:r>
        <w:t>The refusal path is accessible.</w:t>
      </w:r>
    </w:p>
    <w:p>
      <w:pPr>
        <w:pStyle w:val="ListBullet"/>
        <w:widowControl/>
      </w:pPr>
      <w:r>
        <w:t>Manage options is accessible.</w:t>
      </w:r>
    </w:p>
    <w:p>
      <w:pPr>
        <w:pStyle w:val="ListBullet"/>
        <w:widowControl/>
      </w:pPr>
      <w:r>
        <w:t>Non-essential advertising/storage behavior matches the recorded choice.</w:t>
      </w:r>
    </w:p>
    <w:p>
      <w:pPr>
        <w:pStyle w:val="ListBullet"/>
        <w:widowControl/>
      </w:pPr>
      <w:r>
        <w:t>Consent Mode signals are configured as intended.</w:t>
      </w:r>
    </w:p>
    <w:p>
      <w:pPr>
        <w:pStyle w:val="ListBullet"/>
        <w:widowControl/>
      </w:pPr>
      <w:r>
        <w:t>Privacy Choices can reopen the message/preferences later.</w:t>
      </w:r>
    </w:p>
    <w:p>
      <w:pPr>
        <w:pStyle w:val="ListBullet"/>
        <w:widowControl/>
      </w:pPr>
      <w:r>
        <w:t>Consent state does not conflict with a separate home-built cookie banner.</w:t>
      </w:r>
    </w:p>
    <w:p>
      <w:pPr>
        <w:pStyle w:val="ListBullet"/>
        <w:widowControl/>
      </w:pPr>
      <w:r>
        <w:t>The message is keyboard and VoiceOver usable.</w:t>
      </w:r>
    </w:p>
    <w:p>
      <w:pPr>
        <w:pStyle w:val="ListBullet"/>
        <w:widowControl/>
      </w:pPr>
      <w:r>
        <w:t>Ads do not run on private portal pages unless intentionally approved.</w:t>
      </w:r>
    </w:p>
    <w:p>
      <w:pPr>
        <w:widowControl/>
      </w:pPr>
      <w:r>
        <w:t>If Google offers a coverage/optimization setting, assess it as a fallback, but do not use it as a substitute for testing the actual user choice and tag behavior.</w:t>
      </w:r>
    </w:p>
    <w:p>
      <w:pPr>
        <w:pStyle w:val="Heading2"/>
        <w:widowControl/>
      </w:pPr>
      <w:r>
        <w:t>8. Cookie and storage inventory</w:t>
      </w:r>
    </w:p>
    <w:p>
      <w:pPr>
        <w:widowControl/>
      </w:pPr>
      <w:r>
        <w:t>Open the production site in a clean browser state and record every cookie/storage key before consent, after refusal, after consent, after sign-in, after changing accessibility preferences, after using community features, and after opening Media Suite tools.</w:t>
      </w:r>
    </w:p>
    <w:p>
      <w:pPr>
        <w:widowControl/>
      </w:pPr>
      <w:r>
        <w:t>Classify each key by provider, purpose, category, persistence, and whether it should require consent. Remove stale or unexplained keys. Update the Cookie Notice if the production behavior materially differs from the public description.</w:t>
      </w:r>
    </w:p>
    <w:p>
      <w:pPr>
        <w:pStyle w:val="Heading2"/>
        <w:widowControl/>
      </w:pPr>
      <w:r>
        <w:t>9. DPO/NPC private tasks</w:t>
      </w:r>
    </w:p>
    <w:p>
      <w:pPr>
        <w:widowControl/>
      </w:pPr>
      <w:r>
        <w:t>Outside public page content, complete the current National Privacy Commission registration or exemption path applicable to the operator and data-processing systems. Maintain evidence of the DPO designation and the dedicated DPO contact route.</w:t>
      </w:r>
    </w:p>
    <w:p>
      <w:pPr>
        <w:widowControl/>
      </w:pPr>
      <w:r>
        <w:t>Set calendar reminders for required NPC renewals, reporting windows, and annual security-incident reporting. Keep filing IDs and documents private unless publication is specifically required.</w:t>
      </w:r>
    </w:p>
    <w:p>
      <w:pPr>
        <w:pStyle w:val="Heading2"/>
        <w:widowControl/>
      </w:pPr>
      <w:r>
        <w:t>10. DMCA private tasks</w:t>
      </w:r>
    </w:p>
    <w:p>
      <w:pPr>
        <w:widowControl/>
      </w:pPr>
      <w:r>
        <w:t>Complete the U.S. Copyright Office designated-agent registration if Section 512 safe-harbor protection is sought. Use the correct service-provider legal identity and relevant alternate names.</w:t>
      </w:r>
    </w:p>
    <w:p>
      <w:pPr>
        <w:widowControl/>
      </w:pPr>
      <w:r>
        <w:t>After the directory entry is active, update the public Copyright Policy's agent contact language to match exactly what is maintained with the Copyright Office. Calendar a renewal before the three-year deadline and whenever required information changes.</w:t>
      </w:r>
    </w:p>
    <w:p>
      <w:pPr>
        <w:widowControl/>
      </w:pPr>
      <w:r>
        <w:t>Do not display a fake registration number or "official agent" claim before the directory confirms it.</w:t>
      </w:r>
    </w:p>
    <w:p>
      <w:pPr>
        <w:pStyle w:val="Heading2"/>
        <w:widowControl/>
      </w:pPr>
      <w:r>
        <w:t>11. Privacy-rights workflow</w:t>
      </w:r>
    </w:p>
    <w:p>
      <w:pPr>
        <w:widowControl/>
      </w:pPr>
      <w:r>
        <w:t>Build or document an accessible rights-request intake process. A simple email route can work at small scale, but the internal case record needs request type, receipt date, identity verification, systems searched, vendors contacted, action, legal exception, completion date, and response copy.</w:t>
      </w:r>
    </w:p>
    <w:p>
      <w:pPr>
        <w:widowControl/>
      </w:pPr>
      <w:r>
        <w:t>Provide secure delivery for exports containing private data. Never send a sensitive export just because an unverified sender knows an email address.</w:t>
      </w:r>
    </w:p>
    <w:p>
      <w:pPr>
        <w:pStyle w:val="Heading2"/>
        <w:widowControl/>
      </w:pPr>
      <w:r>
        <w:t>12. Retention implementation</w:t>
      </w:r>
    </w:p>
    <w:p>
      <w:pPr>
        <w:widowControl/>
      </w:pPr>
      <w:r>
        <w:t>Map each production data store to Part XIX. Implement automatic deletion or review tasks where feasible. For data that cannot be automatically deleted because a provider or backup architecture works differently, revise the internal target and public wording so it remains true.</w:t>
      </w:r>
    </w:p>
    <w:p>
      <w:pPr>
        <w:widowControl/>
      </w:pPr>
      <w:r>
        <w:t>Test deletion jobs in staging before production. Create legal-hold flags that prevent deletion only for the records actually subject to the hold.</w:t>
      </w:r>
    </w:p>
    <w:p>
      <w:pPr>
        <w:pStyle w:val="Heading2"/>
        <w:widowControl/>
      </w:pPr>
      <w:r>
        <w:t>13. Security headers and browser protections</w:t>
      </w:r>
    </w:p>
    <w:p>
      <w:pPr>
        <w:widowControl/>
      </w:pPr>
      <w:r>
        <w:t>Inspect production response headers and configure appropriately for the actual stack:</w:t>
      </w:r>
    </w:p>
    <w:p>
      <w:pPr>
        <w:pStyle w:val="ListBullet"/>
        <w:widowControl/>
      </w:pPr>
      <w:r>
        <w:t>HTTPS redirection.</w:t>
      </w:r>
    </w:p>
    <w:p>
      <w:pPr>
        <w:pStyle w:val="ListBullet"/>
        <w:widowControl/>
      </w:pPr>
      <w:r>
        <w:t>HSTS only after confirming all required subdomains and HTTPS dependencies are ready.</w:t>
      </w:r>
    </w:p>
    <w:p>
      <w:pPr>
        <w:pStyle w:val="ListBullet"/>
        <w:widowControl/>
      </w:pPr>
      <w:r>
        <w:t>Content Security Policy tailored to actual first-party and approved third-party origins.</w:t>
      </w:r>
    </w:p>
    <w:p>
      <w:pPr>
        <w:pStyle w:val="ListBullet"/>
        <w:widowControl/>
      </w:pPr>
      <w:r>
        <w:t>frame-ancestors or equivalent clickjacking protection.</w:t>
      </w:r>
    </w:p>
    <w:p>
      <w:pPr>
        <w:pStyle w:val="ListBullet"/>
        <w:widowControl/>
      </w:pPr>
      <w:r>
        <w:t>Referrer-Policy.</w:t>
      </w:r>
    </w:p>
    <w:p>
      <w:pPr>
        <w:pStyle w:val="ListBullet"/>
        <w:widowControl/>
      </w:pPr>
      <w:r>
        <w:t>Permissions-Policy appropriate to used browser capabilities.</w:t>
      </w:r>
    </w:p>
    <w:p>
      <w:pPr>
        <w:pStyle w:val="ListBullet"/>
        <w:widowControl/>
      </w:pPr>
      <w:r>
        <w:t>X-Content-Type-Options where appropriate.</w:t>
      </w:r>
    </w:p>
    <w:p>
      <w:pPr>
        <w:pStyle w:val="ListBullet"/>
        <w:widowControl/>
      </w:pPr>
      <w:r>
        <w:t>Secure, HttpOnly, SameSite cookie attributes where appropriate.</w:t>
      </w:r>
    </w:p>
    <w:p>
      <w:pPr>
        <w:widowControl/>
      </w:pPr>
      <w:r>
        <w:t>Do not deploy a CSP copied from another site that either breaks the application or is so broad that it provides little protection.</w:t>
      </w:r>
    </w:p>
    <w:p>
      <w:pPr>
        <w:pStyle w:val="Heading2"/>
        <w:widowControl/>
      </w:pPr>
      <w:r>
        <w:t>14. Secrets and privileged endpoints</w:t>
      </w:r>
    </w:p>
    <w:p>
      <w:pPr>
        <w:widowControl/>
      </w:pPr>
      <w:r>
        <w:t>Search the repository and built client assets for secret keys. Clerk secret keys, webhook secrets, email provider secret keys, admin tokens, payment credentials, cloud-storage signing secrets, and database credentials must never be shipped to public JavaScript.</w:t>
      </w:r>
    </w:p>
    <w:p>
      <w:pPr>
        <w:widowControl/>
      </w:pPr>
      <w:r>
        <w:t>Review all admin/API routes for server-side authorization. Hiding an admin button is not access control.</w:t>
      </w:r>
    </w:p>
    <w:p>
      <w:pPr>
        <w:pStyle w:val="Heading2"/>
        <w:widowControl/>
      </w:pPr>
      <w:r>
        <w:t>15. Upload security</w:t>
      </w:r>
    </w:p>
    <w:p>
      <w:pPr>
        <w:widowControl/>
      </w:pPr>
      <w:r>
        <w:t>For every upload route:</w:t>
      </w:r>
    </w:p>
    <w:p>
      <w:pPr>
        <w:pStyle w:val="ListBullet"/>
        <w:widowControl/>
      </w:pPr>
      <w:r>
        <w:t>Enforce server-side size limits.</w:t>
      </w:r>
    </w:p>
    <w:p>
      <w:pPr>
        <w:pStyle w:val="ListBullet"/>
        <w:widowControl/>
      </w:pPr>
      <w:r>
        <w:t>Restrict accepted file types based on actual need.</w:t>
      </w:r>
    </w:p>
    <w:p>
      <w:pPr>
        <w:pStyle w:val="ListBullet"/>
        <w:widowControl/>
      </w:pPr>
      <w:r>
        <w:t>Do not trust only the filename extension or browser-supplied MIME type.</w:t>
      </w:r>
    </w:p>
    <w:p>
      <w:pPr>
        <w:pStyle w:val="ListBullet"/>
        <w:widowControl/>
      </w:pPr>
      <w:r>
        <w:t>Randomize or sanitize storage names.</w:t>
      </w:r>
    </w:p>
    <w:p>
      <w:pPr>
        <w:pStyle w:val="ListBullet"/>
        <w:widowControl/>
      </w:pPr>
      <w:r>
        <w:t>Prevent execution of uploaded files.</w:t>
      </w:r>
    </w:p>
    <w:p>
      <w:pPr>
        <w:pStyle w:val="ListBullet"/>
        <w:widowControl/>
      </w:pPr>
      <w:r>
        <w:t>Use signed or access-controlled URLs for private media.</w:t>
      </w:r>
    </w:p>
    <w:p>
      <w:pPr>
        <w:pStyle w:val="ListBullet"/>
        <w:widowControl/>
      </w:pPr>
      <w:r>
        <w:t>Set correct Content-Disposition where downloads are expected.</w:t>
      </w:r>
    </w:p>
    <w:p>
      <w:pPr>
        <w:pStyle w:val="ListBullet"/>
        <w:widowControl/>
      </w:pPr>
      <w:r>
        <w:t>Quarantine or scan where risk justifies it.</w:t>
      </w:r>
    </w:p>
    <w:p>
      <w:pPr>
        <w:pStyle w:val="ListBullet"/>
        <w:widowControl/>
      </w:pPr>
      <w:r>
        <w:t>Strip unnecessary metadata when appropriate and disclosed.</w:t>
      </w:r>
    </w:p>
    <w:p>
      <w:pPr>
        <w:pStyle w:val="ListBullet"/>
        <w:widowControl/>
      </w:pPr>
      <w:r>
        <w:t>Protect image/media parsers with current patched libraries.</w:t>
      </w:r>
    </w:p>
    <w:p>
      <w:pPr>
        <w:pStyle w:val="Heading2"/>
        <w:widowControl/>
      </w:pPr>
      <w:r>
        <w:t>16. Media Suite local-first verification</w:t>
      </w:r>
    </w:p>
    <w:p>
      <w:pPr>
        <w:widowControl/>
      </w:pPr>
      <w:r>
        <w:t>For each Media Suite tool, capture network traffic while processing a representative file. Confirm whether source bytes leave the device.</w:t>
      </w:r>
    </w:p>
    <w:p>
      <w:pPr>
        <w:widowControl/>
      </w:pPr>
      <w:r>
        <w:t>If the public Privacy Policy says local processing and the source file is transmitted to a server, that is a release blocker until the code or policy is corrected and the user receives appropriate disclosure.</w:t>
      </w:r>
    </w:p>
    <w:p>
      <w:pPr>
        <w:widowControl/>
      </w:pPr>
      <w:r>
        <w:t>Allow network requests for application assets such as FFmpeg WebAssembly only when they do not include the user's source media unexpectedly.</w:t>
      </w:r>
    </w:p>
    <w:p>
      <w:pPr>
        <w:pStyle w:val="Heading2"/>
        <w:widowControl/>
      </w:pPr>
      <w:r>
        <w:t>17. FFmpeg/WebAssembly engine reliability</w:t>
      </w:r>
    </w:p>
    <w:p>
      <w:pPr>
        <w:widowControl/>
      </w:pPr>
      <w:r>
        <w:t>Fix the current failure mode in which the tool can remain at "Loading engine" and zero percent indefinitely.</w:t>
      </w:r>
    </w:p>
    <w:p>
      <w:pPr>
        <w:widowControl/>
      </w:pPr>
      <w:r>
        <w:t>Implement loading state, retry, timeout/failure state, accessible error text, CDN/CSP diagnostics, and a fallback/recovery path. Consider self-hosting pinned production FFmpeg WebAssembly assets if that improves integrity, availability, privacy predictability, CSP, and version control.</w:t>
      </w:r>
    </w:p>
    <w:p>
      <w:pPr>
        <w:pStyle w:val="Heading2"/>
        <w:widowControl/>
      </w:pPr>
      <w:r>
        <w:t>18. FFmpeg/open-source compliance</w:t>
      </w:r>
    </w:p>
    <w:p>
      <w:pPr>
        <w:widowControl/>
      </w:pPr>
      <w:r>
        <w:t>Identify the exact FFmpeg build and configure flags. Generate a dependency/license inventory. If the build is LGPL, satisfy applicable LGPL obligations. If optional GPL components make the build GPL, handle the resulting GPL obligations. Do not enable nonfree combinations that make redistribution legally incompatible.</w:t>
      </w:r>
    </w:p>
    <w:p>
      <w:pPr>
        <w:widowControl/>
      </w:pPr>
      <w:r>
        <w:t>Publish an Open Source Notices page or bundled notices when required by the actual distributed code. Preserve corresponding source/relinking information where the license requires it.</w:t>
      </w:r>
    </w:p>
    <w:p>
      <w:pPr>
        <w:pStyle w:val="Heading2"/>
        <w:widowControl/>
      </w:pPr>
      <w:r>
        <w:t>19. Media Suite codec/product truthfulness</w:t>
      </w:r>
    </w:p>
    <w:p>
      <w:pPr>
        <w:widowControl/>
      </w:pPr>
      <w:r>
        <w:t>For every preset, confirm that the label accurately describes the actual output parameters. Remove unsupported combinations. Do not label a file "Apple Digital Master" merely because it is 24-bit or high sample rate. Do not claim DistroKid, Symphonic, Spotify, Apple Music, YouTube, or another company "certifies" a preset unless there is a current documented basis for that statement.</w:t>
      </w:r>
    </w:p>
    <w:p>
      <w:pPr>
        <w:widowControl/>
      </w:pPr>
      <w:r>
        <w:t>Use wording such as "common distribution master" or "24-bit WAV delivery preset" where appropriate and link to current provider requirements when helpful.</w:t>
      </w:r>
    </w:p>
    <w:p>
      <w:pPr>
        <w:pStyle w:val="Heading2"/>
        <w:widowControl/>
      </w:pPr>
      <w:r>
        <w:t>20. Accessibility crawl and automated checks</w:t>
      </w:r>
    </w:p>
    <w:p>
      <w:pPr>
        <w:widowControl/>
      </w:pPr>
      <w:r>
        <w:t>Run automated tests across every unique page template and major application state. Save results before and after remediation. Fix duplicate IDs, missing names, invalid ARIA, empty links/buttons, obvious contrast failures detectable by tools, missing labels, and landmark errors.</w:t>
      </w:r>
    </w:p>
    <w:p>
      <w:pPr>
        <w:widowControl/>
      </w:pPr>
      <w:r>
        <w:t>Then continue to manual testing; do not stop at a green automated score.</w:t>
      </w:r>
    </w:p>
    <w:p>
      <w:pPr>
        <w:pStyle w:val="Heading2"/>
        <w:widowControl/>
      </w:pPr>
      <w:r>
        <w:t>21. Keyboard acceptance run</w:t>
      </w:r>
    </w:p>
    <w:p>
      <w:pPr>
        <w:widowControl/>
      </w:pPr>
      <w:r>
        <w:t>Perform keyboard-only task scripts for:</w:t>
      </w:r>
    </w:p>
    <w:p>
      <w:pPr>
        <w:pStyle w:val="ListBullet"/>
        <w:widowControl/>
      </w:pPr>
      <w:r>
        <w:t>Opening/closing menu.</w:t>
      </w:r>
    </w:p>
    <w:p>
      <w:pPr>
        <w:pStyle w:val="ListBullet"/>
        <w:widowControl/>
      </w:pPr>
      <w:r>
        <w:t>Changing accessibility preferences.</w:t>
      </w:r>
    </w:p>
    <w:p>
      <w:pPr>
        <w:pStyle w:val="ListBullet"/>
        <w:widowControl/>
      </w:pPr>
      <w:r>
        <w:t>Managing privacy choices.</w:t>
      </w:r>
    </w:p>
    <w:p>
      <w:pPr>
        <w:pStyle w:val="ListBullet"/>
        <w:widowControl/>
      </w:pPr>
      <w:r>
        <w:t>Signing in/out.</w:t>
      </w:r>
    </w:p>
    <w:p>
      <w:pPr>
        <w:pStyle w:val="ListBullet"/>
        <w:widowControl/>
      </w:pPr>
      <w:r>
        <w:t>Password reset and MFA.</w:t>
      </w:r>
    </w:p>
    <w:p>
      <w:pPr>
        <w:pStyle w:val="ListBullet"/>
        <w:widowControl/>
      </w:pPr>
      <w:r>
        <w:t>Posting and commenting.</w:t>
      </w:r>
    </w:p>
    <w:p>
      <w:pPr>
        <w:pStyle w:val="ListBullet"/>
        <w:widowControl/>
      </w:pPr>
      <w:r>
        <w:t>Reporting content.</w:t>
      </w:r>
    </w:p>
    <w:p>
      <w:pPr>
        <w:pStyle w:val="ListBullet"/>
        <w:widowControl/>
      </w:pPr>
      <w:r>
        <w:t>Submitting music.</w:t>
      </w:r>
    </w:p>
    <w:p>
      <w:pPr>
        <w:pStyle w:val="ListBullet"/>
        <w:widowControl/>
      </w:pPr>
      <w:r>
        <w:t>Contacting support.</w:t>
      </w:r>
    </w:p>
    <w:p>
      <w:pPr>
        <w:pStyle w:val="ListBullet"/>
        <w:widowControl/>
      </w:pPr>
      <w:r>
        <w:t>Each Media Suite tool from file selection through export.</w:t>
      </w:r>
    </w:p>
    <w:p>
      <w:pPr>
        <w:pStyle w:val="ListBullet"/>
        <w:widowControl/>
      </w:pPr>
      <w:r>
        <w:t>Portal navigation, messages, contracts, and downloads.</w:t>
      </w:r>
    </w:p>
    <w:p>
      <w:pPr>
        <w:widowControl/>
      </w:pPr>
      <w:r>
        <w:t>Log any trap, skipped control, invisible focus, pointer-only action, or unexpected focus jump.</w:t>
      </w:r>
    </w:p>
    <w:p>
      <w:pPr>
        <w:pStyle w:val="Heading2"/>
        <w:widowControl/>
      </w:pPr>
      <w:r>
        <w:t>22. VoiceOver acceptance run</w:t>
      </w:r>
    </w:p>
    <w:p>
      <w:pPr>
        <w:widowControl/>
      </w:pPr>
      <w:r>
        <w:t>Use current iOS Safari + VoiceOver for the same core flows. Record specific announcements for key custom controls and dialogs. Fix elements whose spoken role/name/state is missing or misleading.</w:t>
      </w:r>
    </w:p>
    <w:p>
      <w:pPr>
        <w:widowControl/>
      </w:pPr>
      <w:r>
        <w:t>Because the owner is blind, do not treat a visual sign-off by a sighted developer as sufficient for these tasks.</w:t>
      </w:r>
    </w:p>
    <w:p>
      <w:pPr>
        <w:pStyle w:val="Heading2"/>
        <w:widowControl/>
      </w:pPr>
      <w:r>
        <w:t>23. Modal/pop-up acceptance run</w:t>
      </w:r>
    </w:p>
    <w:p>
      <w:pPr>
        <w:widowControl/>
      </w:pPr>
      <w:r>
        <w:t>For every menu, modal, consent panel, report dialog, Media Suite settings popup, confirmation dialog, and announcement popup:</w:t>
      </w:r>
    </w:p>
    <w:p>
      <w:pPr>
        <w:pStyle w:val="ListBullet"/>
        <w:widowControl/>
      </w:pPr>
      <w:r>
        <w:t>Verify a useful name.</w:t>
      </w:r>
    </w:p>
    <w:p>
      <w:pPr>
        <w:pStyle w:val="ListBullet"/>
        <w:widowControl/>
      </w:pPr>
      <w:r>
        <w:t>Verify entry focus.</w:t>
      </w:r>
    </w:p>
    <w:p>
      <w:pPr>
        <w:pStyle w:val="ListBullet"/>
        <w:widowControl/>
      </w:pPr>
      <w:r>
        <w:t>Verify close/dismiss.</w:t>
      </w:r>
    </w:p>
    <w:p>
      <w:pPr>
        <w:pStyle w:val="ListBullet"/>
        <w:widowControl/>
      </w:pPr>
      <w:r>
        <w:t>Verify Escape where expected.</w:t>
      </w:r>
    </w:p>
    <w:p>
      <w:pPr>
        <w:pStyle w:val="ListBullet"/>
        <w:widowControl/>
      </w:pPr>
      <w:r>
        <w:t>Verify background interaction behavior.</w:t>
      </w:r>
    </w:p>
    <w:p>
      <w:pPr>
        <w:pStyle w:val="ListBullet"/>
        <w:widowControl/>
      </w:pPr>
      <w:r>
        <w:t>Verify hidden state removes inactive controls from tab order.</w:t>
      </w:r>
    </w:p>
    <w:p>
      <w:pPr>
        <w:pStyle w:val="ListBullet"/>
        <w:widowControl/>
      </w:pPr>
      <w:r>
        <w:t>Verify focus return.</w:t>
      </w:r>
    </w:p>
    <w:p>
      <w:pPr>
        <w:pStyle w:val="ListBullet"/>
        <w:widowControl/>
      </w:pPr>
      <w:r>
        <w:t>Verify zoom/reflow.</w:t>
      </w:r>
    </w:p>
    <w:p>
      <w:pPr>
        <w:pStyle w:val="ListBullet"/>
        <w:widowControl/>
      </w:pPr>
      <w:r>
        <w:t>Verify VoiceOver swipe behavior.</w:t>
      </w:r>
    </w:p>
    <w:p>
      <w:pPr>
        <w:pStyle w:val="Heading2"/>
        <w:widowControl/>
      </w:pPr>
      <w:r>
        <w:t>24. Accessibility controls acceptance run</w:t>
      </w:r>
    </w:p>
    <w:p>
      <w:pPr>
        <w:widowControl/>
      </w:pPr>
      <w:r>
        <w:t>Test Larger Text, High Contrast, and Pause Motion independently and in combination. Verify the state persists as intended, does not depend on optional advertising consent, and does not break forms, dialogs, embeds, or Media Suite controls.</w:t>
      </w:r>
    </w:p>
    <w:p>
      <w:pPr>
        <w:pStyle w:val="Heading2"/>
        <w:widowControl/>
      </w:pPr>
      <w:r>
        <w:t>25. Honeypot remediation</w:t>
      </w:r>
    </w:p>
    <w:p>
      <w:pPr>
        <w:widowControl/>
      </w:pPr>
      <w:r>
        <w:t>Inspect the anti-spam honeypot that surfaces as "Leave this field empty" in extracted content. If it is intended to be invisible, implement it so ordinary keyboard and screen-reader users do not encounter it. Confirm the anti-bot mechanism still works without making the user solve an accessibility-hostile puzzle.</w:t>
      </w:r>
    </w:p>
    <w:p>
      <w:pPr>
        <w:pStyle w:val="Heading2"/>
        <w:widowControl/>
      </w:pPr>
      <w:r>
        <w:t>26. Listen drawer remediation</w:t>
      </w:r>
    </w:p>
    <w:p>
      <w:pPr>
        <w:widowControl/>
      </w:pPr>
      <w:r>
        <w:t>Inspect the persistent Listen drawer. When closed, inactive content must be truly unavailable to keyboard interaction and should not appear as an active control sequence to assistive technology. When opened, its state and controls should be understandable. Ensure it cannot cover focused controls in violation of WCAG 2.2 Focus Not Obscured.</w:t>
      </w:r>
    </w:p>
    <w:p>
      <w:pPr>
        <w:pStyle w:val="Heading2"/>
        <w:widowControl/>
      </w:pPr>
      <w:r>
        <w:t>27. Color/contrast measurements</w:t>
      </w:r>
    </w:p>
    <w:p>
      <w:pPr>
        <w:widowControl/>
      </w:pPr>
      <w:r>
        <w:t>Use a real contrast checker or browser tooling for text, buttons, focus rings, placeholders, error states, disabled states, selected preset states, links, high-contrast mode, and graphical controls. Record failures and exact fixes.</w:t>
      </w:r>
    </w:p>
    <w:p>
      <w:pPr>
        <w:pStyle w:val="Heading2"/>
        <w:widowControl/>
      </w:pPr>
      <w:r>
        <w:t>28. Responsive and zoom run</w:t>
      </w:r>
    </w:p>
    <w:p>
      <w:pPr>
        <w:widowControl/>
      </w:pPr>
      <w:r>
        <w:t>Test representative pages at desktop, tablet, iPhone-size portrait/landscape, 200-percent zoom, and 400-percent zoom/reflow. Fix clipped legal text, horizontal form overflow, offscreen modals, hidden buttons, overlap, and sticky elements that cover the current focus.</w:t>
      </w:r>
    </w:p>
    <w:p>
      <w:pPr>
        <w:pStyle w:val="Heading2"/>
        <w:widowControl/>
      </w:pPr>
      <w:r>
        <w:t>29. Community moderation implementation</w:t>
      </w:r>
    </w:p>
    <w:p>
      <w:pPr>
        <w:widowControl/>
      </w:pPr>
      <w:r>
        <w:t>Ensure report categories route correctly. Build or verify moderation reason codes, action history, notices, and appeals. Keep child-safety, copyright, security, privacy/doxxing, and ordinary conduct categories distinguishable internally.</w:t>
      </w:r>
    </w:p>
    <w:p>
      <w:pPr>
        <w:widowControl/>
      </w:pPr>
      <w:r>
        <w:t>Do not promise twenty-four-hour moderation if there is no staffing/process that can reliably meet it.</w:t>
      </w:r>
    </w:p>
    <w:p>
      <w:pPr>
        <w:pStyle w:val="Heading2"/>
        <w:widowControl/>
      </w:pPr>
      <w:r>
        <w:t>30. Child-safety implementation</w:t>
      </w:r>
    </w:p>
    <w:p>
      <w:pPr>
        <w:widowControl/>
      </w:pPr>
      <w:r>
        <w:t>Verify under-13 interactive-use restrictions are enforced at the product level when age is actually known. Do not add invasive age collection solely to create the appearance of safety. If the service later becomes child-directed or mixed-audience, stop and perform the dedicated COPPA/online-safety assessment before expanding collection.</w:t>
      </w:r>
    </w:p>
    <w:p>
      <w:pPr>
        <w:pStyle w:val="Heading2"/>
        <w:widowControl/>
      </w:pPr>
      <w:r>
        <w:t>31. Marketing email implementation</w:t>
      </w:r>
    </w:p>
    <w:p>
      <w:pPr>
        <w:widowControl/>
      </w:pPr>
      <w:r>
        <w:t>Connect newsletter signup to explicit consent state. Add unsubscribe. Preserve suppression. Confirm sender authentication. Test screen-reader usability of signup, confirmation, and unsubscribe pages.</w:t>
      </w:r>
    </w:p>
    <w:p>
      <w:pPr>
        <w:widowControl/>
      </w:pPr>
      <w:r>
        <w:t>Do not automatically enroll music submitters, account holders, or portal clients in marketing unless an applicable lawful basis and notice supports it.</w:t>
      </w:r>
    </w:p>
    <w:p>
      <w:pPr>
        <w:pStyle w:val="Heading2"/>
        <w:widowControl/>
      </w:pPr>
      <w:r>
        <w:t>32. Sponsorship publishing controls</w:t>
      </w:r>
    </w:p>
    <w:p>
      <w:pPr>
        <w:widowControl/>
      </w:pPr>
      <w:r>
        <w:t>Add fields or CMS workflow for Sponsored, Affiliate Link, Gifted/Provided, or other material-connection disclosures. Require the disclosure at the article/post/video context instead of depending only on a global Advertising Disclosure page.</w:t>
      </w:r>
    </w:p>
    <w:p>
      <w:pPr>
        <w:pStyle w:val="Heading2"/>
        <w:widowControl/>
      </w:pPr>
      <w:r>
        <w:t>33. Consumer payment launch gate</w:t>
      </w:r>
    </w:p>
    <w:p>
      <w:pPr>
        <w:widowControl/>
      </w:pPr>
      <w:r>
        <w:t>If direct checkout is not active, do not pretend it is. If it is activated later, publish Supplement A and run price, recurring billing, cancellation, refunds, receipt, accessibility, privacy, fraud, and tax checks before taking real money.</w:t>
      </w:r>
    </w:p>
    <w:p>
      <w:pPr>
        <w:pStyle w:val="Heading2"/>
        <w:widowControl/>
      </w:pPr>
      <w:r>
        <w:t>34. Portal privacy segregation</w:t>
      </w:r>
    </w:p>
    <w:p>
      <w:pPr>
        <w:widowControl/>
      </w:pPr>
      <w:r>
        <w:t>Confirm AdSense and public analytics do not receive private portal page content, message bodies, contract text, royalty details, or other private client records. Review cache-control so authenticated pages are not stored in a public cache.</w:t>
      </w:r>
    </w:p>
    <w:p>
      <w:pPr>
        <w:pStyle w:val="Heading2"/>
        <w:widowControl/>
      </w:pPr>
      <w:r>
        <w:t>35. Portal role authorization</w:t>
      </w:r>
    </w:p>
    <w:p>
      <w:pPr>
        <w:widowControl/>
      </w:pPr>
      <w:r>
        <w:t>Test every role by attempting forbidden actions directly at the API level, not merely through the UI. Owner/admin, client/artist, staff, and future roles must be enforced server-side.</w:t>
      </w:r>
    </w:p>
    <w:p>
      <w:pPr>
        <w:pStyle w:val="Heading2"/>
        <w:widowControl/>
      </w:pPr>
      <w:r>
        <w:t>36. Portal record correctness</w:t>
      </w:r>
    </w:p>
    <w:p>
      <w:pPr>
        <w:widowControl/>
      </w:pPr>
      <w:r>
        <w:t>Any earnings, royalty, contract, statement, or status display should identify whether it is preliminary, reported, paid, pending, estimated, or final. Do not represent a displayed number as money available for withdrawal unless the financial workflow actually supports that meaning.</w:t>
      </w:r>
    </w:p>
    <w:p>
      <w:pPr>
        <w:pStyle w:val="Heading2"/>
        <w:widowControl/>
      </w:pPr>
      <w:r>
        <w:t>37. Search and indexing</w:t>
      </w:r>
    </w:p>
    <w:p>
      <w:pPr>
        <w:widowControl/>
      </w:pPr>
      <w:r>
        <w:t>Ensure private portal routes, authentication callbacks, sensitive account pages, and internal admin pages are not indexed. Use authentication and authorization as the primary protection; robots.txt is not a security mechanism.</w:t>
      </w:r>
    </w:p>
    <w:p>
      <w:pPr>
        <w:pStyle w:val="Heading2"/>
        <w:widowControl/>
      </w:pPr>
      <w:r>
        <w:t>38. Privacy-policy truth test</w:t>
      </w:r>
    </w:p>
    <w:p>
      <w:pPr>
        <w:widowControl/>
      </w:pPr>
      <w:r>
        <w:t>Search the Privacy Policy for absolute or operational phrases such as:</w:t>
      </w:r>
    </w:p>
    <w:p>
      <w:pPr>
        <w:pStyle w:val="ListBullet"/>
        <w:widowControl/>
      </w:pPr>
      <w:r>
        <w:t>"we use"</w:t>
      </w:r>
    </w:p>
    <w:p>
      <w:pPr>
        <w:pStyle w:val="ListBullet"/>
        <w:widowControl/>
      </w:pPr>
      <w:r>
        <w:t>"we do not"</w:t>
      </w:r>
    </w:p>
    <w:p>
      <w:pPr>
        <w:pStyle w:val="ListBullet"/>
        <w:widowControl/>
      </w:pPr>
      <w:r>
        <w:t>"we never"</w:t>
      </w:r>
    </w:p>
    <w:p>
      <w:pPr>
        <w:pStyle w:val="ListBullet"/>
        <w:widowControl/>
      </w:pPr>
      <w:r>
        <w:t>"local"</w:t>
      </w:r>
    </w:p>
    <w:p>
      <w:pPr>
        <w:pStyle w:val="ListBullet"/>
        <w:widowControl/>
      </w:pPr>
      <w:r>
        <w:t>"not uploaded"</w:t>
      </w:r>
    </w:p>
    <w:p>
      <w:pPr>
        <w:pStyle w:val="ListBullet"/>
        <w:widowControl/>
      </w:pPr>
      <w:r>
        <w:t>"deleted"</w:t>
      </w:r>
    </w:p>
    <w:p>
      <w:pPr>
        <w:pStyle w:val="ListBullet"/>
        <w:widowControl/>
      </w:pPr>
      <w:r>
        <w:t>"retained"</w:t>
      </w:r>
    </w:p>
    <w:p>
      <w:pPr>
        <w:pStyle w:val="ListBullet"/>
        <w:widowControl/>
      </w:pPr>
      <w:r>
        <w:t>"encrypted"</w:t>
      </w:r>
    </w:p>
    <w:p>
      <w:pPr>
        <w:pStyle w:val="ListBullet"/>
        <w:widowControl/>
      </w:pPr>
      <w:r>
        <w:t>"consent"</w:t>
      </w:r>
    </w:p>
    <w:p>
      <w:pPr>
        <w:pStyle w:val="ListBullet"/>
        <w:widowControl/>
      </w:pPr>
      <w:r>
        <w:t>"only"</w:t>
      </w:r>
    </w:p>
    <w:p>
      <w:pPr>
        <w:pStyle w:val="ListBullet"/>
        <w:widowControl/>
      </w:pPr>
      <w:r>
        <w:t>"does not"</w:t>
      </w:r>
    </w:p>
    <w:p>
      <w:pPr>
        <w:widowControl/>
      </w:pPr>
      <w:r>
        <w:t>For each one, point to code, configuration, vendor documentation, or operating procedure that proves it. If Work cannot prove it, fix the implementation or rewrite the statement more accurately before publication.</w:t>
      </w:r>
    </w:p>
    <w:p>
      <w:pPr>
        <w:pStyle w:val="Heading2"/>
        <w:widowControl/>
      </w:pPr>
      <w:r>
        <w:t>39. Terms/product truth test</w:t>
      </w:r>
    </w:p>
    <w:p>
      <w:pPr>
        <w:widowControl/>
      </w:pPr>
      <w:r>
        <w:t>Likewise compare the Terms to actual features. Ensure the Terms do not refer to services that do not exist in a way that misleads users, and ensure newly launched services are covered before public release.</w:t>
      </w:r>
    </w:p>
    <w:p>
      <w:pPr>
        <w:pStyle w:val="Heading2"/>
        <w:widowControl/>
      </w:pPr>
      <w:r>
        <w:t>40. Broken-link and contact test</w:t>
      </w:r>
    </w:p>
    <w:p>
      <w:pPr>
        <w:widowControl/>
      </w:pPr>
      <w:r>
        <w:t>Activate every legal, privacy, safety, accessibility, and support link. Send a test through each public contact form using a non-production test identity. Verify mail arrives to the intended mailbox and that auto-replies do not expose internal data.</w:t>
      </w:r>
    </w:p>
    <w:p>
      <w:pPr>
        <w:pStyle w:val="Heading2"/>
        <w:widowControl/>
      </w:pPr>
      <w:r>
        <w:t>41. External provider failure test</w:t>
      </w:r>
    </w:p>
    <w:p>
      <w:pPr>
        <w:widowControl/>
      </w:pPr>
      <w:r>
        <w:t>Block or fail Google, Clerk, jsDelivr, Spotify/YouTube embeds, and other major third-party origins in a test browser. The site should fail safely, explain essential failure, and preserve accessible first-party navigation rather than hanging forever.</w:t>
      </w:r>
    </w:p>
    <w:p>
      <w:pPr>
        <w:pStyle w:val="Heading2"/>
        <w:widowControl/>
      </w:pPr>
      <w:r>
        <w:t>42. Performance and accessibility</w:t>
      </w:r>
    </w:p>
    <w:p>
      <w:pPr>
        <w:widowControl/>
      </w:pPr>
      <w:r>
        <w:t>Check whether heavy scripts or media processing freeze the main thread enough to make VoiceOver or keyboard control unusable. Move CPU-heavy local processing to Web Workers where appropriate. Provide cancel/progress. Avoid repeatedly updating the DOM faster than assistive technology can process.</w:t>
      </w:r>
    </w:p>
    <w:p>
      <w:pPr>
        <w:pStyle w:val="Heading2"/>
        <w:widowControl/>
      </w:pPr>
      <w:r>
        <w:t>43. Security and accessibility conflict review</w:t>
      </w:r>
    </w:p>
    <w:p>
      <w:pPr>
        <w:widowControl/>
      </w:pPr>
      <w:r>
        <w:t>Do not implement security controls that unnecessarily break assistive technology. Examples include paste blocking, short timeouts without extension, inaccessible CAPTCHA, visual puzzle verification, or keydown handlers that swallow ordinary screen-reader/keyboard commands.</w:t>
      </w:r>
    </w:p>
    <w:p>
      <w:pPr>
        <w:pStyle w:val="Heading2"/>
        <w:widowControl/>
      </w:pPr>
      <w:r>
        <w:t>44. Mobile safe-area and keyboard review</w:t>
      </w:r>
    </w:p>
    <w:p>
      <w:pPr>
        <w:widowControl/>
      </w:pPr>
      <w:r>
        <w:t>On iPhone, test virtual keyboard, VoiceOver, browser safe areas, bottom drawers, consent banners, and fixed navigation. Fields and submit buttons must remain reachable when the software keyboard is open.</w:t>
      </w:r>
    </w:p>
    <w:p>
      <w:pPr>
        <w:pStyle w:val="Heading2"/>
        <w:widowControl/>
      </w:pPr>
      <w:r>
        <w:t>45. Translation review</w:t>
      </w:r>
    </w:p>
    <w:p>
      <w:pPr>
        <w:widowControl/>
      </w:pPr>
      <w:r>
        <w:t>Ensure the English source legal pages remain authoritative unless a translated version is intentionally declared equally authoritative. Machine translation should be labelled appropriately. Update html lang for first-party translated pages and test that translated navigation does not overflow.</w:t>
      </w:r>
    </w:p>
    <w:p>
      <w:pPr>
        <w:pStyle w:val="Heading2"/>
        <w:widowControl/>
      </w:pPr>
      <w:r>
        <w:t>46. Open-source notices</w:t>
      </w:r>
    </w:p>
    <w:p>
      <w:pPr>
        <w:widowControl/>
      </w:pPr>
      <w:r>
        <w:t>Publish required notices in an accessible text page and/or distribution bundle. Avoid placing the only copy of a required license notice inside an inaccessible image or minified code comment.</w:t>
      </w:r>
    </w:p>
    <w:p>
      <w:pPr>
        <w:pStyle w:val="Heading2"/>
        <w:widowControl/>
      </w:pPr>
      <w:r>
        <w:t>47. Pre-deployment regression</w:t>
      </w:r>
    </w:p>
    <w:p>
      <w:pPr>
        <w:widowControl/>
      </w:pPr>
      <w:r>
        <w:t>Before deploy, run:</w:t>
      </w:r>
    </w:p>
    <w:p>
      <w:pPr>
        <w:pStyle w:val="ListBullet"/>
        <w:widowControl/>
      </w:pPr>
      <w:r>
        <w:t>Unit/integration tests.</w:t>
      </w:r>
    </w:p>
    <w:p>
      <w:pPr>
        <w:pStyle w:val="ListBullet"/>
        <w:widowControl/>
      </w:pPr>
      <w:r>
        <w:t>Accessibility automated suite.</w:t>
      </w:r>
    </w:p>
    <w:p>
      <w:pPr>
        <w:pStyle w:val="ListBullet"/>
        <w:widowControl/>
      </w:pPr>
      <w:r>
        <w:t>Keyboard smoke suite.</w:t>
      </w:r>
    </w:p>
    <w:p>
      <w:pPr>
        <w:pStyle w:val="ListBullet"/>
        <w:widowControl/>
      </w:pPr>
      <w:r>
        <w:t>Core VoiceOver smoke test.</w:t>
      </w:r>
    </w:p>
    <w:p>
      <w:pPr>
        <w:pStyle w:val="ListBullet"/>
        <w:widowControl/>
      </w:pPr>
      <w:r>
        <w:t>Dependency/security scan.</w:t>
      </w:r>
    </w:p>
    <w:p>
      <w:pPr>
        <w:pStyle w:val="ListBullet"/>
        <w:widowControl/>
      </w:pPr>
      <w:r>
        <w:t>Secret scan.</w:t>
      </w:r>
    </w:p>
    <w:p>
      <w:pPr>
        <w:pStyle w:val="ListBullet"/>
        <w:widowControl/>
      </w:pPr>
      <w:r>
        <w:t>CSP/report-only review if changing CSP.</w:t>
      </w:r>
    </w:p>
    <w:p>
      <w:pPr>
        <w:pStyle w:val="ListBullet"/>
        <w:widowControl/>
      </w:pPr>
      <w:r>
        <w:t>Legal-link and contact-route test.</w:t>
      </w:r>
    </w:p>
    <w:p>
      <w:pPr>
        <w:pStyle w:val="ListBullet"/>
        <w:widowControl/>
      </w:pPr>
      <w:r>
        <w:t>Cookie/consent test.</w:t>
      </w:r>
    </w:p>
    <w:p>
      <w:pPr>
        <w:pStyle w:val="ListBullet"/>
        <w:widowControl/>
      </w:pPr>
      <w:r>
        <w:t>Media Suite local-processing network test.</w:t>
      </w:r>
    </w:p>
    <w:p>
      <w:pPr>
        <w:pStyle w:val="Heading2"/>
        <w:widowControl/>
      </w:pPr>
      <w:r>
        <w:t>48. Post-deployment production verification</w:t>
      </w:r>
    </w:p>
    <w:p>
      <w:pPr>
        <w:widowControl/>
      </w:pPr>
      <w:r>
        <w:t>Immediately after deploy:</w:t>
      </w:r>
    </w:p>
    <w:p>
      <w:pPr>
        <w:pStyle w:val="ListBullet"/>
        <w:widowControl/>
      </w:pPr>
      <w:r>
        <w:t>Open all legal pages.</w:t>
      </w:r>
    </w:p>
    <w:p>
      <w:pPr>
        <w:pStyle w:val="ListBullet"/>
        <w:widowControl/>
      </w:pPr>
      <w:r>
        <w:t>Verify last-updated dates.</w:t>
      </w:r>
    </w:p>
    <w:p>
      <w:pPr>
        <w:pStyle w:val="ListBullet"/>
        <w:widowControl/>
      </w:pPr>
      <w:r>
        <w:t>Verify navigation/footer links.</w:t>
      </w:r>
    </w:p>
    <w:p>
      <w:pPr>
        <w:pStyle w:val="ListBullet"/>
        <w:widowControl/>
      </w:pPr>
      <w:r>
        <w:t>Verify sign-in.</w:t>
      </w:r>
    </w:p>
    <w:p>
      <w:pPr>
        <w:pStyle w:val="ListBullet"/>
        <w:widowControl/>
      </w:pPr>
      <w:r>
        <w:t>Verify a community read/post flow using a test account.</w:t>
      </w:r>
    </w:p>
    <w:p>
      <w:pPr>
        <w:pStyle w:val="ListBullet"/>
        <w:widowControl/>
      </w:pPr>
      <w:r>
        <w:t>Verify consent in a clean session.</w:t>
      </w:r>
    </w:p>
    <w:p>
      <w:pPr>
        <w:pStyle w:val="ListBullet"/>
        <w:widowControl/>
      </w:pPr>
      <w:r>
        <w:t>Verify Privacy Choices reopens.</w:t>
      </w:r>
    </w:p>
    <w:p>
      <w:pPr>
        <w:pStyle w:val="ListBullet"/>
        <w:widowControl/>
      </w:pPr>
      <w:r>
        <w:t>Verify accessibility controls.</w:t>
      </w:r>
    </w:p>
    <w:p>
      <w:pPr>
        <w:pStyle w:val="ListBullet"/>
        <w:widowControl/>
      </w:pPr>
      <w:r>
        <w:t>Verify one conversion and one Media Suite render.</w:t>
      </w:r>
    </w:p>
    <w:p>
      <w:pPr>
        <w:pStyle w:val="ListBullet"/>
        <w:widowControl/>
      </w:pPr>
      <w:r>
        <w:t>Verify no client secret appears in built JS.</w:t>
      </w:r>
    </w:p>
    <w:p>
      <w:pPr>
        <w:pStyle w:val="ListBullet"/>
        <w:widowControl/>
      </w:pPr>
      <w:r>
        <w:t>Check production console/network for broken assets.</w:t>
      </w:r>
    </w:p>
    <w:p>
      <w:pPr>
        <w:pStyle w:val="Heading2"/>
        <w:widowControl/>
      </w:pPr>
      <w:r>
        <w:t>49. Final issue register</w:t>
      </w:r>
    </w:p>
    <w:p>
      <w:pPr>
        <w:widowControl/>
      </w:pPr>
      <w:r>
        <w:t>Work should produce a plain-language final issue register grouped by Critical, High, Medium, and Low. Do not use a chart if the owner asks for screen-reader-friendly output. Each issue should include route/component, problem, legal/accessibility/security reason, exact fix, verification method, and status.</w:t>
      </w:r>
    </w:p>
    <w:p>
      <w:pPr>
        <w:pStyle w:val="Heading2"/>
        <w:widowControl/>
      </w:pPr>
      <w:r>
        <w:t>50. Release decision</w:t>
      </w:r>
    </w:p>
    <w:p>
      <w:pPr>
        <w:widowControl/>
      </w:pPr>
      <w:r>
        <w:t>A feature should not be labelled fully compliant merely because all known automated errors are cleared. The release decision should say one of:</w:t>
      </w:r>
    </w:p>
    <w:p>
      <w:pPr>
        <w:pStyle w:val="ListBullet"/>
        <w:widowControl/>
      </w:pPr>
      <w:r>
        <w:t>Ready against the tested acceptance criteria, with any listed known limitations.</w:t>
      </w:r>
    </w:p>
    <w:p>
      <w:pPr>
        <w:pStyle w:val="ListBullet"/>
        <w:widowControl/>
      </w:pPr>
      <w:r>
        <w:t>Ready only after specified Critical/High fixes.</w:t>
      </w:r>
    </w:p>
    <w:p>
      <w:pPr>
        <w:pStyle w:val="ListBullet"/>
        <w:widowControl/>
      </w:pPr>
      <w:r>
        <w:t>Blocked because an essential compliance, security, privacy, or accessibility dependency has not been implemented.</w:t>
      </w:r>
    </w:p>
    <w:p>
      <w:pPr>
        <w:widowControl/>
      </w:pPr>
      <w:r>
        <w:br w:type="page"/>
      </w:r>
    </w:p>
    <w:p>
      <w:pPr>
        <w:pStyle w:val="Heading1"/>
        <w:widowControl/>
      </w:pPr>
      <w:r>
        <w:t>Part XXVI - Primary Legal, Regulatory, Platform, and Technical Sources</w:t>
      </w:r>
    </w:p>
    <w:p>
      <w:pPr>
        <w:pStyle w:val="DocumentNote"/>
        <w:widowControl/>
      </w:pPr>
      <w:r>
        <w:t>INTERNAL RESEARCH INDEX. These are the primary authorities and provider materials used to build this package. Work should re-check current versions before a later material launch because laws, thresholds, guidance, and provider requirements change.</w:t>
      </w:r>
    </w:p>
    <w:p>
      <w:pPr>
        <w:pStyle w:val="Heading2"/>
        <w:widowControl/>
      </w:pPr>
      <w:r>
        <w:t>1. Philippines privacy and National Privacy Commission</w:t>
      </w:r>
    </w:p>
    <w:p>
      <w:pPr>
        <w:widowControl/>
      </w:pPr>
      <w:r>
        <w:t>National Privacy Commission - Appointing a Data Protection Officer. The NPC explains the DPO requirement and the treatment of an individual PIC/PIP as de facto DPO.</w:t>
      </w:r>
    </w:p>
    <w:p>
      <w:pPr>
        <w:widowControl/>
      </w:pPr>
      <w:r>
        <w:t>https://privacy.gov.ph/appointing-a-data-protection-officer/</w:t>
      </w:r>
    </w:p>
    <w:p>
      <w:pPr>
        <w:widowControl/>
      </w:pPr>
      <w:r>
        <w:t>National Privacy Commission - Personal Information Controllers and Processors registration FAQ and current registration guidance. Use this for mandatory registration thresholds and current filing instructions.</w:t>
      </w:r>
    </w:p>
    <w:p>
      <w:pPr>
        <w:widowControl/>
      </w:pPr>
      <w:r>
        <w:t>https://privacy.gov.ph/pips-and-pics/faqs/</w:t>
      </w:r>
    </w:p>
    <w:p>
      <w:pPr>
        <w:widowControl/>
      </w:pPr>
      <w:r>
        <w:t>National Privacy Commission - Registration exemption materials, including the Sworn Declaration and Undertaking process where applicable.</w:t>
      </w:r>
    </w:p>
    <w:p>
      <w:pPr>
        <w:widowControl/>
      </w:pPr>
      <w:r>
        <w:t>https://privacy.gov.ph/pips-and-pics/exemption/</w:t>
      </w:r>
    </w:p>
    <w:p>
      <w:pPr>
        <w:widowControl/>
      </w:pPr>
      <w:r>
        <w:t>National Privacy Commission - Data Privacy Act of 2012.</w:t>
      </w:r>
    </w:p>
    <w:p>
      <w:pPr>
        <w:widowControl/>
      </w:pPr>
      <w:r>
        <w:t>https://privacy.gov.ph/data-privacy-act/</w:t>
      </w:r>
    </w:p>
    <w:p>
      <w:pPr>
        <w:widowControl/>
      </w:pPr>
      <w:r>
        <w:t>National Privacy Commission - Implementing Rules and Regulations of the Data Privacy Act.</w:t>
      </w:r>
    </w:p>
    <w:p>
      <w:pPr>
        <w:widowControl/>
      </w:pPr>
      <w:r>
        <w:t>https://privacy.gov.ph/implementing-rules-regulations-data-privacy-act-2012/</w:t>
      </w:r>
    </w:p>
    <w:p>
      <w:pPr>
        <w:widowControl/>
      </w:pPr>
      <w:r>
        <w:t>National Privacy Commission - Data Subject Rights.</w:t>
      </w:r>
    </w:p>
    <w:p>
      <w:pPr>
        <w:widowControl/>
      </w:pPr>
      <w:r>
        <w:t>https://privacy.gov.ph/data-subject-rights/</w:t>
      </w:r>
    </w:p>
    <w:p>
      <w:pPr>
        <w:widowControl/>
      </w:pPr>
      <w:r>
        <w:t>National Privacy Commission - breach/security incident reporting materials. Work should use the current NPC breach notification and annual security incident reporting portals/guidance in force at the time of an incident or reporting period.</w:t>
      </w:r>
    </w:p>
    <w:p>
      <w:pPr>
        <w:widowControl/>
      </w:pPr>
      <w:r>
        <w:t>https://privacy.gov.ph/</w:t>
      </w:r>
    </w:p>
    <w:p>
      <w:pPr>
        <w:pStyle w:val="Heading2"/>
        <w:widowControl/>
      </w:pPr>
      <w:r>
        <w:t>2. Philippine electronic commerce and consumer transactions</w:t>
      </w:r>
    </w:p>
    <w:p>
      <w:pPr>
        <w:widowControl/>
      </w:pPr>
      <w:r>
        <w:t>Republic Act No. 8792 - Electronic Commerce Act.</w:t>
      </w:r>
    </w:p>
    <w:p>
      <w:pPr>
        <w:widowControl/>
      </w:pPr>
      <w:r>
        <w:t>https://lawphil.net/statutes/repacts/ra2000/ra_8792_2000.html</w:t>
      </w:r>
    </w:p>
    <w:p>
      <w:pPr>
        <w:widowControl/>
      </w:pPr>
      <w:r>
        <w:t>Republic Act No. 11967 - Internet Transactions Act of 2023.</w:t>
      </w:r>
    </w:p>
    <w:p>
      <w:pPr>
        <w:widowControl/>
      </w:pPr>
      <w:r>
        <w:t>https://lawphil.net/statutes/repacts/ra2023/ra_11967_2023.html</w:t>
      </w:r>
    </w:p>
    <w:p>
      <w:pPr>
        <w:widowControl/>
      </w:pPr>
      <w:r>
        <w:t>Department of Trade and Industry e-commerce portal and implementing rules for the Internet Transactions Act.</w:t>
      </w:r>
    </w:p>
    <w:p>
      <w:pPr>
        <w:widowControl/>
      </w:pPr>
      <w:r>
        <w:t>https://ecommerce.dti.gov.ph/implementing-rules-and-regulations/</w:t>
      </w:r>
    </w:p>
    <w:p>
      <w:pPr>
        <w:widowControl/>
      </w:pPr>
      <w:r>
        <w:t>Republic Act No. 11976 - Ease of Paying Taxes Act, relevant to current Philippine accounting-record retention rules and amendments to the Tax Code.</w:t>
      </w:r>
    </w:p>
    <w:p>
      <w:pPr>
        <w:widowControl/>
      </w:pPr>
      <w:r>
        <w:t>https://lawphil.net/statutes/repacts/ra2024/ra_11976_2024.html</w:t>
      </w:r>
    </w:p>
    <w:p>
      <w:pPr>
        <w:pStyle w:val="Heading2"/>
        <w:widowControl/>
      </w:pPr>
      <w:r>
        <w:t>3. United States copyright and DMCA</w:t>
      </w:r>
    </w:p>
    <w:p>
      <w:pPr>
        <w:widowControl/>
      </w:pPr>
      <w:r>
        <w:t>U.S. Copyright Office - Section 512 overview and Designated Agent Directory.</w:t>
      </w:r>
    </w:p>
    <w:p>
      <w:pPr>
        <w:widowControl/>
      </w:pPr>
      <w:r>
        <w:t>https://www.copyright.gov/512/</w:t>
      </w:r>
    </w:p>
    <w:p>
      <w:pPr>
        <w:widowControl/>
      </w:pPr>
      <w:r>
        <w:t>https://www.copyright.gov/dmca-directory/</w:t>
      </w:r>
    </w:p>
    <w:p>
      <w:pPr>
        <w:widowControl/>
      </w:pPr>
      <w:r>
        <w:t>U.S. Copyright Office - DMCA Designated Agent Directory FAQ. Use the current page for required information, fee, amendments, and the at-least-every-three-years renewal rule.</w:t>
      </w:r>
    </w:p>
    <w:p>
      <w:pPr>
        <w:widowControl/>
      </w:pPr>
      <w:r>
        <w:t>https://www.copyright.gov/dmca-directory/faq.html</w:t>
      </w:r>
    </w:p>
    <w:p>
      <w:pPr>
        <w:pStyle w:val="Heading2"/>
        <w:widowControl/>
      </w:pPr>
      <w:r>
        <w:t>4. U.S. children's privacy</w:t>
      </w:r>
    </w:p>
    <w:p>
      <w:pPr>
        <w:widowControl/>
      </w:pPr>
      <w:r>
        <w:t>Federal Trade Commission - Children's Online Privacy Protection Rule.</w:t>
      </w:r>
    </w:p>
    <w:p>
      <w:pPr>
        <w:widowControl/>
      </w:pPr>
      <w:r>
        <w:t>https://www.ftc.gov/legal-library/browse/rules/childrens-online-privacy-protection-rule-coppa</w:t>
      </w:r>
    </w:p>
    <w:p>
      <w:pPr>
        <w:widowControl/>
      </w:pPr>
      <w:r>
        <w:t>FTC - Complying with COPPA: Frequently Asked Questions. This guidance explains that a general-audience operator can be covered when it has actual knowledge that it is collecting personal information from a child under 13.</w:t>
      </w:r>
    </w:p>
    <w:p>
      <w:pPr>
        <w:widowControl/>
      </w:pPr>
      <w:r>
        <w:t>https://www.ftc.gov/business-guidance/resources/complying-coppa-frequently-asked-questions</w:t>
      </w:r>
    </w:p>
    <w:p>
      <w:pPr>
        <w:widowControl/>
      </w:pPr>
      <w:r>
        <w:t>FTC - COPPA compliance plan and current 2026 policy materials should be reviewed if the service later adds age-verification technology or child-directed features.</w:t>
      </w:r>
    </w:p>
    <w:p>
      <w:pPr>
        <w:widowControl/>
      </w:pPr>
      <w:r>
        <w:t>https://www.ftc.gov/business-guidance/resources/childrens-online-privacy-protection-rule-six-step-compliance-plan-your-business</w:t>
      </w:r>
    </w:p>
    <w:p>
      <w:pPr>
        <w:pStyle w:val="Heading2"/>
        <w:widowControl/>
      </w:pPr>
      <w:r>
        <w:t>5. U.S. email and advertising</w:t>
      </w:r>
    </w:p>
    <w:p>
      <w:pPr>
        <w:widowControl/>
      </w:pPr>
      <w:r>
        <w:t>FTC - CAN-SPAM Act: A Compliance Guide for Business.</w:t>
      </w:r>
    </w:p>
    <w:p>
      <w:pPr>
        <w:widowControl/>
      </w:pPr>
      <w:r>
        <w:t>https://www.ftc.gov/business-guidance/resources/can-spam-act-compliance-guide-business</w:t>
      </w:r>
    </w:p>
    <w:p>
      <w:pPr>
        <w:widowControl/>
      </w:pPr>
      <w:r>
        <w:t>FTC - Endorsement Guides and business guidance. Use current materials for sponsorship, gifted-product, influencer, and affiliate disclosures.</w:t>
      </w:r>
    </w:p>
    <w:p>
      <w:pPr>
        <w:widowControl/>
      </w:pPr>
      <w:r>
        <w:t>https://www.ftc.gov/business-guidance/advertising-marketing/endorsements-influencers-reviews</w:t>
      </w:r>
    </w:p>
    <w:p>
      <w:pPr>
        <w:pStyle w:val="Heading2"/>
        <w:widowControl/>
      </w:pPr>
      <w:r>
        <w:t>6. California privacy</w:t>
      </w:r>
    </w:p>
    <w:p>
      <w:pPr>
        <w:widowControl/>
      </w:pPr>
      <w:r>
        <w:t>California Attorney General - CCPA information.</w:t>
      </w:r>
    </w:p>
    <w:p>
      <w:pPr>
        <w:widowControl/>
      </w:pPr>
      <w:r>
        <w:t>https://oag.ca.gov/privacy/ccpa</w:t>
      </w:r>
    </w:p>
    <w:p>
      <w:pPr>
        <w:widowControl/>
      </w:pPr>
      <w:r>
        <w:t>California Attorney General - Global Privacy Control.</w:t>
      </w:r>
    </w:p>
    <w:p>
      <w:pPr>
        <w:widowControl/>
      </w:pPr>
      <w:r>
        <w:t>https://oag.ca.gov/privacy/ccpa/gpc</w:t>
      </w:r>
    </w:p>
    <w:p>
      <w:pPr>
        <w:widowControl/>
      </w:pPr>
      <w:r>
        <w:t>California Privacy Protection Agency. Use current regulations, threshold adjustments, and rulemaking materials rather than freezing old dollar thresholds in permanent website copy.</w:t>
      </w:r>
    </w:p>
    <w:p>
      <w:pPr>
        <w:widowControl/>
      </w:pPr>
      <w:r>
        <w:t>https://cppa.ca.gov/</w:t>
      </w:r>
    </w:p>
    <w:p>
      <w:pPr>
        <w:pStyle w:val="Heading2"/>
        <w:widowControl/>
      </w:pPr>
      <w:r>
        <w:t>7. GDPR and European privacy</w:t>
      </w:r>
    </w:p>
    <w:p>
      <w:pPr>
        <w:widowControl/>
      </w:pPr>
      <w:r>
        <w:t>Regulation (EU) 2016/679 - General Data Protection Regulation.</w:t>
      </w:r>
    </w:p>
    <w:p>
      <w:pPr>
        <w:widowControl/>
      </w:pPr>
      <w:r>
        <w:t>https://eur-lex.europa.eu/eli/reg/2016/679/oj</w:t>
      </w:r>
    </w:p>
    <w:p>
      <w:pPr>
        <w:widowControl/>
      </w:pPr>
      <w:r>
        <w:t>European Data Protection Board - territorial-scope guidance under Article 3. Use current EDPB guidance when determining whether a non-EU operator is targeting individuals in the Union or monitoring behavior.</w:t>
      </w:r>
    </w:p>
    <w:p>
      <w:pPr>
        <w:widowControl/>
      </w:pPr>
      <w:r>
        <w:t>https://www.edpb.europa.eu/</w:t>
      </w:r>
    </w:p>
    <w:p>
      <w:pPr>
        <w:pStyle w:val="Heading2"/>
        <w:widowControl/>
      </w:pPr>
      <w:r>
        <w:t>8. European Digital Services Act</w:t>
      </w:r>
    </w:p>
    <w:p>
      <w:pPr>
        <w:widowControl/>
      </w:pPr>
      <w:r>
        <w:t>Regulation (EU) 2022/2065 - Digital Services Act.</w:t>
      </w:r>
    </w:p>
    <w:p>
      <w:pPr>
        <w:widowControl/>
      </w:pPr>
      <w:r>
        <w:t>https://eur-lex.europa.eu/eli/reg/2022/2065/oj/eng</w:t>
      </w:r>
    </w:p>
    <w:p>
      <w:pPr>
        <w:widowControl/>
      </w:pPr>
      <w:r>
        <w:t>The DSA source should be re-checked if the public community develops a substantial EU connection, particularly provisions on terms, contact points, notice-and-action, reason statements, transparency, and non-EU legal representation.</w:t>
      </w:r>
    </w:p>
    <w:p>
      <w:pPr>
        <w:pStyle w:val="Heading2"/>
        <w:widowControl/>
      </w:pPr>
      <w:r>
        <w:t>9. European Accessibility Act</w:t>
      </w:r>
    </w:p>
    <w:p>
      <w:pPr>
        <w:widowControl/>
      </w:pPr>
      <w:r>
        <w:t>Directive (EU) 2019/882 - European Accessibility Act.</w:t>
      </w:r>
    </w:p>
    <w:p>
      <w:pPr>
        <w:widowControl/>
      </w:pPr>
      <w:r>
        <w:t>https://eur-lex.europa.eu/eli/dir/2019/882/oj</w:t>
      </w:r>
    </w:p>
    <w:p>
      <w:pPr>
        <w:widowControl/>
      </w:pPr>
      <w:r>
        <w:t>European Commission - European Accessibility Act overview.</w:t>
      </w:r>
    </w:p>
    <w:p>
      <w:pPr>
        <w:widowControl/>
      </w:pPr>
      <w:r>
        <w:t>https://commission.europa.eu/strategy-and-policy/policies/justice-and-fundamental-rights/disability/european-accessibility-act-eaa_en</w:t>
      </w:r>
    </w:p>
    <w:p>
      <w:pPr>
        <w:widowControl/>
      </w:pPr>
      <w:r>
        <w:t>The Directive expressly includes an exemption for microenterprises providing services. Exact application still depends on the covered service and Member State implementation.</w:t>
      </w:r>
    </w:p>
    <w:p>
      <w:pPr>
        <w:pStyle w:val="Heading2"/>
        <w:widowControl/>
      </w:pPr>
      <w:r>
        <w:t>10. United Kingdom privacy and cookies</w:t>
      </w:r>
    </w:p>
    <w:p>
      <w:pPr>
        <w:widowControl/>
      </w:pPr>
      <w:r>
        <w:t>Information Commissioner's Office - cookies and similar technologies / PECR guidance. Use the current 2026 guidance when configuring storage and consent.</w:t>
      </w:r>
    </w:p>
    <w:p>
      <w:pPr>
        <w:widowControl/>
      </w:pPr>
      <w:r>
        <w:t>https://ico.org.uk/for-organisations/direct-marketing-and-privacy-and-electronic-communications/guide-to-pecr/cookies-and-similar-technologies/</w:t>
      </w:r>
    </w:p>
    <w:p>
      <w:pPr>
        <w:widowControl/>
      </w:pPr>
      <w:r>
        <w:t>Information Commissioner's Office - UK GDPR guidance.</w:t>
      </w:r>
    </w:p>
    <w:p>
      <w:pPr>
        <w:widowControl/>
      </w:pPr>
      <w:r>
        <w:t>https://ico.org.uk/for-organisations/uk-gdpr-guidance-and-resources/</w:t>
      </w:r>
    </w:p>
    <w:p>
      <w:pPr>
        <w:pStyle w:val="Heading2"/>
        <w:widowControl/>
      </w:pPr>
      <w:r>
        <w:t>11. United Kingdom Online Safety Act</w:t>
      </w:r>
    </w:p>
    <w:p>
      <w:pPr>
        <w:widowControl/>
      </w:pPr>
      <w:r>
        <w:t>Ofcom - illegal-content duties and Online Safety Act guidance.</w:t>
      </w:r>
    </w:p>
    <w:p>
      <w:pPr>
        <w:widowControl/>
      </w:pPr>
      <w:r>
        <w:t>https://www.ofcom.org.uk/online-safety/illegal-and-harmful-content/illegal-content-duties-under-the-online-safety-act</w:t>
      </w:r>
    </w:p>
    <w:p>
      <w:pPr>
        <w:widowControl/>
      </w:pPr>
      <w:r>
        <w:t>Ofcom - Online Safety scope resources.</w:t>
      </w:r>
    </w:p>
    <w:p>
      <w:pPr>
        <w:widowControl/>
      </w:pPr>
      <w:r>
        <w:t>https://www.ofcom.org.uk/online-safety/</w:t>
      </w:r>
    </w:p>
    <w:p>
      <w:pPr>
        <w:widowControl/>
      </w:pPr>
      <w:r>
        <w:t>GOV.UK - Online Safety Act explainer.</w:t>
      </w:r>
    </w:p>
    <w:p>
      <w:pPr>
        <w:widowControl/>
      </w:pPr>
      <w:r>
        <w:t>https://www.gov.uk/government/publications/online-safety-act-explainer/online-safety-act-explainer</w:t>
      </w:r>
    </w:p>
    <w:p>
      <w:pPr>
        <w:pStyle w:val="Heading2"/>
        <w:widowControl/>
      </w:pPr>
      <w:r>
        <w:t>12. Google AdSense consent</w:t>
      </w:r>
    </w:p>
    <w:p>
      <w:pPr>
        <w:widowControl/>
      </w:pPr>
      <w:r>
        <w:t>Google AdSense Help - requirements for a Google-certified CMP for relevant EEA, UK, and Swiss advertising traffic.</w:t>
      </w:r>
    </w:p>
    <w:p>
      <w:pPr>
        <w:widowControl/>
      </w:pPr>
      <w:r>
        <w:t>https://support.google.com/adsense/answer/13554020</w:t>
      </w:r>
    </w:p>
    <w:p>
      <w:pPr>
        <w:widowControl/>
      </w:pPr>
      <w:r>
        <w:t>Google AdSense Help - European regulations messages and consent-management configuration.</w:t>
      </w:r>
    </w:p>
    <w:p>
      <w:pPr>
        <w:widowControl/>
      </w:pPr>
      <w:r>
        <w:t>https://support.google.com/adsense/answer/10961068</w:t>
      </w:r>
    </w:p>
    <w:p>
      <w:pPr>
        <w:widowControl/>
      </w:pPr>
      <w:r>
        <w:t>Google AdSense Help - Google CMP/privacy messaging resources.</w:t>
      </w:r>
    </w:p>
    <w:p>
      <w:pPr>
        <w:widowControl/>
      </w:pPr>
      <w:r>
        <w:t>https://support.google.com/adsense/answer/16918505</w:t>
      </w:r>
    </w:p>
    <w:p>
      <w:pPr>
        <w:widowControl/>
      </w:pPr>
      <w:r>
        <w:t>Google Consent Mode documentation should also be checked against the production tag implementation at deployment time.</w:t>
      </w:r>
    </w:p>
    <w:p>
      <w:pPr>
        <w:widowControl/>
      </w:pPr>
      <w:r>
        <w:t>https://developers.google.com/tag-platform/security/guides/consent</w:t>
      </w:r>
    </w:p>
    <w:p>
      <w:pPr>
        <w:pStyle w:val="Heading2"/>
        <w:widowControl/>
      </w:pPr>
      <w:r>
        <w:t>13. WCAG 2.2 and WAI-ARIA</w:t>
      </w:r>
    </w:p>
    <w:p>
      <w:pPr>
        <w:widowControl/>
      </w:pPr>
      <w:r>
        <w:t>W3C - Web Content Accessibility Guidelines 2.2.</w:t>
      </w:r>
    </w:p>
    <w:p>
      <w:pPr>
        <w:widowControl/>
      </w:pPr>
      <w:r>
        <w:t>https://www.w3.org/TR/WCAG22/</w:t>
      </w:r>
    </w:p>
    <w:p>
      <w:pPr>
        <w:widowControl/>
      </w:pPr>
      <w:r>
        <w:t>W3C - What's New in WCAG 2.2.</w:t>
      </w:r>
    </w:p>
    <w:p>
      <w:pPr>
        <w:widowControl/>
      </w:pPr>
      <w:r>
        <w:t>https://www.w3.org/WAI/standards-guidelines/wcag/new-in-22/</w:t>
      </w:r>
    </w:p>
    <w:p>
      <w:pPr>
        <w:widowControl/>
      </w:pPr>
      <w:r>
        <w:t>W3C - WAI-ARIA Authoring Practices Guide. Use current dialog, menu, disclosure, slider, tabs, combobox, and other patterns for custom widgets.</w:t>
      </w:r>
    </w:p>
    <w:p>
      <w:pPr>
        <w:widowControl/>
      </w:pPr>
      <w:r>
        <w:t>https://www.w3.org/WAI/ARIA/apg/</w:t>
      </w:r>
    </w:p>
    <w:p>
      <w:pPr>
        <w:widowControl/>
      </w:pPr>
      <w:r>
        <w:t>W3C - WCAG Understanding documents. Use these for criterion-specific test intent, failures, sufficient techniques, and examples.</w:t>
      </w:r>
    </w:p>
    <w:p>
      <w:pPr>
        <w:widowControl/>
      </w:pPr>
      <w:r>
        <w:t>https://www.w3.org/WAI/WCAG22/Understanding/</w:t>
      </w:r>
    </w:p>
    <w:p>
      <w:pPr>
        <w:pStyle w:val="Heading2"/>
        <w:widowControl/>
      </w:pPr>
      <w:r>
        <w:t>14. U.S. Department of Justice accessibility guidance</w:t>
      </w:r>
    </w:p>
    <w:p>
      <w:pPr>
        <w:widowControl/>
      </w:pPr>
      <w:r>
        <w:t>ADA.gov - Guidance on Web Accessibility and the ADA. This explains the importance of accessible web content for businesses open to the public and the limitations of relying solely on automated testing.</w:t>
      </w:r>
    </w:p>
    <w:p>
      <w:pPr>
        <w:widowControl/>
      </w:pPr>
      <w:r>
        <w:t>https://www.ada.gov/resources/web-guidance/</w:t>
      </w:r>
    </w:p>
    <w:p>
      <w:pPr>
        <w:pStyle w:val="Heading2"/>
        <w:widowControl/>
      </w:pPr>
      <w:r>
        <w:t>15. FFmpeg and open-source licensing</w:t>
      </w:r>
    </w:p>
    <w:p>
      <w:pPr>
        <w:widowControl/>
      </w:pPr>
      <w:r>
        <w:t>FFmpeg - Legal and License Considerations. The exact license obligations depend on the actual build configuration. FFmpeg is generally LGPL 2.1-or-later, but optional GPL components can make a build subject to GPL terms, and nonfree configurations can create additional redistribution restrictions.</w:t>
      </w:r>
    </w:p>
    <w:p>
      <w:pPr>
        <w:widowControl/>
      </w:pPr>
      <w:r>
        <w:t>https://ffmpeg.org/legal.html</w:t>
      </w:r>
    </w:p>
    <w:p>
      <w:pPr>
        <w:widowControl/>
      </w:pPr>
      <w:r>
        <w:t>GNU LGPL and GPL license texts should be preserved and distributed where the actual build obligations require them.</w:t>
      </w:r>
    </w:p>
    <w:p>
      <w:pPr>
        <w:widowControl/>
      </w:pPr>
      <w:r>
        <w:t>https://www.gnu.org/licenses/</w:t>
      </w:r>
    </w:p>
    <w:p>
      <w:pPr>
        <w:pStyle w:val="Heading2"/>
        <w:widowControl/>
      </w:pPr>
      <w:r>
        <w:t>16. Current mrblindbandit.net pages reviewed</w:t>
      </w:r>
    </w:p>
    <w:p>
      <w:pPr>
        <w:widowControl/>
      </w:pPr>
      <w:r>
        <w:t>Production home and public navigation:</w:t>
      </w:r>
    </w:p>
    <w:p>
      <w:pPr>
        <w:widowControl/>
      </w:pPr>
      <w:r>
        <w:t>https://mrblindbandit.net/</w:t>
      </w:r>
    </w:p>
    <w:p>
      <w:pPr>
        <w:widowControl/>
      </w:pPr>
      <w:r>
        <w:t>Privacy Policy:</w:t>
      </w:r>
    </w:p>
    <w:p>
      <w:pPr>
        <w:widowControl/>
      </w:pPr>
      <w:r>
        <w:t>https://mrblindbandit.net/privacy/</w:t>
      </w:r>
    </w:p>
    <w:p>
      <w:pPr>
        <w:widowControl/>
      </w:pPr>
      <w:r>
        <w:t>Terms of Service:</w:t>
      </w:r>
    </w:p>
    <w:p>
      <w:pPr>
        <w:widowControl/>
      </w:pPr>
      <w:r>
        <w:t>https://mrblindbandit.net/terms/</w:t>
      </w:r>
    </w:p>
    <w:p>
      <w:pPr>
        <w:widowControl/>
      </w:pPr>
      <w:r>
        <w:t>Accessibility:</w:t>
      </w:r>
    </w:p>
    <w:p>
      <w:pPr>
        <w:widowControl/>
      </w:pPr>
      <w:r>
        <w:t>https://mrblindbandit.net/accessibility/</w:t>
      </w:r>
    </w:p>
    <w:p>
      <w:pPr>
        <w:widowControl/>
      </w:pPr>
      <w:r>
        <w:t>Copyright:</w:t>
      </w:r>
    </w:p>
    <w:p>
      <w:pPr>
        <w:widowControl/>
      </w:pPr>
      <w:r>
        <w:t>https://mrblindbandit.net/copyright/</w:t>
      </w:r>
    </w:p>
    <w:p>
      <w:pPr>
        <w:widowControl/>
      </w:pPr>
      <w:r>
        <w:t>Cookie notice:</w:t>
      </w:r>
    </w:p>
    <w:p>
      <w:pPr>
        <w:widowControl/>
      </w:pPr>
      <w:r>
        <w:t>https://mrblindbandit.net/cookies/</w:t>
      </w:r>
    </w:p>
    <w:p>
      <w:pPr>
        <w:widowControl/>
      </w:pPr>
      <w:r>
        <w:t>Child Safety:</w:t>
      </w:r>
    </w:p>
    <w:p>
      <w:pPr>
        <w:widowControl/>
      </w:pPr>
      <w:r>
        <w:t>https://mrblindbandit.net/safety/</w:t>
      </w:r>
    </w:p>
    <w:p>
      <w:pPr>
        <w:widowControl/>
      </w:pPr>
      <w:r>
        <w:t>Community Guidelines:</w:t>
      </w:r>
    </w:p>
    <w:p>
      <w:pPr>
        <w:widowControl/>
      </w:pPr>
      <w:r>
        <w:t>https://mrblindbandit.net/community-guidelines/</w:t>
      </w:r>
    </w:p>
    <w:p>
      <w:pPr>
        <w:widowControl/>
      </w:pPr>
      <w:r>
        <w:t>The production URLs should be crawled again immediately before final deployment because the site is actively changing.</w:t>
      </w:r>
    </w:p>
    <w:p>
      <w:pPr>
        <w:widowControl/>
      </w:pPr>
      <w:r>
        <w:br w:type="page"/>
      </w:r>
    </w:p>
    <w:p>
      <w:pPr>
        <w:pStyle w:val="Heading1"/>
        <w:widowControl/>
      </w:pPr>
      <w:r>
        <w:t>End of Master Package</w:t>
      </w:r>
    </w:p>
    <w:p>
      <w:pPr>
        <w:widowControl/>
      </w:pPr>
      <w:r>
        <w:t>This package intentionally separates public copy from private implementation and filing work. The public website should contain clean policy language and accurate officer/contact information. Registration mechanics, secret values, internal incident procedures, vendor review, test evidence, and Work-mode engineering tasks belong in private records.</w:t>
      </w:r>
    </w:p>
    <w:p>
      <w:pPr>
        <w:widowControl/>
      </w:pPr>
      <w:r>
        <w:t>The final standard is simple: do not publish a promise the code or operating process cannot keep; do not call the site fully accessible until the core production flows have actually passed WCAG 2.2 AA-oriented manual and automated acceptance testing; and do not let a legal page substitute for consent controls, security controls, retention behavior, moderation operations, or required external filings.</w:t>
      </w:r>
    </w:p>
    <w:sectPr w:rsidR="00FC693F" w:rsidRPr="0006063C" w:rsidSect="00034616">
      <w:headerReference w:type="default" r:id="rId9"/>
      <w:footerReference w:type="default" r:id="rId10"/>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sz w:val="16"/>
      </w:rPr>
      <w:t>Mr. Blindbandit - Legal, Privacy, Safety, Media Suite &amp; Accessibility Master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eastAsia="Liberation Sans" w:cs="Liberation Sans"/>
      <w:sz w:val="21"/>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eastAsia="Liberation Sans" w:cs="Liberation Sans"/>
      <w:b/>
      <w:bCs/>
      <w:color w:val="365F91" w:themeColor="accent1" w:themeShade="BF"/>
      <w:sz w:val="34"/>
      <w:szCs w:val="28"/>
      <w:lang w:val="en-US" w:eastAsia="en-US"/>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cs="Liberation Sans"/>
      <w:b/>
      <w:bCs/>
      <w:color w:val="4F81BD" w:themeColor="accent1"/>
      <w:sz w:val="25"/>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Liberation Sans" w:hAnsi="Liberation Sans" w:eastAsia="Liberation Sans" w:cs="Liberation Sans"/>
      <w:b/>
      <w:color w:val="17365D" w:themeColor="text2" w:themeShade="BF"/>
      <w:spacing w:val="5"/>
      <w:kern w:val="28"/>
      <w:sz w:val="44"/>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eastAsia="Liberation Sans" w:cs="Liberation Sans"/>
      <w:sz w:val="21"/>
      <w:lang w:val="en-US" w:eastAsia="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eastAsia="Liberation Sans" w:cs="Liberation Sans"/>
      <w:sz w:val="21"/>
      <w:lang w:val="en-US" w:eastAsia="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Note">
    <w:name w:val="Document Note"/>
    <w:pPr>
      <w:spacing w:before="100" w:after="100"/>
    </w:pPr>
    <w:rPr>
      <w:rFonts w:ascii="Liberation Sans" w:hAnsi="Liberation Sans" w:eastAsia="Liberation Sans" w:cs="Liberation Sans"/>
      <w:b/>
      <w:sz w:val="19"/>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Blindbandit Master Legal, Compliance, Media Suite, and Accessibility Package</dc:title>
  <dc:subject>Public website policies, private compliance procedures, Work mode implementation checklist, and WCAG 2.2 AA audit plan</dc:subject>
  <dc:creator>Blindbandit Records</dc:creator>
  <cp:keywords>mrblindbandit.net, privacy, terms, DMCA, WCAG 2.2, accessibility, compliance, media suite</cp:keywords>
  <dc:description>generated by python-docx</dc:description>
  <cp:lastModifiedBy/>
  <cp:revision>1</cp:revision>
  <dcterms:created xsi:type="dcterms:W3CDTF">2013-12-23T23:15:00Z</dcterms:created>
  <dcterms:modified xsi:type="dcterms:W3CDTF">2013-12-23T23:15:00Z</dcterms:modified>
  <cp:category/>
</cp:coreProperties>
</file>