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FE16" w14:textId="3354332A" w:rsidR="00086BD5" w:rsidRDefault="00086BD5" w:rsidP="0008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5511">
        <w:rPr>
          <w:rFonts w:ascii="Consolas" w:hAnsi="Consolas" w:cs="Consolas"/>
          <w:color w:val="000000"/>
          <w:sz w:val="24"/>
          <w:szCs w:val="24"/>
        </w:rPr>
        <w:t>Historical SP500 statistics:</w:t>
      </w:r>
    </w:p>
    <w:p w14:paraId="403BA401" w14:textId="45B2F2DA" w:rsidR="00016281" w:rsidRPr="00B05511" w:rsidRDefault="00016281" w:rsidP="0001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Historical SP500 $100 becomes $15033.86</w:t>
      </w:r>
    </w:p>
    <w:tbl>
      <w:tblPr>
        <w:tblStyle w:val="PlainTable3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930"/>
      </w:tblGrid>
      <w:tr w:rsidR="00086BD5" w:rsidRPr="00B05511" w14:paraId="3967FAFF" w14:textId="77777777" w:rsidTr="00B0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85" w:type="dxa"/>
            <w:tcBorders>
              <w:bottom w:val="none" w:sz="0" w:space="0" w:color="auto"/>
              <w:right w:val="none" w:sz="0" w:space="0" w:color="auto"/>
            </w:tcBorders>
          </w:tcPr>
          <w:p w14:paraId="1FAE3F80" w14:textId="3B2900BF" w:rsidR="00086BD5" w:rsidRPr="00B05511" w:rsidRDefault="00086BD5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6930" w:type="dxa"/>
            <w:tcBorders>
              <w:bottom w:val="none" w:sz="0" w:space="0" w:color="auto"/>
            </w:tcBorders>
          </w:tcPr>
          <w:p w14:paraId="7AC6D861" w14:textId="208872E7" w:rsidR="00086BD5" w:rsidRPr="00B05511" w:rsidRDefault="00086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3601</w:t>
            </w:r>
          </w:p>
        </w:tc>
      </w:tr>
      <w:tr w:rsidR="00086BD5" w:rsidRPr="00B05511" w14:paraId="051C0344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right w:val="none" w:sz="0" w:space="0" w:color="auto"/>
            </w:tcBorders>
          </w:tcPr>
          <w:p w14:paraId="6514E8EB" w14:textId="77FF2A63" w:rsidR="00086BD5" w:rsidRPr="00B05511" w:rsidRDefault="00086BD5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6930" w:type="dxa"/>
          </w:tcPr>
          <w:p w14:paraId="6E3868DE" w14:textId="5DC34E51" w:rsidR="00086BD5" w:rsidRPr="00B05511" w:rsidRDefault="00086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-0.1820</w:t>
            </w:r>
          </w:p>
        </w:tc>
      </w:tr>
      <w:tr w:rsidR="00086BD5" w:rsidRPr="00B05511" w14:paraId="71901BCB" w14:textId="77777777" w:rsidTr="00B0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right w:val="none" w:sz="0" w:space="0" w:color="auto"/>
            </w:tcBorders>
          </w:tcPr>
          <w:p w14:paraId="1EB5E980" w14:textId="3F8502C4" w:rsidR="00086BD5" w:rsidRPr="00B05511" w:rsidRDefault="00086BD5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6930" w:type="dxa"/>
          </w:tcPr>
          <w:p w14:paraId="43CB83E7" w14:textId="2CF909CE" w:rsidR="00086BD5" w:rsidRPr="00B05511" w:rsidRDefault="00086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0.0016</w:t>
            </w:r>
          </w:p>
        </w:tc>
      </w:tr>
      <w:tr w:rsidR="00086BD5" w:rsidRPr="00B05511" w14:paraId="194998AC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right w:val="none" w:sz="0" w:space="0" w:color="auto"/>
            </w:tcBorders>
          </w:tcPr>
          <w:p w14:paraId="408723A5" w14:textId="5764A056" w:rsidR="00086BD5" w:rsidRPr="00B05511" w:rsidRDefault="00086BD5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6930" w:type="dxa"/>
          </w:tcPr>
          <w:p w14:paraId="1B6F562C" w14:textId="774F2B31" w:rsidR="00086BD5" w:rsidRPr="00B05511" w:rsidRDefault="00086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0.0029</w:t>
            </w:r>
          </w:p>
        </w:tc>
      </w:tr>
      <w:tr w:rsidR="00086BD5" w:rsidRPr="00B05511" w14:paraId="39C6B411" w14:textId="77777777" w:rsidTr="00B0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right w:val="none" w:sz="0" w:space="0" w:color="auto"/>
            </w:tcBorders>
          </w:tcPr>
          <w:p w14:paraId="3772CB49" w14:textId="35DA9CEF" w:rsidR="00086BD5" w:rsidRPr="00B05511" w:rsidRDefault="00086BD5">
            <w:pPr>
              <w:rPr>
                <w:sz w:val="24"/>
                <w:szCs w:val="24"/>
              </w:rPr>
            </w:pPr>
            <w:r w:rsidRPr="00B05511">
              <w:rPr>
                <w:sz w:val="24"/>
                <w:szCs w:val="24"/>
              </w:rPr>
              <w:t>Standard Deviation</w:t>
            </w:r>
          </w:p>
        </w:tc>
        <w:tc>
          <w:tcPr>
            <w:tcW w:w="6930" w:type="dxa"/>
          </w:tcPr>
          <w:p w14:paraId="49ED9054" w14:textId="74C50254" w:rsidR="00086BD5" w:rsidRPr="00B05511" w:rsidRDefault="00086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0.0206</w:t>
            </w:r>
          </w:p>
        </w:tc>
      </w:tr>
      <w:tr w:rsidR="00086BD5" w:rsidRPr="00B05511" w14:paraId="6F73B41F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right w:val="none" w:sz="0" w:space="0" w:color="auto"/>
            </w:tcBorders>
          </w:tcPr>
          <w:p w14:paraId="16F6C9F1" w14:textId="03A7605E" w:rsidR="00086BD5" w:rsidRPr="00B05511" w:rsidRDefault="00086BD5">
            <w:pPr>
              <w:rPr>
                <w:sz w:val="24"/>
                <w:szCs w:val="24"/>
              </w:rPr>
            </w:pPr>
            <w:r w:rsidRPr="00B05511">
              <w:rPr>
                <w:sz w:val="24"/>
                <w:szCs w:val="24"/>
              </w:rPr>
              <w:t>max</w:t>
            </w:r>
          </w:p>
        </w:tc>
        <w:tc>
          <w:tcPr>
            <w:tcW w:w="6930" w:type="dxa"/>
          </w:tcPr>
          <w:p w14:paraId="14ADED42" w14:textId="4287C50A" w:rsidR="00086BD5" w:rsidRPr="00B05511" w:rsidRDefault="00086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0.1412</w:t>
            </w:r>
          </w:p>
        </w:tc>
      </w:tr>
    </w:tbl>
    <w:p w14:paraId="0CBD19C2" w14:textId="4B10F477" w:rsidR="00086BD5" w:rsidRPr="00B05511" w:rsidRDefault="00086BD5" w:rsidP="0008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2" w:name="OLE_LINK3"/>
      <w:bookmarkEnd w:id="0"/>
      <w:bookmarkEnd w:id="1"/>
      <w:r w:rsidRPr="00B05511">
        <w:rPr>
          <w:rFonts w:ascii="Consolas" w:hAnsi="Consolas" w:cs="Consolas"/>
          <w:color w:val="000000"/>
          <w:sz w:val="24"/>
          <w:szCs w:val="24"/>
        </w:rPr>
        <w:t>Normal SP500 statistics:</w:t>
      </w:r>
    </w:p>
    <w:tbl>
      <w:tblPr>
        <w:tblStyle w:val="PlainTable3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7200"/>
      </w:tblGrid>
      <w:tr w:rsidR="00086BD5" w:rsidRPr="00B05511" w14:paraId="4E623D95" w14:textId="77777777" w:rsidTr="00B0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  <w:tcBorders>
              <w:bottom w:val="none" w:sz="0" w:space="0" w:color="auto"/>
              <w:right w:val="none" w:sz="0" w:space="0" w:color="auto"/>
            </w:tcBorders>
          </w:tcPr>
          <w:p w14:paraId="75327876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7200" w:type="dxa"/>
            <w:tcBorders>
              <w:bottom w:val="none" w:sz="0" w:space="0" w:color="auto"/>
            </w:tcBorders>
          </w:tcPr>
          <w:p w14:paraId="2C442C3F" w14:textId="4C0EDB0C" w:rsidR="00086BD5" w:rsidRPr="00B05511" w:rsidRDefault="00086BD5" w:rsidP="0060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10000</w:t>
            </w:r>
          </w:p>
        </w:tc>
      </w:tr>
      <w:tr w:rsidR="00086BD5" w:rsidRPr="00B05511" w14:paraId="1649B480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29E16F06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7200" w:type="dxa"/>
          </w:tcPr>
          <w:p w14:paraId="486CF040" w14:textId="048A2665" w:rsidR="00086BD5" w:rsidRPr="00B05511" w:rsidRDefault="00086BD5" w:rsidP="0060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149.2832</w:t>
            </w:r>
          </w:p>
        </w:tc>
      </w:tr>
      <w:tr w:rsidR="00086BD5" w:rsidRPr="00B05511" w14:paraId="7BA17D90" w14:textId="77777777" w:rsidTr="00B0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249E3F89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7200" w:type="dxa"/>
          </w:tcPr>
          <w:p w14:paraId="65F8249D" w14:textId="4222FED4" w:rsidR="00086BD5" w:rsidRPr="00B05511" w:rsidRDefault="00086BD5" w:rsidP="0060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31713.9003</w:t>
            </w:r>
          </w:p>
        </w:tc>
      </w:tr>
      <w:tr w:rsidR="00086BD5" w:rsidRPr="00B05511" w14:paraId="36DD9B50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7D5AF80B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7200" w:type="dxa"/>
          </w:tcPr>
          <w:p w14:paraId="25EAAC38" w14:textId="67CAB5F8" w:rsidR="00086BD5" w:rsidRPr="00B05511" w:rsidRDefault="00086BD5" w:rsidP="0060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14426.2714</w:t>
            </w:r>
          </w:p>
        </w:tc>
      </w:tr>
      <w:tr w:rsidR="00086BD5" w:rsidRPr="00B05511" w14:paraId="7BE2830D" w14:textId="77777777" w:rsidTr="00B0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6E9C2407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sz w:val="24"/>
                <w:szCs w:val="24"/>
              </w:rPr>
              <w:t>Standard Deviation</w:t>
            </w:r>
          </w:p>
        </w:tc>
        <w:tc>
          <w:tcPr>
            <w:tcW w:w="7200" w:type="dxa"/>
          </w:tcPr>
          <w:p w14:paraId="771F03D2" w14:textId="3FE2BA89" w:rsidR="00086BD5" w:rsidRPr="00B05511" w:rsidRDefault="00086BD5" w:rsidP="0060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57807.4918</w:t>
            </w:r>
          </w:p>
        </w:tc>
      </w:tr>
      <w:tr w:rsidR="00086BD5" w:rsidRPr="00B05511" w14:paraId="395BC12A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3BCA7BFD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sz w:val="24"/>
                <w:szCs w:val="24"/>
              </w:rPr>
              <w:t>max</w:t>
            </w:r>
          </w:p>
        </w:tc>
        <w:tc>
          <w:tcPr>
            <w:tcW w:w="7200" w:type="dxa"/>
          </w:tcPr>
          <w:p w14:paraId="620372E6" w14:textId="00795DD2" w:rsidR="00086BD5" w:rsidRPr="00B05511" w:rsidRDefault="00086BD5" w:rsidP="0060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1098906.4859</w:t>
            </w:r>
          </w:p>
        </w:tc>
      </w:tr>
    </w:tbl>
    <w:bookmarkEnd w:id="2"/>
    <w:p w14:paraId="5BD68ADE" w14:textId="6F2B13ED" w:rsidR="00086BD5" w:rsidRPr="00B05511" w:rsidRDefault="00086BD5" w:rsidP="0008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5511">
        <w:rPr>
          <w:rFonts w:ascii="Consolas" w:hAnsi="Consolas" w:cs="Consolas"/>
          <w:color w:val="000000"/>
          <w:sz w:val="24"/>
          <w:szCs w:val="24"/>
        </w:rPr>
        <w:t>Sampled SP500 statistics:</w:t>
      </w:r>
    </w:p>
    <w:tbl>
      <w:tblPr>
        <w:tblStyle w:val="PlainTable3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7200"/>
      </w:tblGrid>
      <w:tr w:rsidR="00086BD5" w:rsidRPr="00B05511" w14:paraId="64180F27" w14:textId="77777777" w:rsidTr="00B0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  <w:tcBorders>
              <w:bottom w:val="none" w:sz="0" w:space="0" w:color="auto"/>
              <w:right w:val="none" w:sz="0" w:space="0" w:color="auto"/>
            </w:tcBorders>
          </w:tcPr>
          <w:p w14:paraId="0EE129E2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7200" w:type="dxa"/>
            <w:tcBorders>
              <w:bottom w:val="none" w:sz="0" w:space="0" w:color="auto"/>
            </w:tcBorders>
          </w:tcPr>
          <w:p w14:paraId="6F106C4F" w14:textId="77777777" w:rsidR="00086BD5" w:rsidRPr="00B05511" w:rsidRDefault="00086BD5" w:rsidP="0060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10000</w:t>
            </w:r>
          </w:p>
        </w:tc>
      </w:tr>
      <w:tr w:rsidR="00086BD5" w:rsidRPr="00B05511" w14:paraId="4B2DD1DD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0A0A4022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7200" w:type="dxa"/>
          </w:tcPr>
          <w:p w14:paraId="464B2095" w14:textId="7E3DAAAB" w:rsidR="00086BD5" w:rsidRPr="00B05511" w:rsidRDefault="00086BD5" w:rsidP="0060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119.5529</w:t>
            </w:r>
          </w:p>
        </w:tc>
      </w:tr>
      <w:tr w:rsidR="00086BD5" w:rsidRPr="00B05511" w14:paraId="25E44BFD" w14:textId="77777777" w:rsidTr="00B0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37D8EE0B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7200" w:type="dxa"/>
          </w:tcPr>
          <w:p w14:paraId="1830DEE9" w14:textId="4A509DE9" w:rsidR="00086BD5" w:rsidRPr="00B05511" w:rsidRDefault="00086BD5" w:rsidP="0060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31755.0344</w:t>
            </w:r>
          </w:p>
        </w:tc>
      </w:tr>
      <w:tr w:rsidR="00086BD5" w:rsidRPr="00B05511" w14:paraId="5CB4AD7F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4243FD5B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7200" w:type="dxa"/>
          </w:tcPr>
          <w:p w14:paraId="455B5ABC" w14:textId="7C042943" w:rsidR="00086BD5" w:rsidRPr="00B05511" w:rsidRDefault="00086BD5" w:rsidP="0060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15243.5231</w:t>
            </w:r>
          </w:p>
        </w:tc>
      </w:tr>
      <w:tr w:rsidR="00086BD5" w:rsidRPr="00B05511" w14:paraId="6A14AF7D" w14:textId="77777777" w:rsidTr="00B0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1A70BAC1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sz w:val="24"/>
                <w:szCs w:val="24"/>
              </w:rPr>
              <w:t>Standard Deviation</w:t>
            </w:r>
          </w:p>
        </w:tc>
        <w:tc>
          <w:tcPr>
            <w:tcW w:w="7200" w:type="dxa"/>
          </w:tcPr>
          <w:p w14:paraId="71B93AE1" w14:textId="0D8BB5D5" w:rsidR="00086BD5" w:rsidRPr="00B05511" w:rsidRDefault="00086BD5" w:rsidP="0060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57611.2421</w:t>
            </w:r>
          </w:p>
        </w:tc>
      </w:tr>
      <w:tr w:rsidR="00086BD5" w:rsidRPr="00B05511" w14:paraId="344EB183" w14:textId="77777777" w:rsidTr="00B0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none" w:sz="0" w:space="0" w:color="auto"/>
            </w:tcBorders>
          </w:tcPr>
          <w:p w14:paraId="369D4207" w14:textId="77777777" w:rsidR="00086BD5" w:rsidRPr="00B05511" w:rsidRDefault="00086BD5" w:rsidP="0060661C">
            <w:pPr>
              <w:rPr>
                <w:sz w:val="24"/>
                <w:szCs w:val="24"/>
              </w:rPr>
            </w:pPr>
            <w:r w:rsidRPr="00B05511">
              <w:rPr>
                <w:sz w:val="24"/>
                <w:szCs w:val="24"/>
              </w:rPr>
              <w:t>max</w:t>
            </w:r>
          </w:p>
        </w:tc>
        <w:tc>
          <w:tcPr>
            <w:tcW w:w="7200" w:type="dxa"/>
          </w:tcPr>
          <w:p w14:paraId="49FAC46F" w14:textId="584DEF9C" w:rsidR="00086BD5" w:rsidRPr="00B05511" w:rsidRDefault="00086BD5" w:rsidP="0060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511">
              <w:rPr>
                <w:rFonts w:ascii="Consolas" w:hAnsi="Consolas" w:cs="Consolas"/>
                <w:color w:val="000000"/>
                <w:sz w:val="24"/>
                <w:szCs w:val="24"/>
              </w:rPr>
              <w:t>2015683.9781</w:t>
            </w:r>
          </w:p>
        </w:tc>
      </w:tr>
    </w:tbl>
    <w:p w14:paraId="3B3DCB0A" w14:textId="0FB0304B" w:rsidR="007D6129" w:rsidRPr="00CD11CD" w:rsidRDefault="00B05511" w:rsidP="00CD11C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D11CD">
        <w:rPr>
          <w:rFonts w:asciiTheme="majorBidi" w:hAnsiTheme="majorBidi" w:cstheme="majorBidi"/>
          <w:sz w:val="24"/>
          <w:szCs w:val="24"/>
        </w:rPr>
        <w:t xml:space="preserve">The </w:t>
      </w:r>
      <w:r w:rsidR="006739E8" w:rsidRPr="00CD11CD">
        <w:rPr>
          <w:rFonts w:asciiTheme="majorBidi" w:hAnsiTheme="majorBidi" w:cstheme="majorBidi"/>
          <w:sz w:val="24"/>
          <w:szCs w:val="24"/>
        </w:rPr>
        <w:t xml:space="preserve">results </w:t>
      </w:r>
      <w:r w:rsidR="00EA3B11" w:rsidRPr="00CD11CD">
        <w:rPr>
          <w:rFonts w:asciiTheme="majorBidi" w:hAnsiTheme="majorBidi" w:cstheme="majorBidi"/>
          <w:sz w:val="24"/>
          <w:szCs w:val="24"/>
        </w:rPr>
        <w:t xml:space="preserve">of the simulations </w:t>
      </w:r>
      <w:r w:rsidR="00261BD5" w:rsidRPr="00CD11CD">
        <w:rPr>
          <w:rFonts w:asciiTheme="majorBidi" w:hAnsiTheme="majorBidi" w:cstheme="majorBidi"/>
          <w:sz w:val="24"/>
          <w:szCs w:val="24"/>
        </w:rPr>
        <w:t>show</w:t>
      </w:r>
      <w:r w:rsidR="00EA3B11" w:rsidRPr="00CD11CD">
        <w:rPr>
          <w:rFonts w:asciiTheme="majorBidi" w:hAnsiTheme="majorBidi" w:cstheme="majorBidi"/>
          <w:sz w:val="24"/>
          <w:szCs w:val="24"/>
        </w:rPr>
        <w:t xml:space="preserve"> that its possible to predict the outcome of the stock </w:t>
      </w:r>
      <w:r w:rsidR="00CD11CD" w:rsidRPr="00CD11CD">
        <w:rPr>
          <w:rFonts w:asciiTheme="majorBidi" w:hAnsiTheme="majorBidi" w:cstheme="majorBidi"/>
          <w:sz w:val="24"/>
          <w:szCs w:val="24"/>
        </w:rPr>
        <w:t>market. But</w:t>
      </w:r>
      <w:r w:rsidR="00EA3B11" w:rsidRPr="00CD11CD">
        <w:rPr>
          <w:rFonts w:asciiTheme="majorBidi" w:hAnsiTheme="majorBidi" w:cstheme="majorBidi"/>
          <w:sz w:val="24"/>
          <w:szCs w:val="24"/>
        </w:rPr>
        <w:t xml:space="preserve"> </w:t>
      </w:r>
      <w:r w:rsidR="00261BD5" w:rsidRPr="00CD11CD">
        <w:rPr>
          <w:rFonts w:asciiTheme="majorBidi" w:hAnsiTheme="majorBidi" w:cstheme="majorBidi"/>
          <w:sz w:val="24"/>
          <w:szCs w:val="24"/>
        </w:rPr>
        <w:t>it’s</w:t>
      </w:r>
      <w:r w:rsidR="00EA3B11" w:rsidRPr="00CD11CD">
        <w:rPr>
          <w:rFonts w:asciiTheme="majorBidi" w:hAnsiTheme="majorBidi" w:cstheme="majorBidi"/>
          <w:sz w:val="24"/>
          <w:szCs w:val="24"/>
        </w:rPr>
        <w:t xml:space="preserve"> not </w:t>
      </w:r>
      <w:r w:rsidR="00261BD5" w:rsidRPr="00CD11CD">
        <w:rPr>
          <w:rFonts w:asciiTheme="majorBidi" w:hAnsiTheme="majorBidi" w:cstheme="majorBidi"/>
          <w:sz w:val="24"/>
          <w:szCs w:val="24"/>
        </w:rPr>
        <w:t>guaranteed to</w:t>
      </w:r>
      <w:r w:rsidR="00EA3B11" w:rsidRPr="00CD11CD">
        <w:rPr>
          <w:rFonts w:asciiTheme="majorBidi" w:hAnsiTheme="majorBidi" w:cstheme="majorBidi"/>
          <w:sz w:val="24"/>
          <w:szCs w:val="24"/>
        </w:rPr>
        <w:t xml:space="preserve"> get the exact result </w:t>
      </w:r>
      <w:r w:rsidR="00402A63" w:rsidRPr="00CD11CD">
        <w:rPr>
          <w:rFonts w:asciiTheme="majorBidi" w:hAnsiTheme="majorBidi" w:cstheme="majorBidi"/>
          <w:sz w:val="24"/>
          <w:szCs w:val="24"/>
        </w:rPr>
        <w:t xml:space="preserve">so for example </w:t>
      </w:r>
      <w:r w:rsidR="00FC6461" w:rsidRPr="00CD11CD">
        <w:rPr>
          <w:rFonts w:asciiTheme="majorBidi" w:hAnsiTheme="majorBidi" w:cstheme="majorBidi"/>
          <w:sz w:val="24"/>
          <w:szCs w:val="24"/>
        </w:rPr>
        <w:t xml:space="preserve">in the normal sp500 simulation the median </w:t>
      </w:r>
      <w:r w:rsidR="00D33F8F" w:rsidRPr="00CD11CD">
        <w:rPr>
          <w:rFonts w:asciiTheme="majorBidi" w:hAnsiTheme="majorBidi" w:cstheme="majorBidi"/>
          <w:sz w:val="24"/>
          <w:szCs w:val="24"/>
        </w:rPr>
        <w:t xml:space="preserve">was </w:t>
      </w:r>
      <w:r w:rsidR="00645A1A" w:rsidRPr="00CD11CD">
        <w:rPr>
          <w:rFonts w:asciiTheme="majorBidi" w:hAnsiTheme="majorBidi" w:cstheme="majorBidi"/>
          <w:sz w:val="24"/>
          <w:szCs w:val="24"/>
        </w:rPr>
        <w:t>$</w:t>
      </w:r>
      <w:r w:rsidR="00D33F8F" w:rsidRPr="00CD11CD">
        <w:rPr>
          <w:rFonts w:asciiTheme="majorBidi" w:hAnsiTheme="majorBidi" w:cstheme="majorBidi"/>
          <w:color w:val="000000"/>
          <w:sz w:val="24"/>
          <w:szCs w:val="24"/>
        </w:rPr>
        <w:t>14426.2714</w:t>
      </w:r>
      <w:r w:rsidR="00261BD5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 which is close to the actual </w:t>
      </w:r>
      <w:r w:rsidR="004E2D11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but its off by </w:t>
      </w:r>
      <w:r w:rsidR="00645A1A" w:rsidRPr="00CD11CD">
        <w:rPr>
          <w:rFonts w:asciiTheme="majorBidi" w:hAnsiTheme="majorBidi" w:cstheme="majorBidi"/>
          <w:color w:val="000000"/>
          <w:sz w:val="24"/>
          <w:szCs w:val="24"/>
        </w:rPr>
        <w:t>$</w:t>
      </w:r>
      <w:r w:rsidR="00645A1A" w:rsidRPr="00CD11CD">
        <w:rPr>
          <w:rFonts w:asciiTheme="majorBidi" w:hAnsiTheme="majorBidi" w:cstheme="majorBidi"/>
          <w:color w:val="000000"/>
          <w:sz w:val="24"/>
          <w:szCs w:val="24"/>
        </w:rPr>
        <w:t>607.5886</w:t>
      </w:r>
      <w:r w:rsidR="00645A1A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 while </w:t>
      </w:r>
      <w:r w:rsidR="001C6D6C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on the other hand the median that came out for the simulation that used samples from the historical data </w:t>
      </w:r>
      <w:r w:rsidR="005F5D21" w:rsidRPr="00CD11CD">
        <w:rPr>
          <w:rFonts w:asciiTheme="majorBidi" w:hAnsiTheme="majorBidi" w:cstheme="majorBidi"/>
          <w:color w:val="000000"/>
          <w:sz w:val="24"/>
          <w:szCs w:val="24"/>
        </w:rPr>
        <w:t>was $</w:t>
      </w:r>
      <w:r w:rsidR="005F5D21" w:rsidRPr="00CD11CD">
        <w:rPr>
          <w:rFonts w:asciiTheme="majorBidi" w:hAnsiTheme="majorBidi" w:cstheme="majorBidi"/>
          <w:color w:val="000000"/>
          <w:sz w:val="24"/>
          <w:szCs w:val="24"/>
        </w:rPr>
        <w:t>15243.5231</w:t>
      </w:r>
      <w:r w:rsidR="005F5D21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 which is more than what we actually had in historical sp500 but its only off by </w:t>
      </w:r>
      <w:r w:rsidR="00877672" w:rsidRPr="00CD11CD">
        <w:rPr>
          <w:rFonts w:asciiTheme="majorBidi" w:hAnsiTheme="majorBidi" w:cstheme="majorBidi"/>
          <w:color w:val="000000"/>
          <w:sz w:val="24"/>
          <w:szCs w:val="24"/>
        </w:rPr>
        <w:t>$</w:t>
      </w:r>
      <w:r w:rsidR="00877672" w:rsidRPr="00CD11CD">
        <w:rPr>
          <w:rFonts w:asciiTheme="majorBidi" w:hAnsiTheme="majorBidi" w:cstheme="majorBidi"/>
          <w:color w:val="000000"/>
          <w:sz w:val="24"/>
          <w:szCs w:val="24"/>
        </w:rPr>
        <w:t>209.6631</w:t>
      </w:r>
      <w:r w:rsidR="00877672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 which is closer than </w:t>
      </w:r>
      <w:r w:rsidR="00F877AE" w:rsidRPr="00CD11CD">
        <w:rPr>
          <w:rFonts w:asciiTheme="majorBidi" w:hAnsiTheme="majorBidi" w:cstheme="majorBidi"/>
          <w:color w:val="000000"/>
          <w:sz w:val="24"/>
          <w:szCs w:val="24"/>
        </w:rPr>
        <w:t>what normal sp500 predicted. This shows that using the historical data</w:t>
      </w:r>
      <w:r w:rsidR="00CD11CD">
        <w:rPr>
          <w:rFonts w:asciiTheme="majorBidi" w:hAnsiTheme="majorBidi" w:cstheme="majorBidi"/>
          <w:color w:val="000000"/>
          <w:sz w:val="24"/>
          <w:szCs w:val="24"/>
        </w:rPr>
        <w:t xml:space="preserve"> can</w:t>
      </w:r>
      <w:r w:rsidR="00F877AE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 produces more accurate results but </w:t>
      </w:r>
      <w:r w:rsidR="00A4439B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that’s only if we expect the market to remain the same </w:t>
      </w:r>
      <w:r w:rsidR="004757A0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so although simulating using sampling from the data will simulate if the market drops and goes up </w:t>
      </w:r>
      <w:r w:rsidR="008A33A7" w:rsidRPr="00CD11CD">
        <w:rPr>
          <w:rFonts w:asciiTheme="majorBidi" w:hAnsiTheme="majorBidi" w:cstheme="majorBidi"/>
          <w:color w:val="000000"/>
          <w:sz w:val="24"/>
          <w:szCs w:val="24"/>
        </w:rPr>
        <w:t>again,</w:t>
      </w:r>
      <w:r w:rsidR="004757A0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 but it will never go higher </w:t>
      </w:r>
      <w:r w:rsidR="008A33A7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or lower than the highest or lowest that happened in the past so if there is a sharp increase or decrease in the stock the simulation might not be able to simulate the gain or lost of that case but the other simulation its </w:t>
      </w:r>
      <w:r w:rsidR="00E84513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possible to have more variation in the percentage which make its </w:t>
      </w:r>
      <w:r w:rsidR="00A45BA3" w:rsidRPr="00CD11CD">
        <w:rPr>
          <w:rFonts w:asciiTheme="majorBidi" w:hAnsiTheme="majorBidi" w:cstheme="majorBidi"/>
          <w:color w:val="000000"/>
          <w:sz w:val="24"/>
          <w:szCs w:val="24"/>
        </w:rPr>
        <w:t xml:space="preserve">representation although in this case off by more but I think its </w:t>
      </w:r>
      <w:r w:rsidR="00A45BA3" w:rsidRPr="00CD11CD">
        <w:rPr>
          <w:rFonts w:asciiTheme="majorBidi" w:hAnsiTheme="majorBidi" w:cstheme="majorBidi"/>
          <w:color w:val="000000"/>
          <w:sz w:val="24"/>
          <w:szCs w:val="24"/>
        </w:rPr>
        <w:lastRenderedPageBreak/>
        <w:t>more reliable to go off it specially because its less so if we follow it and get more then no harm is done and also I think that if we increase the number of simulation runs we might be able to get even more accurate results</w:t>
      </w:r>
      <w:r w:rsidR="00CD11CD">
        <w:rPr>
          <w:rFonts w:asciiTheme="majorBidi" w:hAnsiTheme="majorBidi" w:cstheme="majorBidi"/>
          <w:color w:val="000000"/>
          <w:sz w:val="24"/>
          <w:szCs w:val="24"/>
        </w:rPr>
        <w:t xml:space="preserve">. Overall, I think the best way to look at the stock in trying to predict if it’s a good investment or not is to use both simulation and even then take the results with a </w:t>
      </w:r>
      <w:r w:rsidR="00CF1880">
        <w:rPr>
          <w:rFonts w:asciiTheme="majorBidi" w:hAnsiTheme="majorBidi" w:cstheme="majorBidi"/>
          <w:color w:val="000000"/>
          <w:sz w:val="24"/>
          <w:szCs w:val="24"/>
        </w:rPr>
        <w:t>cautious because they still might not be the actual result that you will get in reality.</w:t>
      </w:r>
      <w:bookmarkStart w:id="3" w:name="_GoBack"/>
      <w:bookmarkEnd w:id="3"/>
    </w:p>
    <w:sectPr w:rsidR="007D6129" w:rsidRPr="00CD11CD" w:rsidSect="006066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0NzE2MzUysjQEcpR0lIJTi4sz8/NACoxqAZlHbC0sAAAA"/>
  </w:docVars>
  <w:rsids>
    <w:rsidRoot w:val="00086BD5"/>
    <w:rsid w:val="00016281"/>
    <w:rsid w:val="00086BD5"/>
    <w:rsid w:val="00161633"/>
    <w:rsid w:val="001C6D6C"/>
    <w:rsid w:val="00261BD5"/>
    <w:rsid w:val="00326901"/>
    <w:rsid w:val="00402A63"/>
    <w:rsid w:val="00444E7E"/>
    <w:rsid w:val="004757A0"/>
    <w:rsid w:val="004E2D11"/>
    <w:rsid w:val="005F5D21"/>
    <w:rsid w:val="00644232"/>
    <w:rsid w:val="00645A1A"/>
    <w:rsid w:val="006739E8"/>
    <w:rsid w:val="00774171"/>
    <w:rsid w:val="00786079"/>
    <w:rsid w:val="00877672"/>
    <w:rsid w:val="008A33A7"/>
    <w:rsid w:val="0098025C"/>
    <w:rsid w:val="00A4439B"/>
    <w:rsid w:val="00A45BA3"/>
    <w:rsid w:val="00B05511"/>
    <w:rsid w:val="00B15F30"/>
    <w:rsid w:val="00B16249"/>
    <w:rsid w:val="00CD11CD"/>
    <w:rsid w:val="00CF1880"/>
    <w:rsid w:val="00D33F8F"/>
    <w:rsid w:val="00E8002F"/>
    <w:rsid w:val="00E84513"/>
    <w:rsid w:val="00EA3B11"/>
    <w:rsid w:val="00F73C2E"/>
    <w:rsid w:val="00F877AE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729D"/>
  <w15:chartTrackingRefBased/>
  <w15:docId w15:val="{C6E3DB45-334A-4D21-8EC1-E539895E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86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58B1476-4B71-45C2-A878-63DB2BF8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A. Abdelmalik</dc:creator>
  <cp:keywords/>
  <dc:description/>
  <cp:lastModifiedBy>Bishoy A. Abdelmalik</cp:lastModifiedBy>
  <cp:revision>31</cp:revision>
  <dcterms:created xsi:type="dcterms:W3CDTF">2019-02-20T22:12:00Z</dcterms:created>
  <dcterms:modified xsi:type="dcterms:W3CDTF">2019-02-22T03:15:00Z</dcterms:modified>
</cp:coreProperties>
</file>