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Georgia" w:cs="Georgia" w:eastAsia="Georgia" w:hAnsi="Georgia"/>
          <w:b/>
          <w:bCs/>
          <w:color w:val="3D5A80"/>
          <w:spacing w:val="200"/>
          <w:sz w:val="18"/>
          <w:szCs w:val="18"/>
        </w:rPr>
        <w:t xml:space="preserve">DOCUMENT STANDARD</w:t>
      </w:r>
    </w:p>
    <w:p>
      <w:pPr>
        <w:pBdr>
          <w:bottom w:val="single" w:color="E07A5F" w:sz="6" w:space="12"/>
        </w:pBdr>
        <w:spacing w:after="60"/>
        <w:jc w:val="center"/>
      </w:pPr>
      <w:r>
        <w:rPr>
          <w:rFonts w:ascii="Georgia" w:cs="Georgia" w:eastAsia="Georgia" w:hAnsi="Georgia"/>
          <w:b/>
          <w:bCs/>
          <w:color w:val="1B2A4A"/>
          <w:sz w:val="52"/>
          <w:szCs w:val="52"/>
        </w:rPr>
        <w:t xml:space="preserve">Ecosystem Analysis</w:t>
      </w:r>
    </w:p>
    <w:p>
      <w:pPr>
        <w:spacing w:before="200"/>
      </w:pPr>
    </w:p>
    <w:p>
      <w:pPr>
        <w:spacing w:after="60"/>
        <w:jc w:val="center"/>
      </w:pPr>
      <w:r>
        <w:rPr>
          <w:rFonts w:ascii="Georgia" w:cs="Georgia" w:eastAsia="Georgia" w:hAnsi="Georgia"/>
          <w:color w:val="3D5A80"/>
          <w:sz w:val="22"/>
          <w:szCs w:val="22"/>
        </w:rPr>
        <w:t xml:space="preserve">The specification, methodology, and quality criteria for producing</w:t>
      </w:r>
    </w:p>
    <w:p>
      <w:pPr>
        <w:spacing w:after="60"/>
        <w:jc w:val="center"/>
      </w:pPr>
      <w:r>
        <w:rPr>
          <w:rFonts w:ascii="Georgia" w:cs="Georgia" w:eastAsia="Georgia" w:hAnsi="Georgia"/>
          <w:color w:val="3D5A80"/>
          <w:sz w:val="22"/>
          <w:szCs w:val="22"/>
        </w:rPr>
        <w:t xml:space="preserve">holistic market ecosystem analyses that map structural forces,</w:t>
      </w:r>
    </w:p>
    <w:p>
      <w:pPr>
        <w:spacing w:after="60"/>
        <w:jc w:val="center"/>
      </w:pPr>
      <w:r>
        <w:rPr>
          <w:rFonts w:ascii="Georgia" w:cs="Georgia" w:eastAsia="Georgia" w:hAnsi="Georgia"/>
          <w:color w:val="3D5A80"/>
          <w:sz w:val="22"/>
          <w:szCs w:val="22"/>
        </w:rPr>
        <w:t xml:space="preserve">social dynamics, commercial architecture, and downstream outcomes</w:t>
      </w:r>
    </w:p>
    <w:p>
      <w:pPr>
        <w:spacing w:after="400"/>
        <w:jc w:val="center"/>
      </w:pPr>
      <w:r>
        <w:rPr>
          <w:rFonts w:ascii="Georgia" w:cs="Georgia" w:eastAsia="Georgia" w:hAnsi="Georgia"/>
          <w:color w:val="3D5A80"/>
          <w:sz w:val="22"/>
          <w:szCs w:val="22"/>
        </w:rPr>
        <w:t xml:space="preserve">for any identified market opportunity.</w:t>
      </w:r>
    </w:p>
    <w:p>
      <w:pPr>
        <w:spacing w:before="2200"/>
      </w:pPr>
    </w:p>
    <w:p>
      <w:pPr>
        <w:jc w:val="center"/>
      </w:pPr>
      <w:r>
        <w:rPr>
          <w:rFonts w:ascii="Georgia" w:cs="Georgia" w:eastAsia="Georgia" w:hAnsi="Georgia"/>
          <w:b/>
          <w:bCs/>
          <w:color w:val="555555"/>
          <w:spacing w:val="160"/>
          <w:sz w:val="18"/>
          <w:szCs w:val="18"/>
        </w:rPr>
        <w:t xml:space="preserve">INTERNAL STANDARD</w:t>
      </w:r>
    </w:p>
    <w:p>
      <w:pPr>
        <w:spacing w:after="40"/>
        <w:jc w:val="center"/>
      </w:pPr>
      <w:r>
        <w:rPr>
          <w:rFonts w:ascii="Georgia" w:cs="Georgia" w:eastAsia="Georgia" w:hAnsi="Georgia"/>
          <w:color w:val="555555"/>
          <w:sz w:val="20"/>
          <w:szCs w:val="20"/>
        </w:rPr>
        <w:t xml:space="preserve">Version 1.0 — March 2026</w:t>
      </w:r>
    </w:p>
    <w:p>
      <w:pPr>
        <w:spacing w:after="80"/>
        <w:jc w:val="center"/>
      </w:pPr>
      <w:r>
        <w:rPr>
          <w:rFonts w:ascii="Georgia" w:cs="Georgia" w:eastAsia="Georgia" w:hAnsi="Georgia"/>
          <w:i/>
          <w:iCs/>
          <w:color w:val="555555"/>
          <w:sz w:val="18"/>
          <w:szCs w:val="18"/>
        </w:rPr>
        <w:t xml:space="preserve">For use as a generative brief when commissioning new ecosystem analyses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2"/>
          <w:szCs w:val="32"/>
        </w:rPr>
        <w:t xml:space="preserve">Part 1: Purpose and Scope</w:t>
      </w:r>
    </w:p>
    <w:p>
      <w:pPr>
        <w:pStyle w:val="Heading2"/>
        <w:spacing w:after="160" w:before="280"/>
      </w:pPr>
      <w:r>
        <w:rPr>
          <w:rFonts w:ascii="Georgia" w:cs="Georgia" w:eastAsia="Georgia" w:hAnsi="Georgia"/>
          <w:b/>
          <w:bCs/>
          <w:color w:val="3D5A80"/>
          <w:sz w:val="26"/>
          <w:szCs w:val="26"/>
        </w:rPr>
        <w:t xml:space="preserve">1.1 What This Document Is</w:t>
      </w:r>
    </w:p>
    <w:p>
      <w:pPr>
        <w:spacing w:after="160" w:line="276"/>
        <w:jc w:val="left"/>
      </w:pPr>
      <w:r>
        <w:rPr>
          <w:rFonts w:ascii="Georgia" w:cs="Georgia" w:eastAsia="Georgia" w:hAnsi="Georgia"/>
          <w:color w:val="2C2C2C"/>
          <w:sz w:val="21"/>
          <w:szCs w:val="21"/>
        </w:rPr>
        <w:t xml:space="preserve">This is the master specification for producing Ecosystem Analysis documents. It defines the mandatory structure, the research methodology, the analytical frameworks, the quality criteria, and the formatting standards that every ecosystem analysis must satisfy. It exists so that any new ecosystem — regardless of vertical, platform, or market — can be analysed to the same depth, rigour, and utility as the first.</w:t>
      </w:r>
    </w:p>
    <w:p>
      <w:pPr>
        <w:spacing w:after="160" w:line="276"/>
        <w:jc w:val="left"/>
      </w:pPr>
      <w:r>
        <w:rPr>
          <w:rFonts w:ascii="Georgia" w:cs="Georgia" w:eastAsia="Georgia" w:hAnsi="Georgia"/>
          <w:color w:val="2C2C2C"/>
          <w:sz w:val="21"/>
          <w:szCs w:val="21"/>
        </w:rPr>
        <w:t xml:space="preserve">An Ecosystem Analysis is the foundational intelligence document for a market opportunity. It answers a single governing question: What are the structural forces, participant dynamics, commercial mechanics, and downstream consequences that define this market — and where does value concentrate?</w:t>
      </w:r>
    </w:p>
    <w:p>
      <w:pPr>
        <w:pStyle w:val="Heading2"/>
        <w:spacing w:after="160" w:before="280"/>
      </w:pPr>
      <w:r>
        <w:rPr>
          <w:rFonts w:ascii="Georgia" w:cs="Georgia" w:eastAsia="Georgia" w:hAnsi="Georgia"/>
          <w:b/>
          <w:bCs/>
          <w:color w:val="3D5A80"/>
          <w:sz w:val="26"/>
          <w:szCs w:val="26"/>
        </w:rPr>
        <w:t xml:space="preserve">1.2 What an Ecosystem Analysis Is Not</w:t>
      </w:r>
    </w:p>
    <w:p>
      <w:pPr>
        <w:pStyle w:val="ListParagraph"/>
        <w:numPr>
          <w:ilvl w:val="0"/>
          <w:numId w:val="2"/>
        </w:numPr>
        <w:spacing w:after="100" w:line="276"/>
      </w:pPr>
      <w:r>
        <w:rPr>
          <w:rFonts w:ascii="Georgia" w:cs="Georgia" w:eastAsia="Georgia" w:hAnsi="Georgia"/>
          <w:b/>
          <w:bCs/>
          <w:color w:val="1B2A4A"/>
          <w:sz w:val="21"/>
          <w:szCs w:val="21"/>
        </w:rPr>
        <w:t xml:space="preserve">Not a product brief. </w:t>
      </w:r>
      <w:r>
        <w:rPr>
          <w:rFonts w:ascii="Georgia" w:cs="Georgia" w:eastAsia="Georgia" w:hAnsi="Georgia"/>
          <w:color w:val="2C2C2C"/>
          <w:sz w:val="21"/>
          <w:szCs w:val="21"/>
        </w:rPr>
        <w:t xml:space="preserve">It contains no product names, feature specifications, pricing models, or build plans. It is deliberately product-agnostic.</w:t>
      </w:r>
    </w:p>
    <w:p>
      <w:pPr>
        <w:pStyle w:val="ListParagraph"/>
        <w:numPr>
          <w:ilvl w:val="0"/>
          <w:numId w:val="2"/>
        </w:numPr>
        <w:spacing w:after="100" w:line="276"/>
      </w:pPr>
      <w:r>
        <w:rPr>
          <w:rFonts w:ascii="Georgia" w:cs="Georgia" w:eastAsia="Georgia" w:hAnsi="Georgia"/>
          <w:b/>
          <w:bCs/>
          <w:color w:val="1B2A4A"/>
          <w:sz w:val="21"/>
          <w:szCs w:val="21"/>
        </w:rPr>
        <w:t xml:space="preserve">Not a competitive analysis. </w:t>
      </w:r>
      <w:r>
        <w:rPr>
          <w:rFonts w:ascii="Georgia" w:cs="Georgia" w:eastAsia="Georgia" w:hAnsi="Georgia"/>
          <w:color w:val="2C2C2C"/>
          <w:sz w:val="21"/>
          <w:szCs w:val="21"/>
        </w:rPr>
        <w:t xml:space="preserve">It does not focus on individual competitors. It maps the forces that create demand, not the supply that currently serves it.</w:t>
      </w:r>
    </w:p>
    <w:p>
      <w:pPr>
        <w:pStyle w:val="ListParagraph"/>
        <w:numPr>
          <w:ilvl w:val="0"/>
          <w:numId w:val="2"/>
        </w:numPr>
        <w:spacing w:after="100" w:line="276"/>
      </w:pPr>
      <w:r>
        <w:rPr>
          <w:rFonts w:ascii="Georgia" w:cs="Georgia" w:eastAsia="Georgia" w:hAnsi="Georgia"/>
          <w:b/>
          <w:bCs/>
          <w:color w:val="1B2A4A"/>
          <w:sz w:val="21"/>
          <w:szCs w:val="21"/>
        </w:rPr>
        <w:t xml:space="preserve">Not a trend report. </w:t>
      </w:r>
      <w:r>
        <w:rPr>
          <w:rFonts w:ascii="Georgia" w:cs="Georgia" w:eastAsia="Georgia" w:hAnsi="Georgia"/>
          <w:color w:val="2C2C2C"/>
          <w:sz w:val="21"/>
          <w:szCs w:val="21"/>
        </w:rPr>
        <w:t xml:space="preserve">It does not describe what is popular. It explains why structural forces exist, whether they are durable, and what outcomes they produce.</w:t>
      </w:r>
    </w:p>
    <w:p>
      <w:pPr>
        <w:pStyle w:val="ListParagraph"/>
        <w:numPr>
          <w:ilvl w:val="0"/>
          <w:numId w:val="2"/>
        </w:numPr>
        <w:spacing w:after="100" w:line="276"/>
      </w:pPr>
      <w:r>
        <w:rPr>
          <w:rFonts w:ascii="Georgia" w:cs="Georgia" w:eastAsia="Georgia" w:hAnsi="Georgia"/>
          <w:b/>
          <w:bCs/>
          <w:color w:val="1B2A4A"/>
          <w:sz w:val="21"/>
          <w:szCs w:val="21"/>
        </w:rPr>
        <w:t xml:space="preserve">Not a business case. </w:t>
      </w:r>
      <w:r>
        <w:rPr>
          <w:rFonts w:ascii="Georgia" w:cs="Georgia" w:eastAsia="Georgia" w:hAnsi="Georgia"/>
          <w:color w:val="2C2C2C"/>
          <w:sz w:val="21"/>
          <w:szCs w:val="21"/>
        </w:rPr>
        <w:t xml:space="preserve">It does not argue for building a specific thing. It presents the market physics so that product decisions can be made with full context.</w:t>
      </w:r>
    </w:p>
    <w:p>
      <w:pPr>
        <w:pBdr>
          <w:left w:val="single" w:color="E07A5F" w:sz="12" w:space="8"/>
        </w:pBdr>
        <w:spacing w:after="200" w:before="200"/>
        <w:ind w:left="360" w:right="360"/>
      </w:pPr>
      <w:r>
        <w:rPr>
          <w:rFonts w:ascii="Georgia" w:cs="Georgia" w:eastAsia="Georgia" w:hAnsi="Georgia"/>
          <w:i/>
          <w:iCs/>
          <w:color w:val="3D5A80"/>
          <w:sz w:val="21"/>
          <w:szCs w:val="21"/>
        </w:rPr>
        <w:t xml:space="preserve">The Ecosystem Analysis is the map. Products are the routes drawn on the map later. You do not draw routes before you understand the terrain.</w:t>
      </w:r>
    </w:p>
    <w:p>
      <w:pPr>
        <w:pStyle w:val="Heading2"/>
        <w:spacing w:after="160" w:before="280"/>
      </w:pPr>
      <w:r>
        <w:rPr>
          <w:rFonts w:ascii="Georgia" w:cs="Georgia" w:eastAsia="Georgia" w:hAnsi="Georgia"/>
          <w:b/>
          <w:bCs/>
          <w:color w:val="3D5A80"/>
          <w:sz w:val="26"/>
          <w:szCs w:val="26"/>
        </w:rPr>
        <w:t xml:space="preserve">1.3 When to Commission an Ecosystem Analysis</w:t>
      </w:r>
    </w:p>
    <w:p>
      <w:pPr>
        <w:spacing w:after="160" w:line="276"/>
        <w:jc w:val="left"/>
      </w:pPr>
      <w:r>
        <w:rPr>
          <w:rFonts w:ascii="Georgia" w:cs="Georgia" w:eastAsia="Georgia" w:hAnsi="Georgia"/>
          <w:color w:val="2C2C2C"/>
          <w:sz w:val="21"/>
          <w:szCs w:val="21"/>
        </w:rPr>
        <w:t xml:space="preserve">An Ecosystem Analysis should be produced whenever:</w:t>
      </w:r>
    </w:p>
    <w:p>
      <w:pPr>
        <w:pStyle w:val="ListParagraph"/>
        <w:numPr>
          <w:ilvl w:val="0"/>
          <w:numId w:val="2"/>
        </w:numPr>
        <w:spacing w:after="100" w:line="276"/>
      </w:pPr>
      <w:r>
        <w:rPr>
          <w:rFonts w:ascii="Georgia" w:cs="Georgia" w:eastAsia="Georgia" w:hAnsi="Georgia"/>
          <w:color w:val="2C2C2C"/>
          <w:sz w:val="21"/>
          <w:szCs w:val="21"/>
        </w:rPr>
        <w:t xml:space="preserve">A market opportunity has been identified but the underlying dynamics are not yet fully understood.</w:t>
      </w:r>
    </w:p>
    <w:p>
      <w:pPr>
        <w:pStyle w:val="ListParagraph"/>
        <w:numPr>
          <w:ilvl w:val="0"/>
          <w:numId w:val="2"/>
        </w:numPr>
        <w:spacing w:after="100" w:line="276"/>
      </w:pPr>
      <w:r>
        <w:rPr>
          <w:rFonts w:ascii="Georgia" w:cs="Georgia" w:eastAsia="Georgia" w:hAnsi="Georgia"/>
          <w:color w:val="2C2C2C"/>
          <w:sz w:val="21"/>
          <w:szCs w:val="21"/>
        </w:rPr>
        <w:t xml:space="preserve">Multiple product concepts are competing for attention and a common analytical foundation is needed to evaluate them against the same reality.</w:t>
      </w:r>
    </w:p>
    <w:p>
      <w:pPr>
        <w:pStyle w:val="ListParagraph"/>
        <w:numPr>
          <w:ilvl w:val="0"/>
          <w:numId w:val="2"/>
        </w:numPr>
        <w:spacing w:after="100" w:line="276"/>
      </w:pPr>
      <w:r>
        <w:rPr>
          <w:rFonts w:ascii="Georgia" w:cs="Georgia" w:eastAsia="Georgia" w:hAnsi="Georgia"/>
          <w:color w:val="2C2C2C"/>
          <w:sz w:val="21"/>
          <w:szCs w:val="21"/>
        </w:rPr>
        <w:t xml:space="preserve">A market is driven by forces outside the builder’s direct control (regulation, platform shifts, demographic changes) that require systematic mapping.</w:t>
      </w:r>
    </w:p>
    <w:p>
      <w:pPr>
        <w:pStyle w:val="ListParagraph"/>
        <w:numPr>
          <w:ilvl w:val="0"/>
          <w:numId w:val="2"/>
        </w:numPr>
        <w:spacing w:after="100" w:line="276"/>
      </w:pPr>
      <w:r>
        <w:rPr>
          <w:rFonts w:ascii="Georgia" w:cs="Georgia" w:eastAsia="Georgia" w:hAnsi="Georgia"/>
          <w:color w:val="2C2C2C"/>
          <w:sz w:val="21"/>
          <w:szCs w:val="21"/>
        </w:rPr>
        <w:t xml:space="preserve">The opportunity spans multiple participant types (creators, brands, regulators, platforms, audiences) whose interactions create the commercial surface.</w:t>
      </w:r>
    </w:p>
    <w:p>
      <w:pPr>
        <w:pStyle w:val="ListParagraph"/>
        <w:numPr>
          <w:ilvl w:val="0"/>
          <w:numId w:val="2"/>
        </w:numPr>
        <w:spacing w:after="100" w:line="276"/>
      </w:pPr>
      <w:r>
        <w:rPr>
          <w:rFonts w:ascii="Georgia" w:cs="Georgia" w:eastAsia="Georgia" w:hAnsi="Georgia"/>
          <w:color w:val="2C2C2C"/>
          <w:sz w:val="21"/>
          <w:szCs w:val="21"/>
        </w:rPr>
        <w:t xml:space="preserve">A durable reference document is needed that outlasts any individual product decision — something the team can return to when strategy shifts.</w:t>
      </w:r>
    </w:p>
    <w:p>
      <w:r>
        <w:br w:type="page"/>
      </w:r>
    </w:p>
    <w:p>
      <w:pPr>
        <w:pStyle w:val="Heading1"/>
        <w:spacing w:after="200" w:before="360"/>
      </w:pPr>
      <w:r>
        <w:rPr>
          <w:rFonts w:ascii="Georgia" w:cs="Georgia" w:eastAsia="Georgia" w:hAnsi="Georgia"/>
          <w:b/>
          <w:bCs/>
          <w:color w:val="1B2A4A"/>
          <w:sz w:val="32"/>
          <w:szCs w:val="32"/>
        </w:rPr>
        <w:t xml:space="preserve">Part 2: Mandatory Document Structure</w:t>
      </w:r>
    </w:p>
    <w:p>
      <w:pPr>
        <w:spacing w:after="160" w:line="276"/>
        <w:jc w:val="left"/>
      </w:pPr>
      <w:r>
        <w:rPr>
          <w:rFonts w:ascii="Georgia" w:cs="Georgia" w:eastAsia="Georgia" w:hAnsi="Georgia"/>
          <w:color w:val="2C2C2C"/>
          <w:sz w:val="21"/>
          <w:szCs w:val="21"/>
        </w:rPr>
        <w:t xml:space="preserve">Every Ecosystem Analysis must contain the following seven sections, in this order. Sections may contain subsections as needed, but no section may be omitted. The section numbering in the final document must follow this sequence.</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Section 1: What This Opportunity Actually Is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is the structural phenomenon, and why is it not a temporary trend?</w:t>
      </w:r>
    </w:p>
    <w:p>
      <w:pPr>
        <w:spacing w:after="160" w:line="276"/>
        <w:jc w:val="left"/>
      </w:pPr>
      <w:r>
        <w:rPr>
          <w:rFonts w:ascii="Georgia" w:cs="Georgia" w:eastAsia="Georgia" w:hAnsi="Georgia"/>
          <w:color w:val="2C2C2C"/>
          <w:sz w:val="21"/>
          <w:szCs w:val="21"/>
        </w:rPr>
        <w:t xml:space="preserve">This section defines the ecosystem in precise terms. It must accomplish three things:</w:t>
      </w:r>
    </w:p>
    <w:p>
      <w:pPr>
        <w:pStyle w:val="ListParagraph"/>
        <w:numPr>
          <w:ilvl w:val="0"/>
          <w:numId w:val="3"/>
        </w:numPr>
        <w:spacing w:after="120" w:line="276"/>
      </w:pPr>
      <w:r>
        <w:rPr>
          <w:rFonts w:ascii="Georgia" w:cs="Georgia" w:eastAsia="Georgia" w:hAnsi="Georgia"/>
          <w:b/>
          <w:bCs/>
          <w:color w:val="1B2A4A"/>
          <w:sz w:val="21"/>
          <w:szCs w:val="21"/>
        </w:rPr>
        <w:t xml:space="preserve">Define the phenomenon. </w:t>
      </w:r>
      <w:r>
        <w:rPr>
          <w:rFonts w:ascii="Georgia" w:cs="Georgia" w:eastAsia="Georgia" w:hAnsi="Georgia"/>
          <w:color w:val="2C2C2C"/>
          <w:sz w:val="21"/>
          <w:szCs w:val="21"/>
        </w:rPr>
        <w:t xml:space="preserve">State what has changed in the world that created this ecosystem. This is not a description of a market segment — it is a description of a structural shift in how something is created, distributed, trusted, or monetised. The language must be causal, not descriptive.</w:t>
      </w:r>
    </w:p>
    <w:p>
      <w:pPr>
        <w:pStyle w:val="ListParagraph"/>
        <w:numPr>
          <w:ilvl w:val="0"/>
          <w:numId w:val="3"/>
        </w:numPr>
        <w:spacing w:after="120" w:line="276"/>
      </w:pPr>
      <w:r>
        <w:rPr>
          <w:rFonts w:ascii="Georgia" w:cs="Georgia" w:eastAsia="Georgia" w:hAnsi="Georgia"/>
          <w:b/>
          <w:bCs/>
          <w:color w:val="1B2A4A"/>
          <w:sz w:val="21"/>
          <w:szCs w:val="21"/>
        </w:rPr>
        <w:t xml:space="preserve">Distinguish the opportunity from the surface. </w:t>
      </w:r>
      <w:r>
        <w:rPr>
          <w:rFonts w:ascii="Georgia" w:cs="Georgia" w:eastAsia="Georgia" w:hAnsi="Georgia"/>
          <w:color w:val="2C2C2C"/>
          <w:sz w:val="21"/>
          <w:szCs w:val="21"/>
        </w:rPr>
        <w:t xml:space="preserve">Explicitly state what the opportunity is NOT (not the content itself, not a specific platform, not a passing trend) and what it IS (an infrastructure gap, a compliance requirement, a commercial friction, a data asymmetry).</w:t>
      </w:r>
    </w:p>
    <w:p>
      <w:pPr>
        <w:pStyle w:val="ListParagraph"/>
        <w:numPr>
          <w:ilvl w:val="0"/>
          <w:numId w:val="3"/>
        </w:numPr>
        <w:spacing w:after="120" w:line="276"/>
      </w:pPr>
      <w:r>
        <w:rPr>
          <w:rFonts w:ascii="Georgia" w:cs="Georgia" w:eastAsia="Georgia" w:hAnsi="Georgia"/>
          <w:b/>
          <w:bCs/>
          <w:color w:val="1B2A4A"/>
          <w:sz w:val="21"/>
          <w:szCs w:val="21"/>
        </w:rPr>
        <w:t xml:space="preserve">Define the participant map. </w:t>
      </w:r>
      <w:r>
        <w:rPr>
          <w:rFonts w:ascii="Georgia" w:cs="Georgia" w:eastAsia="Georgia" w:hAnsi="Georgia"/>
          <w:color w:val="2C2C2C"/>
          <w:sz w:val="21"/>
          <w:szCs w:val="21"/>
        </w:rPr>
        <w:t xml:space="preserve">Identify every distinct participant type in the ecosystem. For each participant, state their role in the ecosystem and their primary unmet need. Present this as a structured table.</w:t>
      </w:r>
    </w:p>
    <w:p>
      <w:pPr>
        <w:spacing w:after="120" w:before="200"/>
      </w:pPr>
      <w:r>
        <w:rPr>
          <w:rFonts w:ascii="Georgia" w:cs="Georgia" w:eastAsia="Georgia" w:hAnsi="Georgia"/>
          <w:b/>
          <w:bCs/>
          <w:color w:val="1B2A4A"/>
          <w:sz w:val="22"/>
          <w:szCs w:val="22"/>
        </w:rPr>
        <w:t xml:space="preserve">Required elements:</w:t>
      </w:r>
    </w:p>
    <w:p>
      <w:pPr>
        <w:pStyle w:val="ListParagraph"/>
        <w:numPr>
          <w:ilvl w:val="0"/>
          <w:numId w:val="2"/>
        </w:numPr>
        <w:spacing w:after="100" w:line="276"/>
      </w:pPr>
      <w:r>
        <w:rPr>
          <w:rFonts w:ascii="Georgia" w:cs="Georgia" w:eastAsia="Georgia" w:hAnsi="Georgia"/>
          <w:color w:val="2C2C2C"/>
          <w:sz w:val="21"/>
          <w:szCs w:val="21"/>
        </w:rPr>
        <w:t xml:space="preserve">An opening paragraph that frames the ecosystem as a structural shift, not a market description.</w:t>
      </w:r>
    </w:p>
    <w:p>
      <w:pPr>
        <w:pStyle w:val="ListParagraph"/>
        <w:numPr>
          <w:ilvl w:val="0"/>
          <w:numId w:val="2"/>
        </w:numPr>
        <w:spacing w:after="100" w:line="276"/>
      </w:pPr>
      <w:r>
        <w:rPr>
          <w:rFonts w:ascii="Georgia" w:cs="Georgia" w:eastAsia="Georgia" w:hAnsi="Georgia"/>
          <w:color w:val="2C2C2C"/>
          <w:sz w:val="21"/>
          <w:szCs w:val="21"/>
        </w:rPr>
        <w:t xml:space="preserve">A callout block with 2–4 anchor statistics that establish scale and trajectory.</w:t>
      </w:r>
    </w:p>
    <w:p>
      <w:pPr>
        <w:pStyle w:val="ListParagraph"/>
        <w:numPr>
          <w:ilvl w:val="0"/>
          <w:numId w:val="2"/>
        </w:numPr>
        <w:spacing w:after="100" w:line="276"/>
      </w:pPr>
      <w:r>
        <w:rPr>
          <w:rFonts w:ascii="Georgia" w:cs="Georgia" w:eastAsia="Georgia" w:hAnsi="Georgia"/>
          <w:color w:val="2C2C2C"/>
          <w:sz w:val="21"/>
          <w:szCs w:val="21"/>
        </w:rPr>
        <w:t xml:space="preserve">A participant map table with columns: Participant, Role in Ecosystem, Primary Unmet Need.</w:t>
      </w:r>
    </w:p>
    <w:p>
      <w:pPr>
        <w:pStyle w:val="ListParagraph"/>
        <w:numPr>
          <w:ilvl w:val="0"/>
          <w:numId w:val="2"/>
        </w:numPr>
        <w:spacing w:after="100" w:line="276"/>
      </w:pPr>
      <w:r>
        <w:rPr>
          <w:rFonts w:ascii="Georgia" w:cs="Georgia" w:eastAsia="Georgia" w:hAnsi="Georgia"/>
          <w:color w:val="2C2C2C"/>
          <w:sz w:val="21"/>
          <w:szCs w:val="21"/>
        </w:rPr>
        <w:t xml:space="preserve">A closing paragraph that explains the causal linkage between participants — how one participant’s failure creates consequences for others. The ecosystem must be presented as a closed loop, not a collection of independent actors.</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If the participant map contains fewer than three distinct participant types, the ecosystem may be too narrow for a standalone analysis. Consider whether this is a sub-ecosystem that belongs inside a larger analysis.</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Section 2: Why This Opportunity Exists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structural forces created this ecosystem, and are they reversible?</w:t>
      </w:r>
    </w:p>
    <w:p>
      <w:pPr>
        <w:spacing w:after="160" w:line="276"/>
        <w:jc w:val="left"/>
      </w:pPr>
      <w:r>
        <w:rPr>
          <w:rFonts w:ascii="Georgia" w:cs="Georgia" w:eastAsia="Georgia" w:hAnsi="Georgia"/>
          <w:color w:val="2C2C2C"/>
          <w:sz w:val="21"/>
          <w:szCs w:val="21"/>
        </w:rPr>
        <w:t xml:space="preserve">This section identifies and explains the causal forces that brought the ecosystem into existence. These are not trends or preferences — they are structural conditions that would need to be un-done for the ecosystem to cease to exist.</w:t>
      </w:r>
    </w:p>
    <w:p>
      <w:pPr>
        <w:spacing w:after="120" w:before="200"/>
      </w:pPr>
      <w:r>
        <w:rPr>
          <w:rFonts w:ascii="Georgia" w:cs="Georgia" w:eastAsia="Georgia" w:hAnsi="Georgia"/>
          <w:b/>
          <w:bCs/>
          <w:color w:val="1B2A4A"/>
          <w:sz w:val="22"/>
          <w:szCs w:val="22"/>
        </w:rPr>
        <w:t xml:space="preserve">Force identification criteria:</w:t>
      </w:r>
    </w:p>
    <w:p>
      <w:pPr>
        <w:spacing w:after="160" w:line="276"/>
        <w:jc w:val="left"/>
      </w:pPr>
      <w:r>
        <w:rPr>
          <w:rFonts w:ascii="Georgia" w:cs="Georgia" w:eastAsia="Georgia" w:hAnsi="Georgia"/>
          <w:color w:val="2C2C2C"/>
          <w:sz w:val="21"/>
          <w:szCs w:val="21"/>
        </w:rPr>
        <w:t xml:space="preserve">A valid structural force must satisfy all three of the following tests:</w:t>
      </w:r>
    </w:p>
    <w:p>
      <w:pPr>
        <w:pStyle w:val="ListParagraph"/>
        <w:numPr>
          <w:ilvl w:val="0"/>
          <w:numId w:val="3"/>
        </w:numPr>
        <w:spacing w:after="120" w:line="276"/>
      </w:pPr>
      <w:r>
        <w:rPr>
          <w:rFonts w:ascii="Georgia" w:cs="Georgia" w:eastAsia="Georgia" w:hAnsi="Georgia"/>
          <w:b/>
          <w:bCs/>
          <w:color w:val="1B2A4A"/>
          <w:sz w:val="21"/>
          <w:szCs w:val="21"/>
        </w:rPr>
        <w:t xml:space="preserve">Causality. </w:t>
      </w:r>
      <w:r>
        <w:rPr>
          <w:rFonts w:ascii="Georgia" w:cs="Georgia" w:eastAsia="Georgia" w:hAnsi="Georgia"/>
          <w:color w:val="2C2C2C"/>
          <w:sz w:val="21"/>
          <w:szCs w:val="21"/>
        </w:rPr>
        <w:t xml:space="preserve">The force must have a demonstrable cause-and-effect relationship with the ecosystem’s existence. Correlation is insufficient. State the mechanism.</w:t>
      </w:r>
    </w:p>
    <w:p>
      <w:pPr>
        <w:pStyle w:val="ListParagraph"/>
        <w:numPr>
          <w:ilvl w:val="0"/>
          <w:numId w:val="3"/>
        </w:numPr>
        <w:spacing w:after="120" w:line="276"/>
      </w:pPr>
      <w:r>
        <w:rPr>
          <w:rFonts w:ascii="Georgia" w:cs="Georgia" w:eastAsia="Georgia" w:hAnsi="Georgia"/>
          <w:b/>
          <w:bCs/>
          <w:color w:val="1B2A4A"/>
          <w:sz w:val="21"/>
          <w:szCs w:val="21"/>
        </w:rPr>
        <w:t xml:space="preserve">Durability. </w:t>
      </w:r>
      <w:r>
        <w:rPr>
          <w:rFonts w:ascii="Georgia" w:cs="Georgia" w:eastAsia="Georgia" w:hAnsi="Georgia"/>
          <w:color w:val="2C2C2C"/>
          <w:sz w:val="21"/>
          <w:szCs w:val="21"/>
        </w:rPr>
        <w:t xml:space="preserve">The force must be difficult or impossible to reverse within a 3–5 year horizon. If a single regulatory decision, platform change, or cultural shift could eliminate the force, it is a condition, not a structural force.</w:t>
      </w:r>
    </w:p>
    <w:p>
      <w:pPr>
        <w:pStyle w:val="ListParagraph"/>
        <w:numPr>
          <w:ilvl w:val="0"/>
          <w:numId w:val="3"/>
        </w:numPr>
        <w:spacing w:after="120" w:line="276"/>
      </w:pPr>
      <w:r>
        <w:rPr>
          <w:rFonts w:ascii="Georgia" w:cs="Georgia" w:eastAsia="Georgia" w:hAnsi="Georgia"/>
          <w:b/>
          <w:bCs/>
          <w:color w:val="1B2A4A"/>
          <w:sz w:val="21"/>
          <w:szCs w:val="21"/>
        </w:rPr>
        <w:t xml:space="preserve">Independence. </w:t>
      </w:r>
      <w:r>
        <w:rPr>
          <w:rFonts w:ascii="Georgia" w:cs="Georgia" w:eastAsia="Georgia" w:hAnsi="Georgia"/>
          <w:color w:val="2C2C2C"/>
          <w:sz w:val="21"/>
          <w:szCs w:val="21"/>
        </w:rPr>
        <w:t xml:space="preserve">Each force must be distinct from the others. If Force B only exists because of Force A, then Force B is a consequence, not an independent force. Consequences belong in Section 5.</w:t>
      </w:r>
    </w:p>
    <w:p>
      <w:pPr>
        <w:spacing w:after="120" w:before="200"/>
      </w:pPr>
      <w:r>
        <w:rPr>
          <w:rFonts w:ascii="Georgia" w:cs="Georgia" w:eastAsia="Georgia" w:hAnsi="Georgia"/>
          <w:b/>
          <w:bCs/>
          <w:color w:val="1B2A4A"/>
          <w:sz w:val="22"/>
          <w:szCs w:val="22"/>
        </w:rPr>
        <w:t xml:space="preserve">Required sub-sections:</w:t>
      </w:r>
    </w:p>
    <w:p>
      <w:pPr>
        <w:spacing w:after="160" w:line="276"/>
        <w:jc w:val="left"/>
      </w:pPr>
      <w:r>
        <w:rPr>
          <w:rFonts w:ascii="Georgia" w:cs="Georgia" w:eastAsia="Georgia" w:hAnsi="Georgia"/>
          <w:color w:val="2C2C2C"/>
          <w:sz w:val="21"/>
          <w:szCs w:val="21"/>
        </w:rPr>
        <w:t xml:space="preserve">Each identified force must be presented as a named sub-section (2.1, 2.2, etc.) containing:</w:t>
      </w:r>
    </w:p>
    <w:p>
      <w:pPr>
        <w:pStyle w:val="ListParagraph"/>
        <w:numPr>
          <w:ilvl w:val="0"/>
          <w:numId w:val="2"/>
        </w:numPr>
        <w:spacing w:after="100" w:line="276"/>
      </w:pPr>
      <w:r>
        <w:rPr>
          <w:rFonts w:ascii="Georgia" w:cs="Georgia" w:eastAsia="Georgia" w:hAnsi="Georgia"/>
          <w:color w:val="2C2C2C"/>
          <w:sz w:val="21"/>
          <w:szCs w:val="21"/>
        </w:rPr>
        <w:t xml:space="preserve">A descriptive title that names the force (not the symptom).</w:t>
      </w:r>
    </w:p>
    <w:p>
      <w:pPr>
        <w:pStyle w:val="ListParagraph"/>
        <w:numPr>
          <w:ilvl w:val="0"/>
          <w:numId w:val="2"/>
        </w:numPr>
        <w:spacing w:after="100" w:line="276"/>
      </w:pPr>
      <w:r>
        <w:rPr>
          <w:rFonts w:ascii="Georgia" w:cs="Georgia" w:eastAsia="Georgia" w:hAnsi="Georgia"/>
          <w:color w:val="2C2C2C"/>
          <w:sz w:val="21"/>
          <w:szCs w:val="21"/>
        </w:rPr>
        <w:t xml:space="preserve">An explanation of the causal mechanism — how this force creates or sustains the ecosystem.</w:t>
      </w:r>
    </w:p>
    <w:p>
      <w:pPr>
        <w:pStyle w:val="ListParagraph"/>
        <w:numPr>
          <w:ilvl w:val="0"/>
          <w:numId w:val="2"/>
        </w:numPr>
        <w:spacing w:after="100" w:line="276"/>
      </w:pPr>
      <w:r>
        <w:rPr>
          <w:rFonts w:ascii="Georgia" w:cs="Georgia" w:eastAsia="Georgia" w:hAnsi="Georgia"/>
          <w:color w:val="2C2C2C"/>
          <w:sz w:val="21"/>
          <w:szCs w:val="21"/>
        </w:rPr>
        <w:t xml:space="preserve">Evidence: at least one quantitative data point and one qualitative observation supporting the force’s existence and trajectory.</w:t>
      </w:r>
    </w:p>
    <w:p>
      <w:pPr>
        <w:pStyle w:val="ListParagraph"/>
        <w:numPr>
          <w:ilvl w:val="0"/>
          <w:numId w:val="2"/>
        </w:numPr>
        <w:spacing w:after="100" w:line="276"/>
      </w:pPr>
      <w:r>
        <w:rPr>
          <w:rFonts w:ascii="Georgia" w:cs="Georgia" w:eastAsia="Georgia" w:hAnsi="Georgia"/>
          <w:color w:val="2C2C2C"/>
          <w:sz w:val="21"/>
          <w:szCs w:val="21"/>
        </w:rPr>
        <w:t xml:space="preserve">A durability assessment: why this force is not reversible.</w:t>
      </w:r>
    </w:p>
    <w:p>
      <w:pPr>
        <w:spacing w:after="120" w:before="200"/>
      </w:pPr>
      <w:r>
        <w:rPr>
          <w:rFonts w:ascii="Georgia" w:cs="Georgia" w:eastAsia="Georgia" w:hAnsi="Georgia"/>
          <w:b/>
          <w:bCs/>
          <w:color w:val="1B2A4A"/>
          <w:sz w:val="22"/>
          <w:szCs w:val="22"/>
        </w:rPr>
        <w:t xml:space="preserve">Standard force categories to evaluate:</w:t>
      </w:r>
    </w:p>
    <w:p>
      <w:pPr>
        <w:spacing w:after="160" w:line="276"/>
        <w:jc w:val="left"/>
      </w:pPr>
      <w:r>
        <w:rPr>
          <w:rFonts w:ascii="Georgia" w:cs="Georgia" w:eastAsia="Georgia" w:hAnsi="Georgia"/>
          <w:color w:val="2C2C2C"/>
          <w:sz w:val="21"/>
          <w:szCs w:val="21"/>
        </w:rPr>
        <w:t xml:space="preserve">Not every ecosystem will exhibit all of these. But each must be explicitly considered and either included (with evidence) or excluded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Force Category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to Look For</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Trust Transfer</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Has the locus of authority or credibility shifted from institutional to distributed sources? Are audiences choosing new information channels over traditional 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Monetisation Dynamics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does money flow through the ecosystem? Is the volume increasing? Are new revenue channels emerging? Is there an arms race for commercial attention?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Regulatory Pressure</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Are regulators actively engaged? Is enforcement escalating? Are voluntary practices converting to mandatory requirements? Are penalties increasing?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Quality/Signal Crisis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Is there a growing gap between the volume of activity and the quality of that activity? Are participants struggling to distinguish signal from noise?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Platform Fragmentation</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Is the ecosystem distributed across multiple platforms or channels? Does this fragmentation create compounding operational complexity?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Demographic Shift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Is the participant base expanding into new segments? Are new demographics bringing different needs, expectations, or commercial value?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Technology Enablement</w:t>
            </w:r>
          </w:p>
        </w:tc>
        <w:tc>
          <w:tcPr>
            <w:tcW w:type="dxa" w:w="6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Has a technology shift (APIs, AI, mobile, social) created capabilities that did not previously exist? Is the infrastructure lagging behind the capability?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Information Asymmetry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Do participants lack information they need to make high-stakes decisions? Is anyone currently solving this information gap at scale?</w:t>
            </w:r>
          </w:p>
        </w:tc>
      </w:tr>
    </w:tbl>
    <w:p>
      <w:pPr>
        <w:spacing w:after="160" w:line="276"/>
        <w:jc w:val="left"/>
      </w:pPr>
      <w:r>
        <w:rPr>
          <w:rFonts w:ascii="Georgia" w:cs="Georgia" w:eastAsia="Georgia" w:hAnsi="Georgia"/>
          <w:color w:val="2C2C2C"/>
          <w:sz w:val="21"/>
          <w:szCs w:val="21"/>
        </w:rPr>
        <w:t xml:space="preserve"/>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analysis must identify a minimum of three independent structural forces. If fewer than three can be substantiated with evidence, the opportunity may be cyclical rather than structural, and the analysis should flag this explicitly.</w:t>
      </w:r>
    </w:p>
    <w:p>
      <w:pPr>
        <w:pBdr>
          <w:bottom w:val="single" w:color="E8E0D8" w:sz="4" w:space="4"/>
        </w:pBdr>
        <w:spacing w:after="160" w:before="160"/>
      </w:pPr>
      <w:r>
        <w:rPr>
          <w:sz w:val="8"/>
          <w:szCs w:val="8"/>
        </w:rPr>
        <w:t xml:space="preserve"/>
      </w:r>
    </w:p>
    <w:p>
      <w:r>
        <w:br w:type="page"/>
      </w:r>
    </w:p>
    <w:p>
      <w:pPr>
        <w:pStyle w:val="Heading2"/>
        <w:spacing w:after="160" w:before="280"/>
      </w:pPr>
      <w:r>
        <w:rPr>
          <w:rFonts w:ascii="Georgia" w:cs="Georgia" w:eastAsia="Georgia" w:hAnsi="Georgia"/>
          <w:b/>
          <w:bCs/>
          <w:color w:val="3D5A80"/>
          <w:sz w:val="26"/>
          <w:szCs w:val="26"/>
        </w:rPr>
        <w:t xml:space="preserve">Section 3: The Social Levers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human behaviours, cultural dynamics, and social patterns sustain and amplify this ecosystem?</w:t>
      </w:r>
    </w:p>
    <w:p>
      <w:pPr>
        <w:spacing w:after="160" w:line="276"/>
        <w:jc w:val="left"/>
      </w:pPr>
      <w:r>
        <w:rPr>
          <w:rFonts w:ascii="Georgia" w:cs="Georgia" w:eastAsia="Georgia" w:hAnsi="Georgia"/>
          <w:color w:val="2C2C2C"/>
          <w:sz w:val="21"/>
          <w:szCs w:val="21"/>
        </w:rPr>
        <w:t xml:space="preserve">Structural forces (Section 2) explain why the ecosystem exists. Social levers explain why it grows, compounds, and resists disruption. These are the behavioural and cultural dynamics that make participants sticky, engaged, and self-reinforcing.</w:t>
      </w:r>
    </w:p>
    <w:p>
      <w:pPr>
        <w:spacing w:after="120" w:before="200"/>
      </w:pPr>
      <w:r>
        <w:rPr>
          <w:rFonts w:ascii="Georgia" w:cs="Georgia" w:eastAsia="Georgia" w:hAnsi="Georgia"/>
          <w:b/>
          <w:bCs/>
          <w:color w:val="1B2A4A"/>
          <w:sz w:val="22"/>
          <w:szCs w:val="22"/>
        </w:rPr>
        <w:t xml:space="preserve">Lever identification criteria:</w:t>
      </w:r>
    </w:p>
    <w:p>
      <w:pPr>
        <w:pStyle w:val="ListParagraph"/>
        <w:numPr>
          <w:ilvl w:val="0"/>
          <w:numId w:val="3"/>
        </w:numPr>
        <w:spacing w:after="120" w:line="276"/>
      </w:pPr>
      <w:r>
        <w:rPr>
          <w:rFonts w:ascii="Georgia" w:cs="Georgia" w:eastAsia="Georgia" w:hAnsi="Georgia"/>
          <w:b/>
          <w:bCs/>
          <w:color w:val="1B2A4A"/>
          <w:sz w:val="21"/>
          <w:szCs w:val="21"/>
        </w:rPr>
        <w:t xml:space="preserve">Behavioural basis. </w:t>
      </w:r>
      <w:r>
        <w:rPr>
          <w:rFonts w:ascii="Georgia" w:cs="Georgia" w:eastAsia="Georgia" w:hAnsi="Georgia"/>
          <w:color w:val="2C2C2C"/>
          <w:sz w:val="21"/>
          <w:szCs w:val="21"/>
        </w:rPr>
        <w:t xml:space="preserve">The lever must describe an observable human behaviour or social dynamic, not an economic or technological condition.</w:t>
      </w:r>
    </w:p>
    <w:p>
      <w:pPr>
        <w:pStyle w:val="ListParagraph"/>
        <w:numPr>
          <w:ilvl w:val="0"/>
          <w:numId w:val="3"/>
        </w:numPr>
        <w:spacing w:after="120" w:line="276"/>
      </w:pPr>
      <w:r>
        <w:rPr>
          <w:rFonts w:ascii="Georgia" w:cs="Georgia" w:eastAsia="Georgia" w:hAnsi="Georgia"/>
          <w:b/>
          <w:bCs/>
          <w:color w:val="1B2A4A"/>
          <w:sz w:val="21"/>
          <w:szCs w:val="21"/>
        </w:rPr>
        <w:t xml:space="preserve">Reinforcement mechanism. </w:t>
      </w:r>
      <w:r>
        <w:rPr>
          <w:rFonts w:ascii="Georgia" w:cs="Georgia" w:eastAsia="Georgia" w:hAnsi="Georgia"/>
          <w:color w:val="2C2C2C"/>
          <w:sz w:val="21"/>
          <w:szCs w:val="21"/>
        </w:rPr>
        <w:t xml:space="preserve">The lever must have a feedback loop — a reason it strengthens over time rather than decaying. State the loop explicitly.</w:t>
      </w:r>
    </w:p>
    <w:p>
      <w:pPr>
        <w:pStyle w:val="ListParagraph"/>
        <w:numPr>
          <w:ilvl w:val="0"/>
          <w:numId w:val="3"/>
        </w:numPr>
        <w:spacing w:after="120" w:line="276"/>
      </w:pPr>
      <w:r>
        <w:rPr>
          <w:rFonts w:ascii="Georgia" w:cs="Georgia" w:eastAsia="Georgia" w:hAnsi="Georgia"/>
          <w:b/>
          <w:bCs/>
          <w:color w:val="1B2A4A"/>
          <w:sz w:val="21"/>
          <w:szCs w:val="21"/>
        </w:rPr>
        <w:t xml:space="preserve">Ecosystem specificity. </w:t>
      </w:r>
      <w:r>
        <w:rPr>
          <w:rFonts w:ascii="Georgia" w:cs="Georgia" w:eastAsia="Georgia" w:hAnsi="Georgia"/>
          <w:color w:val="2C2C2C"/>
          <w:sz w:val="21"/>
          <w:szCs w:val="21"/>
        </w:rPr>
        <w:t xml:space="preserve">The lever must be specific to this ecosystem, not a generic observation about human nature. “People like free things” is not a lever. “Publicly committing to financial goals creates social accountability that increases adherence and generates more shareable content” is a lever.</w:t>
      </w:r>
    </w:p>
    <w:p>
      <w:pPr>
        <w:spacing w:after="120" w:before="200"/>
      </w:pPr>
      <w:r>
        <w:rPr>
          <w:rFonts w:ascii="Georgia" w:cs="Georgia" w:eastAsia="Georgia" w:hAnsi="Georgia"/>
          <w:b/>
          <w:bCs/>
          <w:color w:val="1B2A4A"/>
          <w:sz w:val="22"/>
          <w:szCs w:val="22"/>
        </w:rPr>
        <w:t xml:space="preserve">Required elements per lever:</w:t>
      </w:r>
    </w:p>
    <w:p>
      <w:pPr>
        <w:pStyle w:val="ListParagraph"/>
        <w:numPr>
          <w:ilvl w:val="0"/>
          <w:numId w:val="2"/>
        </w:numPr>
        <w:spacing w:after="100" w:line="276"/>
      </w:pPr>
      <w:r>
        <w:rPr>
          <w:rFonts w:ascii="Georgia" w:cs="Georgia" w:eastAsia="Georgia" w:hAnsi="Georgia"/>
          <w:color w:val="2C2C2C"/>
          <w:sz w:val="21"/>
          <w:szCs w:val="21"/>
        </w:rPr>
        <w:t xml:space="preserve">A named sub-section with a descriptive title.</w:t>
      </w:r>
    </w:p>
    <w:p>
      <w:pPr>
        <w:pStyle w:val="ListParagraph"/>
        <w:numPr>
          <w:ilvl w:val="0"/>
          <w:numId w:val="2"/>
        </w:numPr>
        <w:spacing w:after="100" w:line="276"/>
      </w:pPr>
      <w:r>
        <w:rPr>
          <w:rFonts w:ascii="Georgia" w:cs="Georgia" w:eastAsia="Georgia" w:hAnsi="Georgia"/>
          <w:color w:val="2C2C2C"/>
          <w:sz w:val="21"/>
          <w:szCs w:val="21"/>
        </w:rPr>
        <w:t xml:space="preserve">A description of the behaviour or cultural dynamic.</w:t>
      </w:r>
    </w:p>
    <w:p>
      <w:pPr>
        <w:pStyle w:val="ListParagraph"/>
        <w:numPr>
          <w:ilvl w:val="0"/>
          <w:numId w:val="2"/>
        </w:numPr>
        <w:spacing w:after="100" w:line="276"/>
      </w:pPr>
      <w:r>
        <w:rPr>
          <w:rFonts w:ascii="Georgia" w:cs="Georgia" w:eastAsia="Georgia" w:hAnsi="Georgia"/>
          <w:color w:val="2C2C2C"/>
          <w:sz w:val="21"/>
          <w:szCs w:val="21"/>
        </w:rPr>
        <w:t xml:space="preserve">An explicit statement of the feedback loop: A leads to B, which reinforces A.</w:t>
      </w:r>
    </w:p>
    <w:p>
      <w:pPr>
        <w:pStyle w:val="ListParagraph"/>
        <w:numPr>
          <w:ilvl w:val="0"/>
          <w:numId w:val="2"/>
        </w:numPr>
        <w:spacing w:after="100" w:line="276"/>
      </w:pPr>
      <w:r>
        <w:rPr>
          <w:rFonts w:ascii="Georgia" w:cs="Georgia" w:eastAsia="Georgia" w:hAnsi="Georgia"/>
          <w:color w:val="2C2C2C"/>
          <w:sz w:val="21"/>
          <w:szCs w:val="21"/>
        </w:rPr>
        <w:t xml:space="preserve">At least one piece of evidence (data point, observed pattern, or cited research).</w:t>
      </w:r>
    </w:p>
    <w:p>
      <w:pPr>
        <w:pStyle w:val="ListParagraph"/>
        <w:numPr>
          <w:ilvl w:val="0"/>
          <w:numId w:val="2"/>
        </w:numPr>
        <w:spacing w:after="100" w:line="276"/>
      </w:pPr>
      <w:r>
        <w:rPr>
          <w:rFonts w:ascii="Georgia" w:cs="Georgia" w:eastAsia="Georgia" w:hAnsi="Georgia"/>
          <w:color w:val="2C2C2C"/>
          <w:sz w:val="21"/>
          <w:szCs w:val="21"/>
        </w:rPr>
        <w:t xml:space="preserve">A connection to commercial impact: how this social lever creates or amplifies commercial demand.</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Social levers must be distinct from the structural forces in Section 2. If a lever is essentially restating a structural force in behavioural language, it should be consolidated into Section 2, not duplicated here.</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Section 4: The Business Levers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are the commercial mechanics that create, sustain, and concentrate revenue within this ecosystem?</w:t>
      </w:r>
    </w:p>
    <w:p>
      <w:pPr>
        <w:spacing w:after="160" w:line="276"/>
        <w:jc w:val="left"/>
      </w:pPr>
      <w:r>
        <w:rPr>
          <w:rFonts w:ascii="Georgia" w:cs="Georgia" w:eastAsia="Georgia" w:hAnsi="Georgia"/>
          <w:color w:val="2C2C2C"/>
          <w:sz w:val="21"/>
          <w:szCs w:val="21"/>
        </w:rPr>
        <w:t xml:space="preserve">This section maps the money. It explains how value is created, exchanged, and captured across the ecosystem. Unlike Section 2 (which explains why the ecosystem exists) and Section 3 (which explains why it grows), Section 4 explains how it monetises.</w:t>
      </w:r>
    </w:p>
    <w:p>
      <w:pPr>
        <w:spacing w:after="120" w:before="200"/>
      </w:pPr>
      <w:r>
        <w:rPr>
          <w:rFonts w:ascii="Georgia" w:cs="Georgia" w:eastAsia="Georgia" w:hAnsi="Georgia"/>
          <w:b/>
          <w:bCs/>
          <w:color w:val="1B2A4A"/>
          <w:sz w:val="22"/>
          <w:szCs w:val="22"/>
        </w:rPr>
        <w:t xml:space="preserve">Required analysis per business lever:</w:t>
      </w:r>
    </w:p>
    <w:p>
      <w:pPr>
        <w:pStyle w:val="ListParagraph"/>
        <w:numPr>
          <w:ilvl w:val="0"/>
          <w:numId w:val="3"/>
        </w:numPr>
        <w:spacing w:after="120" w:line="276"/>
      </w:pPr>
      <w:r>
        <w:rPr>
          <w:rFonts w:ascii="Georgia" w:cs="Georgia" w:eastAsia="Georgia" w:hAnsi="Georgia"/>
          <w:b/>
          <w:bCs/>
          <w:color w:val="1B2A4A"/>
          <w:sz w:val="21"/>
          <w:szCs w:val="21"/>
        </w:rPr>
        <w:t xml:space="preserve">Name the revenue mechanic. </w:t>
      </w:r>
      <w:r>
        <w:rPr>
          <w:rFonts w:ascii="Georgia" w:cs="Georgia" w:eastAsia="Georgia" w:hAnsi="Georgia"/>
          <w:color w:val="2C2C2C"/>
          <w:sz w:val="21"/>
          <w:szCs w:val="21"/>
        </w:rPr>
        <w:t xml:space="preserve">What is the specific commercial mechanism? (e.g., brand-to-creator sponsorship flows, affiliate commission structures, premium content ladders, institutional partnership contracts.)</w:t>
      </w:r>
    </w:p>
    <w:p>
      <w:pPr>
        <w:pStyle w:val="ListParagraph"/>
        <w:numPr>
          <w:ilvl w:val="0"/>
          <w:numId w:val="3"/>
        </w:numPr>
        <w:spacing w:after="120" w:line="276"/>
      </w:pPr>
      <w:r>
        <w:rPr>
          <w:rFonts w:ascii="Georgia" w:cs="Georgia" w:eastAsia="Georgia" w:hAnsi="Georgia"/>
          <w:b/>
          <w:bCs/>
          <w:color w:val="1B2A4A"/>
          <w:sz w:val="21"/>
          <w:szCs w:val="21"/>
        </w:rPr>
        <w:t xml:space="preserve">Quantify the scale. </w:t>
      </w:r>
      <w:r>
        <w:rPr>
          <w:rFonts w:ascii="Georgia" w:cs="Georgia" w:eastAsia="Georgia" w:hAnsi="Georgia"/>
          <w:color w:val="2C2C2C"/>
          <w:sz w:val="21"/>
          <w:szCs w:val="21"/>
        </w:rPr>
        <w:t xml:space="preserve">How large is this revenue stream? What is the growth trajectory? Use specific data: dollar amounts, commission ranges, market projections.</w:t>
      </w:r>
    </w:p>
    <w:p>
      <w:pPr>
        <w:pStyle w:val="ListParagraph"/>
        <w:numPr>
          <w:ilvl w:val="0"/>
          <w:numId w:val="3"/>
        </w:numPr>
        <w:spacing w:after="120" w:line="276"/>
      </w:pPr>
      <w:r>
        <w:rPr>
          <w:rFonts w:ascii="Georgia" w:cs="Georgia" w:eastAsia="Georgia" w:hAnsi="Georgia"/>
          <w:b/>
          <w:bCs/>
          <w:color w:val="1B2A4A"/>
          <w:sz w:val="21"/>
          <w:szCs w:val="21"/>
        </w:rPr>
        <w:t xml:space="preserve">Identify the infrastructure dependency. </w:t>
      </w:r>
      <w:r>
        <w:rPr>
          <w:rFonts w:ascii="Georgia" w:cs="Georgia" w:eastAsia="Georgia" w:hAnsi="Georgia"/>
          <w:color w:val="2C2C2C"/>
          <w:sz w:val="21"/>
          <w:szCs w:val="21"/>
        </w:rPr>
        <w:t xml:space="preserve">What must exist operationally for this revenue mechanic to function? What breaks if that infrastructure is absent?</w:t>
      </w:r>
    </w:p>
    <w:p>
      <w:pPr>
        <w:pStyle w:val="ListParagraph"/>
        <w:numPr>
          <w:ilvl w:val="0"/>
          <w:numId w:val="3"/>
        </w:numPr>
        <w:spacing w:after="120" w:line="276"/>
      </w:pPr>
      <w:r>
        <w:rPr>
          <w:rFonts w:ascii="Georgia" w:cs="Georgia" w:eastAsia="Georgia" w:hAnsi="Georgia"/>
          <w:b/>
          <w:bCs/>
          <w:color w:val="1B2A4A"/>
          <w:sz w:val="21"/>
          <w:szCs w:val="21"/>
        </w:rPr>
        <w:t xml:space="preserve">Map the friction. </w:t>
      </w:r>
      <w:r>
        <w:rPr>
          <w:rFonts w:ascii="Georgia" w:cs="Georgia" w:eastAsia="Georgia" w:hAnsi="Georgia"/>
          <w:color w:val="2C2C2C"/>
          <w:sz w:val="21"/>
          <w:szCs w:val="21"/>
        </w:rPr>
        <w:t xml:space="preserve">Where does this revenue mechanic create operational pain, compliance exposure, or information gaps? The friction is the commercial surface for potential products.</w:t>
      </w:r>
    </w:p>
    <w:p>
      <w:pPr>
        <w:spacing w:after="120" w:before="200"/>
      </w:pPr>
      <w:r>
        <w:rPr>
          <w:rFonts w:ascii="Georgia" w:cs="Georgia" w:eastAsia="Georgia" w:hAnsi="Georgia"/>
          <w:b/>
          <w:bCs/>
          <w:color w:val="1B2A4A"/>
          <w:sz w:val="22"/>
          <w:szCs w:val="22"/>
        </w:rPr>
        <w:t xml:space="preserve">Required closure:</w:t>
      </w:r>
    </w:p>
    <w:p>
      <w:pPr>
        <w:spacing w:after="160" w:line="276"/>
        <w:jc w:val="left"/>
      </w:pPr>
      <w:r>
        <w:rPr>
          <w:rFonts w:ascii="Georgia" w:cs="Georgia" w:eastAsia="Georgia" w:hAnsi="Georgia"/>
          <w:color w:val="2C2C2C"/>
          <w:sz w:val="21"/>
          <w:szCs w:val="21"/>
        </w:rPr>
        <w:t xml:space="preserve">Section 4 must conclude with a subsection on Data Asymmetry — a systematic assessment of what information each participant lacks and needs. This is often the single highest-value observation in the entire analysis, because information gaps are where infrastructure captures the most margin.</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Every business lever must include at least one quantitative data point. Vague assertions (“brands are spending more”) without specific numbers fail the standard. If data is unavailable, the gap must be explicitly flagged as an assumption requiring validation.</w:t>
      </w:r>
    </w:p>
    <w:p>
      <w:pPr>
        <w:pBdr>
          <w:bottom w:val="single" w:color="E8E0D8" w:sz="4" w:space="4"/>
        </w:pBdr>
        <w:spacing w:after="160" w:before="160"/>
      </w:pPr>
      <w:r>
        <w:rPr>
          <w:sz w:val="8"/>
          <w:szCs w:val="8"/>
        </w:rPr>
        <w:t xml:space="preserve"/>
      </w:r>
    </w:p>
    <w:p>
      <w:r>
        <w:br w:type="page"/>
      </w:r>
    </w:p>
    <w:p>
      <w:pPr>
        <w:pStyle w:val="Heading2"/>
        <w:spacing w:after="160" w:before="280"/>
      </w:pPr>
      <w:r>
        <w:rPr>
          <w:rFonts w:ascii="Georgia" w:cs="Georgia" w:eastAsia="Georgia" w:hAnsi="Georgia"/>
          <w:b/>
          <w:bCs/>
          <w:color w:val="3D5A80"/>
          <w:sz w:val="26"/>
          <w:szCs w:val="26"/>
        </w:rPr>
        <w:t xml:space="preserve">Section 5: Downstream Outcomes and Second-Order Effects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Given the forces, social levers, and business levers identified, what predictable outcomes are these dynamics converging toward?</w:t>
      </w:r>
    </w:p>
    <w:p>
      <w:pPr>
        <w:spacing w:after="160" w:line="276"/>
        <w:jc w:val="left"/>
      </w:pPr>
      <w:r>
        <w:rPr>
          <w:rFonts w:ascii="Georgia" w:cs="Georgia" w:eastAsia="Georgia" w:hAnsi="Georgia"/>
          <w:color w:val="2C2C2C"/>
          <w:sz w:val="21"/>
          <w:szCs w:val="21"/>
        </w:rPr>
        <w:t xml:space="preserve">This is the section that distinguishes a rigorous ecosystem analysis from a market description. It applies second-order thinking: if these forces continue on their current trajectory, what happens next?</w:t>
      </w:r>
    </w:p>
    <w:p>
      <w:pPr>
        <w:spacing w:after="120" w:before="200"/>
      </w:pPr>
      <w:r>
        <w:rPr>
          <w:rFonts w:ascii="Georgia" w:cs="Georgia" w:eastAsia="Georgia" w:hAnsi="Georgia"/>
          <w:b/>
          <w:bCs/>
          <w:color w:val="1B2A4A"/>
          <w:sz w:val="22"/>
          <w:szCs w:val="22"/>
        </w:rPr>
        <w:t xml:space="preserve">Outcome identification criteria:</w:t>
      </w:r>
    </w:p>
    <w:p>
      <w:pPr>
        <w:pStyle w:val="ListParagraph"/>
        <w:numPr>
          <w:ilvl w:val="0"/>
          <w:numId w:val="3"/>
        </w:numPr>
        <w:spacing w:after="120" w:line="276"/>
      </w:pPr>
      <w:r>
        <w:rPr>
          <w:rFonts w:ascii="Georgia" w:cs="Georgia" w:eastAsia="Georgia" w:hAnsi="Georgia"/>
          <w:b/>
          <w:bCs/>
          <w:color w:val="1B2A4A"/>
          <w:sz w:val="21"/>
          <w:szCs w:val="21"/>
        </w:rPr>
        <w:t xml:space="preserve">Derivability. </w:t>
      </w:r>
      <w:r>
        <w:rPr>
          <w:rFonts w:ascii="Georgia" w:cs="Georgia" w:eastAsia="Georgia" w:hAnsi="Georgia"/>
          <w:color w:val="2C2C2C"/>
          <w:sz w:val="21"/>
          <w:szCs w:val="21"/>
        </w:rPr>
        <w:t xml:space="preserve">Each outcome must be logically derivable from the forces and levers identified in Sections 2–4. No new forces should be introduced in this section. If an outcome requires a new force to explain it, that force belongs in Section 2.</w:t>
      </w:r>
    </w:p>
    <w:p>
      <w:pPr>
        <w:pStyle w:val="ListParagraph"/>
        <w:numPr>
          <w:ilvl w:val="0"/>
          <w:numId w:val="3"/>
        </w:numPr>
        <w:spacing w:after="120" w:line="276"/>
      </w:pPr>
      <w:r>
        <w:rPr>
          <w:rFonts w:ascii="Georgia" w:cs="Georgia" w:eastAsia="Georgia" w:hAnsi="Georgia"/>
          <w:b/>
          <w:bCs/>
          <w:color w:val="1B2A4A"/>
          <w:sz w:val="21"/>
          <w:szCs w:val="21"/>
        </w:rPr>
        <w:t xml:space="preserve">Predictive specificity. </w:t>
      </w:r>
      <w:r>
        <w:rPr>
          <w:rFonts w:ascii="Georgia" w:cs="Georgia" w:eastAsia="Georgia" w:hAnsi="Georgia"/>
          <w:color w:val="2C2C2C"/>
          <w:sz w:val="21"/>
          <w:szCs w:val="21"/>
        </w:rPr>
        <w:t xml:space="preserve">Outcomes must be specific enough to be falsifiable. “The market will grow” is not an outcome. “Compliance will transition from voluntary best practice to competitive differentiator, enabling compliant participants to command premium commercial terms” is an outcome.</w:t>
      </w:r>
    </w:p>
    <w:p>
      <w:pPr>
        <w:pStyle w:val="ListParagraph"/>
        <w:numPr>
          <w:ilvl w:val="0"/>
          <w:numId w:val="3"/>
        </w:numPr>
        <w:spacing w:after="120" w:line="276"/>
      </w:pPr>
      <w:r>
        <w:rPr>
          <w:rFonts w:ascii="Georgia" w:cs="Georgia" w:eastAsia="Georgia" w:hAnsi="Georgia"/>
          <w:b/>
          <w:bCs/>
          <w:color w:val="1B2A4A"/>
          <w:sz w:val="21"/>
          <w:szCs w:val="21"/>
        </w:rPr>
        <w:t xml:space="preserve">Temporal framing. </w:t>
      </w:r>
      <w:r>
        <w:rPr>
          <w:rFonts w:ascii="Georgia" w:cs="Georgia" w:eastAsia="Georgia" w:hAnsi="Georgia"/>
          <w:color w:val="2C2C2C"/>
          <w:sz w:val="21"/>
          <w:szCs w:val="21"/>
        </w:rPr>
        <w:t xml:space="preserve">Each outcome should indicate a time horizon: near-term (6–12 months), medium-term (12–36 months), or long-term (36+ months). This helps downstream product decisions sequence correctly.</w:t>
      </w:r>
    </w:p>
    <w:p>
      <w:pPr>
        <w:spacing w:after="120" w:before="200"/>
      </w:pPr>
      <w:r>
        <w:rPr>
          <w:rFonts w:ascii="Georgia" w:cs="Georgia" w:eastAsia="Georgia" w:hAnsi="Georgia"/>
          <w:b/>
          <w:bCs/>
          <w:color w:val="1B2A4A"/>
          <w:sz w:val="22"/>
          <w:szCs w:val="22"/>
        </w:rPr>
        <w:t xml:space="preserve">Standard outcome patterns to evaluate:</w:t>
      </w:r>
    </w:p>
    <w:p>
      <w:pPr>
        <w:spacing w:after="160" w:line="276"/>
        <w:jc w:val="left"/>
      </w:pPr>
      <w:r>
        <w:rPr>
          <w:rFonts w:ascii="Georgia" w:cs="Georgia" w:eastAsia="Georgia" w:hAnsi="Georgia"/>
          <w:color w:val="2C2C2C"/>
          <w:sz w:val="21"/>
          <w:szCs w:val="21"/>
        </w:rPr>
        <w:t xml:space="preserve">These are recurring patterns across ecosystems. Not all will apply, but each should be considered:</w:t>
      </w:r>
    </w:p>
    <w:p>
      <w:pPr>
        <w:pStyle w:val="ListParagraph"/>
        <w:numPr>
          <w:ilvl w:val="0"/>
          <w:numId w:val="2"/>
        </w:numPr>
        <w:spacing w:after="100" w:line="276"/>
      </w:pPr>
      <w:r>
        <w:rPr>
          <w:rFonts w:ascii="Georgia" w:cs="Georgia" w:eastAsia="Georgia" w:hAnsi="Georgia"/>
          <w:b/>
          <w:bCs/>
          <w:color w:val="1B2A4A"/>
          <w:sz w:val="21"/>
          <w:szCs w:val="21"/>
        </w:rPr>
        <w:t xml:space="preserve">Compliance-as-moat: </w:t>
      </w:r>
      <w:r>
        <w:rPr>
          <w:rFonts w:ascii="Georgia" w:cs="Georgia" w:eastAsia="Georgia" w:hAnsi="Georgia"/>
          <w:color w:val="2C2C2C"/>
          <w:sz w:val="21"/>
          <w:szCs w:val="21"/>
        </w:rPr>
        <w:t xml:space="preserve">Regulatory requirements convert from cost centres to competitive advantages for participants who solve them early.</w:t>
      </w:r>
    </w:p>
    <w:p>
      <w:pPr>
        <w:pStyle w:val="ListParagraph"/>
        <w:numPr>
          <w:ilvl w:val="0"/>
          <w:numId w:val="2"/>
        </w:numPr>
        <w:spacing w:after="100" w:line="276"/>
      </w:pPr>
      <w:r>
        <w:rPr>
          <w:rFonts w:ascii="Georgia" w:cs="Georgia" w:eastAsia="Georgia" w:hAnsi="Georgia"/>
          <w:b/>
          <w:bCs/>
          <w:color w:val="1B2A4A"/>
          <w:sz w:val="21"/>
          <w:szCs w:val="21"/>
        </w:rPr>
        <w:t xml:space="preserve">Market stratification: </w:t>
      </w:r>
      <w:r>
        <w:rPr>
          <w:rFonts w:ascii="Georgia" w:cs="Georgia" w:eastAsia="Georgia" w:hAnsi="Georgia"/>
          <w:color w:val="2C2C2C"/>
          <w:sz w:val="21"/>
          <w:szCs w:val="21"/>
        </w:rPr>
        <w:t xml:space="preserve">The ecosystem bifurcates into quality/premium and commodity/risk tiers, with the middle hollowing out.</w:t>
      </w:r>
    </w:p>
    <w:p>
      <w:pPr>
        <w:pStyle w:val="ListParagraph"/>
        <w:numPr>
          <w:ilvl w:val="0"/>
          <w:numId w:val="2"/>
        </w:numPr>
        <w:spacing w:after="100" w:line="276"/>
      </w:pPr>
      <w:r>
        <w:rPr>
          <w:rFonts w:ascii="Georgia" w:cs="Georgia" w:eastAsia="Georgia" w:hAnsi="Georgia"/>
          <w:b/>
          <w:bCs/>
          <w:color w:val="1B2A4A"/>
          <w:sz w:val="21"/>
          <w:szCs w:val="21"/>
        </w:rPr>
        <w:t xml:space="preserve">Mid-market gap: </w:t>
      </w:r>
      <w:r>
        <w:rPr>
          <w:rFonts w:ascii="Georgia" w:cs="Georgia" w:eastAsia="Georgia" w:hAnsi="Georgia"/>
          <w:color w:val="2C2C2C"/>
          <w:sz w:val="21"/>
          <w:szCs w:val="21"/>
        </w:rPr>
        <w:t xml:space="preserve">Enterprise solutions serve the top; nothing serves the long tail. The gap widens as requirements increase.</w:t>
      </w:r>
    </w:p>
    <w:p>
      <w:pPr>
        <w:pStyle w:val="ListParagraph"/>
        <w:numPr>
          <w:ilvl w:val="0"/>
          <w:numId w:val="2"/>
        </w:numPr>
        <w:spacing w:after="100" w:line="276"/>
      </w:pPr>
      <w:r>
        <w:rPr>
          <w:rFonts w:ascii="Georgia" w:cs="Georgia" w:eastAsia="Georgia" w:hAnsi="Georgia"/>
          <w:b/>
          <w:bCs/>
          <w:color w:val="1B2A4A"/>
          <w:sz w:val="21"/>
          <w:szCs w:val="21"/>
        </w:rPr>
        <w:t xml:space="preserve">Cross-jurisdictional complexity: </w:t>
      </w:r>
      <w:r>
        <w:rPr>
          <w:rFonts w:ascii="Georgia" w:cs="Georgia" w:eastAsia="Georgia" w:hAnsi="Georgia"/>
          <w:color w:val="2C2C2C"/>
          <w:sz w:val="21"/>
          <w:szCs w:val="21"/>
        </w:rPr>
        <w:t xml:space="preserve">International expansion multiplies compliance, localisation, or operational burdens exponentially.</w:t>
      </w:r>
    </w:p>
    <w:p>
      <w:pPr>
        <w:pStyle w:val="ListParagraph"/>
        <w:numPr>
          <w:ilvl w:val="0"/>
          <w:numId w:val="2"/>
        </w:numPr>
        <w:spacing w:after="100" w:line="276"/>
      </w:pPr>
      <w:r>
        <w:rPr>
          <w:rFonts w:ascii="Georgia" w:cs="Georgia" w:eastAsia="Georgia" w:hAnsi="Georgia"/>
          <w:b/>
          <w:bCs/>
          <w:color w:val="1B2A4A"/>
          <w:sz w:val="21"/>
          <w:szCs w:val="21"/>
        </w:rPr>
        <w:t xml:space="preserve">Channel permanence: </w:t>
      </w:r>
      <w:r>
        <w:rPr>
          <w:rFonts w:ascii="Georgia" w:cs="Georgia" w:eastAsia="Georgia" w:hAnsi="Georgia"/>
          <w:color w:val="2C2C2C"/>
          <w:sz w:val="21"/>
          <w:szCs w:val="21"/>
        </w:rPr>
        <w:t xml:space="preserve">A new distribution or information channel transitions from experimental to structural, and the infrastructure needs compound.</w:t>
      </w:r>
    </w:p>
    <w:p>
      <w:pPr>
        <w:pStyle w:val="ListParagraph"/>
        <w:numPr>
          <w:ilvl w:val="0"/>
          <w:numId w:val="2"/>
        </w:numPr>
        <w:spacing w:after="100" w:line="276"/>
      </w:pPr>
      <w:r>
        <w:rPr>
          <w:rFonts w:ascii="Georgia" w:cs="Georgia" w:eastAsia="Georgia" w:hAnsi="Georgia"/>
          <w:b/>
          <w:bCs/>
          <w:color w:val="1B2A4A"/>
          <w:sz w:val="21"/>
          <w:szCs w:val="21"/>
        </w:rPr>
        <w:t xml:space="preserve">Data primitive emergence: </w:t>
      </w:r>
      <w:r>
        <w:rPr>
          <w:rFonts w:ascii="Georgia" w:cs="Georgia" w:eastAsia="Georgia" w:hAnsi="Georgia"/>
          <w:color w:val="2C2C2C"/>
          <w:sz w:val="21"/>
          <w:szCs w:val="21"/>
        </w:rPr>
        <w:t xml:space="preserve">A single underlying capability (data analysis, content scanning, attribution tracking) is identified that serves multiple surfaces.</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Section 5 must contain a minimum of four distinct outcomes. Each outcome must trace its causal logic back to specific subsections in Sections 2–4 by name. Untethered predictions fail the standard.</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Section 6: The Ecosystem Map</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Where does commercial value concentrate within the ecosystem, and what are the highest-tension interfaces between participants?</w:t>
      </w:r>
    </w:p>
    <w:p>
      <w:pPr>
        <w:spacing w:after="160" w:line="276"/>
        <w:jc w:val="left"/>
      </w:pPr>
      <w:r>
        <w:rPr>
          <w:rFonts w:ascii="Georgia" w:cs="Georgia" w:eastAsia="Georgia" w:hAnsi="Georgia"/>
          <w:color w:val="2C2C2C"/>
          <w:sz w:val="21"/>
          <w:szCs w:val="21"/>
        </w:rPr>
        <w:t xml:space="preserve">This section synthesises Sections 1–5 into a spatial model of where opportunity lives. The primary analytical unit is the interface — the friction point between two ecosystem participants where an unmet need on one side creates a commercial surface on the other.</w:t>
      </w:r>
    </w:p>
    <w:p>
      <w:pPr>
        <w:spacing w:after="120" w:before="200"/>
      </w:pPr>
      <w:r>
        <w:rPr>
          <w:rFonts w:ascii="Georgia" w:cs="Georgia" w:eastAsia="Georgia" w:hAnsi="Georgia"/>
          <w:b/>
          <w:bCs/>
          <w:color w:val="1B2A4A"/>
          <w:sz w:val="22"/>
          <w:szCs w:val="22"/>
        </w:rPr>
        <w:t xml:space="preserve">Interface mapping methodology:</w:t>
      </w:r>
    </w:p>
    <w:p>
      <w:pPr>
        <w:pStyle w:val="ListParagraph"/>
        <w:numPr>
          <w:ilvl w:val="0"/>
          <w:numId w:val="3"/>
        </w:numPr>
        <w:spacing w:after="120" w:line="276"/>
      </w:pPr>
      <w:r>
        <w:rPr>
          <w:rFonts w:ascii="Georgia" w:cs="Georgia" w:eastAsia="Georgia" w:hAnsi="Georgia"/>
          <w:b/>
          <w:bCs/>
          <w:color w:val="1B2A4A"/>
          <w:sz w:val="21"/>
          <w:szCs w:val="21"/>
        </w:rPr>
        <w:t xml:space="preserve">Enumerate participant pairs. </w:t>
      </w:r>
      <w:r>
        <w:rPr>
          <w:rFonts w:ascii="Georgia" w:cs="Georgia" w:eastAsia="Georgia" w:hAnsi="Georgia"/>
          <w:color w:val="2C2C2C"/>
          <w:sz w:val="21"/>
          <w:szCs w:val="21"/>
        </w:rPr>
        <w:t xml:space="preserve">From the participant map in Section 1, list every possible bi-directional pair (e.g., Creator ↔ Regulator, Brand ↔ Creator, Creator ↔ Audience).</w:t>
      </w:r>
    </w:p>
    <w:p>
      <w:pPr>
        <w:pStyle w:val="ListParagraph"/>
        <w:numPr>
          <w:ilvl w:val="0"/>
          <w:numId w:val="3"/>
        </w:numPr>
        <w:spacing w:after="120" w:line="276"/>
      </w:pPr>
      <w:r>
        <w:rPr>
          <w:rFonts w:ascii="Georgia" w:cs="Georgia" w:eastAsia="Georgia" w:hAnsi="Georgia"/>
          <w:b/>
          <w:bCs/>
          <w:color w:val="1B2A4A"/>
          <w:sz w:val="21"/>
          <w:szCs w:val="21"/>
        </w:rPr>
        <w:t xml:space="preserve">Assess tension. </w:t>
      </w:r>
      <w:r>
        <w:rPr>
          <w:rFonts w:ascii="Georgia" w:cs="Georgia" w:eastAsia="Georgia" w:hAnsi="Georgia"/>
          <w:color w:val="2C2C2C"/>
          <w:sz w:val="21"/>
          <w:szCs w:val="21"/>
        </w:rPr>
        <w:t xml:space="preserve">For each pair, ask: is there a meaningful friction, information gap, compliance obligation, or commercial transaction between these participants? If yes, it is an active interface.</w:t>
      </w:r>
    </w:p>
    <w:p>
      <w:pPr>
        <w:pStyle w:val="ListParagraph"/>
        <w:numPr>
          <w:ilvl w:val="0"/>
          <w:numId w:val="3"/>
        </w:numPr>
        <w:spacing w:after="120" w:line="276"/>
      </w:pPr>
      <w:r>
        <w:rPr>
          <w:rFonts w:ascii="Georgia" w:cs="Georgia" w:eastAsia="Georgia" w:hAnsi="Georgia"/>
          <w:b/>
          <w:bCs/>
          <w:color w:val="1B2A4A"/>
          <w:sz w:val="21"/>
          <w:szCs w:val="21"/>
        </w:rPr>
        <w:t xml:space="preserve">Define the gap. </w:t>
      </w:r>
      <w:r>
        <w:rPr>
          <w:rFonts w:ascii="Georgia" w:cs="Georgia" w:eastAsia="Georgia" w:hAnsi="Georgia"/>
          <w:color w:val="2C2C2C"/>
          <w:sz w:val="21"/>
          <w:szCs w:val="21"/>
        </w:rPr>
        <w:t xml:space="preserve">For each active interface, state precisely what is missing: what would need to exist to reduce the tension? This is the infrastructure gap.</w:t>
      </w:r>
    </w:p>
    <w:p>
      <w:pPr>
        <w:pStyle w:val="ListParagraph"/>
        <w:numPr>
          <w:ilvl w:val="0"/>
          <w:numId w:val="3"/>
        </w:numPr>
        <w:spacing w:after="120" w:line="276"/>
      </w:pPr>
      <w:r>
        <w:rPr>
          <w:rFonts w:ascii="Georgia" w:cs="Georgia" w:eastAsia="Georgia" w:hAnsi="Georgia"/>
          <w:b/>
          <w:bCs/>
          <w:color w:val="1B2A4A"/>
          <w:sz w:val="21"/>
          <w:szCs w:val="21"/>
        </w:rPr>
        <w:t xml:space="preserve">Rank by value concentration. </w:t>
      </w:r>
      <w:r>
        <w:rPr>
          <w:rFonts w:ascii="Georgia" w:cs="Georgia" w:eastAsia="Georgia" w:hAnsi="Georgia"/>
          <w:color w:val="2C2C2C"/>
          <w:sz w:val="21"/>
          <w:szCs w:val="21"/>
        </w:rPr>
        <w:t xml:space="preserve">Order the interfaces by the estimated commercial value of solving the gap. Factors: number of participants affected, severity of consequence if unsolved, willingness-to-pay signals.</w:t>
      </w:r>
    </w:p>
    <w:p>
      <w:pPr>
        <w:spacing w:after="120" w:before="200"/>
      </w:pPr>
      <w:r>
        <w:rPr>
          <w:rFonts w:ascii="Georgia" w:cs="Georgia" w:eastAsia="Georgia" w:hAnsi="Georgia"/>
          <w:b/>
          <w:bCs/>
          <w:color w:val="1B2A4A"/>
          <w:sz w:val="22"/>
          <w:szCs w:val="22"/>
        </w:rPr>
        <w:t xml:space="preserve">Required elements per interface:</w:t>
      </w:r>
    </w:p>
    <w:p>
      <w:pPr>
        <w:pStyle w:val="ListParagraph"/>
        <w:numPr>
          <w:ilvl w:val="0"/>
          <w:numId w:val="2"/>
        </w:numPr>
        <w:spacing w:after="100" w:line="276"/>
      </w:pPr>
      <w:r>
        <w:rPr>
          <w:rFonts w:ascii="Georgia" w:cs="Georgia" w:eastAsia="Georgia" w:hAnsi="Georgia"/>
          <w:color w:val="2C2C2C"/>
          <w:sz w:val="21"/>
          <w:szCs w:val="21"/>
        </w:rPr>
        <w:t xml:space="preserve">A named interface (e.g., “Interface 3: Creator ↔ Audience”).</w:t>
      </w:r>
    </w:p>
    <w:p>
      <w:pPr>
        <w:pStyle w:val="ListParagraph"/>
        <w:numPr>
          <w:ilvl w:val="0"/>
          <w:numId w:val="2"/>
        </w:numPr>
        <w:spacing w:after="100" w:line="276"/>
      </w:pPr>
      <w:r>
        <w:rPr>
          <w:rFonts w:ascii="Georgia" w:cs="Georgia" w:eastAsia="Georgia" w:hAnsi="Georgia"/>
          <w:color w:val="2C2C2C"/>
          <w:sz w:val="21"/>
          <w:szCs w:val="21"/>
        </w:rPr>
        <w:t xml:space="preserve">A one-sentence tension statement: what creates friction between these participants.</w:t>
      </w:r>
    </w:p>
    <w:p>
      <w:pPr>
        <w:pStyle w:val="ListParagraph"/>
        <w:numPr>
          <w:ilvl w:val="0"/>
          <w:numId w:val="2"/>
        </w:numPr>
        <w:spacing w:after="100" w:line="276"/>
      </w:pPr>
      <w:r>
        <w:rPr>
          <w:rFonts w:ascii="Georgia" w:cs="Georgia" w:eastAsia="Georgia" w:hAnsi="Georgia"/>
          <w:color w:val="2C2C2C"/>
          <w:sz w:val="21"/>
          <w:szCs w:val="21"/>
        </w:rPr>
        <w:t xml:space="preserve">A one-sentence gap statement: what infrastructure would bridge the gap.</w:t>
      </w:r>
    </w:p>
    <w:p>
      <w:pPr>
        <w:pStyle w:val="ListParagraph"/>
        <w:numPr>
          <w:ilvl w:val="0"/>
          <w:numId w:val="2"/>
        </w:numPr>
        <w:spacing w:after="100" w:line="276"/>
      </w:pPr>
      <w:r>
        <w:rPr>
          <w:rFonts w:ascii="Georgia" w:cs="Georgia" w:eastAsia="Georgia" w:hAnsi="Georgia"/>
          <w:color w:val="2C2C2C"/>
          <w:sz w:val="21"/>
          <w:szCs w:val="21"/>
        </w:rPr>
        <w:t xml:space="preserve">No product recommendations. The gap statement describes the category of solution, not a specific product.</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analysis must identify a minimum of four active interfaces. If the ecosystem has fewer than four meaningful inter-participant friction points, it may be too simple for a standalone analysis.</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Section 7: Synthesis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are the defining properties of this opportunity, stated concisely enough to guide all downstream decisions?</w:t>
      </w:r>
    </w:p>
    <w:p>
      <w:pPr>
        <w:spacing w:after="160" w:line="276"/>
        <w:jc w:val="left"/>
      </w:pPr>
      <w:r>
        <w:rPr>
          <w:rFonts w:ascii="Georgia" w:cs="Georgia" w:eastAsia="Georgia" w:hAnsi="Georgia"/>
          <w:color w:val="2C2C2C"/>
          <w:sz w:val="21"/>
          <w:szCs w:val="21"/>
        </w:rPr>
        <w:t xml:space="preserve">The synthesis distils the entire analysis into a set of named properties that characterise the opportunity. These properties become the reference criteria against which all subsequent product, pricing, distribution, and go-to-market decisions are evaluated.</w:t>
      </w:r>
    </w:p>
    <w:p>
      <w:pPr>
        <w:spacing w:after="120" w:before="200"/>
      </w:pPr>
      <w:r>
        <w:rPr>
          <w:rFonts w:ascii="Georgia" w:cs="Georgia" w:eastAsia="Georgia" w:hAnsi="Georgia"/>
          <w:b/>
          <w:bCs/>
          <w:color w:val="1B2A4A"/>
          <w:sz w:val="22"/>
          <w:szCs w:val="22"/>
        </w:rPr>
        <w:t xml:space="preserve">Required elements:</w:t>
      </w:r>
    </w:p>
    <w:p>
      <w:pPr>
        <w:pStyle w:val="ListParagraph"/>
        <w:numPr>
          <w:ilvl w:val="0"/>
          <w:numId w:val="2"/>
        </w:numPr>
        <w:spacing w:after="100" w:line="276"/>
      </w:pPr>
      <w:r>
        <w:rPr>
          <w:rFonts w:ascii="Georgia" w:cs="Georgia" w:eastAsia="Georgia" w:hAnsi="Georgia"/>
          <w:color w:val="2C2C2C"/>
          <w:sz w:val="21"/>
          <w:szCs w:val="21"/>
        </w:rPr>
        <w:t xml:space="preserve">A numbered list of 4–7 named properties, each consisting of a bold property name and a 2–3 sentence explanation.</w:t>
      </w:r>
    </w:p>
    <w:p>
      <w:pPr>
        <w:pStyle w:val="ListParagraph"/>
        <w:numPr>
          <w:ilvl w:val="0"/>
          <w:numId w:val="2"/>
        </w:numPr>
        <w:spacing w:after="100" w:line="276"/>
      </w:pPr>
      <w:r>
        <w:rPr>
          <w:rFonts w:ascii="Georgia" w:cs="Georgia" w:eastAsia="Georgia" w:hAnsi="Georgia"/>
          <w:color w:val="2C2C2C"/>
          <w:sz w:val="21"/>
          <w:szCs w:val="21"/>
        </w:rPr>
        <w:t xml:space="preserve">A closing callout block that states the opportunity thesis in 3–4 sentences maximum. This callout should be quotable — the statement a reader remembers after putting the document down.</w:t>
      </w:r>
    </w:p>
    <w:p>
      <w:pPr>
        <w:pStyle w:val="ListParagraph"/>
        <w:numPr>
          <w:ilvl w:val="0"/>
          <w:numId w:val="2"/>
        </w:numPr>
        <w:spacing w:after="100" w:line="276"/>
      </w:pPr>
      <w:r>
        <w:rPr>
          <w:rFonts w:ascii="Georgia" w:cs="Georgia" w:eastAsia="Georgia" w:hAnsi="Georgia"/>
          <w:color w:val="2C2C2C"/>
          <w:sz w:val="21"/>
          <w:szCs w:val="21"/>
        </w:rPr>
        <w:t xml:space="preserve">A key metrics reference table summarising the most important quantitative data points from the analysis, with source attribution.</w:t>
      </w:r>
    </w:p>
    <w:p>
      <w:pPr>
        <w:spacing w:after="120" w:before="200"/>
      </w:pPr>
      <w:r>
        <w:rPr>
          <w:rFonts w:ascii="Georgia" w:cs="Georgia" w:eastAsia="Georgia" w:hAnsi="Georgia"/>
          <w:b/>
          <w:bCs/>
          <w:color w:val="1B2A4A"/>
          <w:sz w:val="22"/>
          <w:szCs w:val="22"/>
        </w:rPr>
        <w:t xml:space="preserve">Property naming convention:</w:t>
      </w:r>
    </w:p>
    <w:p>
      <w:pPr>
        <w:spacing w:after="160" w:line="276"/>
        <w:jc w:val="left"/>
      </w:pPr>
      <w:r>
        <w:rPr>
          <w:rFonts w:ascii="Georgia" w:cs="Georgia" w:eastAsia="Georgia" w:hAnsi="Georgia"/>
          <w:color w:val="2C2C2C"/>
          <w:sz w:val="21"/>
          <w:szCs w:val="21"/>
        </w:rPr>
        <w:t xml:space="preserve">Each property should be named with a two-word compound that captures the property’s essence. Examples from the reference analysis: Regulatory Compulsion, Bilateral Demand, Compounding Growth, Infrastructure Deficit, Single Data Primitive. The naming convention should be consistent across all ecosystem analyses for cross-reference utility.</w:t>
      </w:r>
    </w:p>
    <w:p>
      <w:r>
        <w:br w:type="page"/>
      </w:r>
    </w:p>
    <w:p>
      <w:pPr>
        <w:pStyle w:val="Heading1"/>
        <w:spacing w:after="200" w:before="360"/>
      </w:pPr>
      <w:r>
        <w:rPr>
          <w:rFonts w:ascii="Georgia" w:cs="Georgia" w:eastAsia="Georgia" w:hAnsi="Georgia"/>
          <w:b/>
          <w:bCs/>
          <w:color w:val="1B2A4A"/>
          <w:sz w:val="32"/>
          <w:szCs w:val="32"/>
        </w:rPr>
        <w:t xml:space="preserve">Part 3: Research Methodology</w:t>
      </w:r>
    </w:p>
    <w:p>
      <w:pPr>
        <w:pStyle w:val="Heading2"/>
        <w:spacing w:after="160" w:before="280"/>
      </w:pPr>
      <w:r>
        <w:rPr>
          <w:rFonts w:ascii="Georgia" w:cs="Georgia" w:eastAsia="Georgia" w:hAnsi="Georgia"/>
          <w:b/>
          <w:bCs/>
          <w:color w:val="3D5A80"/>
          <w:sz w:val="26"/>
          <w:szCs w:val="26"/>
        </w:rPr>
        <w:t xml:space="preserve">3.1 Source Hierarchy</w:t>
      </w:r>
    </w:p>
    <w:p>
      <w:pPr>
        <w:spacing w:after="160" w:line="276"/>
        <w:jc w:val="left"/>
      </w:pPr>
      <w:r>
        <w:rPr>
          <w:rFonts w:ascii="Georgia" w:cs="Georgia" w:eastAsia="Georgia" w:hAnsi="Georgia"/>
          <w:color w:val="2C2C2C"/>
          <w:sz w:val="21"/>
          <w:szCs w:val="21"/>
        </w:rPr>
        <w:t xml:space="preserve">All claims in an Ecosystem Analysis must be supported by evidence. Sources are ranked by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Tier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Source 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Usage</w:t>
            </w:r>
          </w:p>
        </w:tc>
      </w:tr>
      <w:tr>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Tier 1</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Regulatory filings and enforcement actions</w:t>
            </w:r>
          </w:p>
        </w:tc>
        <w:tc>
          <w:tcPr>
            <w:tcW w:type="dxa" w:w="5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Primary evidence for compliance and regulatory analysis. FINRA, SEC, FCA, IOSCO official publications. Cite directly with case identifiers.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Industry research and surveys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Primary evidence for market sizing and behavioural data. Named surveys from CFA Institute, Sprout Social, Chime, Credit Karma. Cite with methodology date.</w:t>
            </w:r>
          </w:p>
        </w:tc>
      </w:tr>
      <w:tr>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Tier 3</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Financial journalism (CNBC, FT, WSJ, Reuters)</w:t>
            </w:r>
          </w:p>
        </w:tc>
        <w:tc>
          <w:tcPr>
            <w:tcW w:type="dxa" w:w="5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Supporting evidence for market narratives and trend validation. Paraphrase; never reproduce.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Tier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Industry reports and analyst publications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Supporting evidence for projections and benchmarks. Cross-reference across sources.</w:t>
            </w:r>
          </w:p>
        </w:tc>
      </w:tr>
      <w:tr>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Tier 5</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Community signals (Reddit, forums, reviews)</w:t>
            </w:r>
          </w:p>
        </w:tc>
        <w:tc>
          <w:tcPr>
            <w:tcW w:type="dxa" w:w="5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Directional evidence only. Used to validate demand signals, never to establish market size.</w:t>
            </w:r>
          </w:p>
        </w:tc>
      </w:tr>
    </w:tbl>
    <w:p>
      <w:pPr>
        <w:spacing w:after="160" w:line="276"/>
        <w:jc w:val="left"/>
      </w:pPr>
      <w:r>
        <w:rPr>
          <w:rFonts w:ascii="Georgia" w:cs="Georgia" w:eastAsia="Georgia" w:hAnsi="Georgia"/>
          <w:color w:val="2C2C2C"/>
          <w:sz w:val="21"/>
          <w:szCs w:val="21"/>
        </w:rPr>
        <w:t xml:space="preserve"/>
      </w:r>
    </w:p>
    <w:p>
      <w:pPr>
        <w:pStyle w:val="Heading2"/>
        <w:spacing w:after="160" w:before="280"/>
      </w:pPr>
      <w:r>
        <w:rPr>
          <w:rFonts w:ascii="Georgia" w:cs="Georgia" w:eastAsia="Georgia" w:hAnsi="Georgia"/>
          <w:b/>
          <w:bCs/>
          <w:color w:val="3D5A80"/>
          <w:sz w:val="26"/>
          <w:szCs w:val="26"/>
        </w:rPr>
        <w:t xml:space="preserve">3.2 Research Protocol</w:t>
      </w:r>
    </w:p>
    <w:p>
      <w:pPr>
        <w:spacing w:after="160" w:line="276"/>
        <w:jc w:val="left"/>
      </w:pPr>
      <w:r>
        <w:rPr>
          <w:rFonts w:ascii="Georgia" w:cs="Georgia" w:eastAsia="Georgia" w:hAnsi="Georgia"/>
          <w:color w:val="2C2C2C"/>
          <w:sz w:val="21"/>
          <w:szCs w:val="21"/>
        </w:rPr>
        <w:t xml:space="preserve">When commissioning or generating an Ecosystem Analysis, the following research sequence should be executed:</w:t>
      </w:r>
    </w:p>
    <w:p>
      <w:pPr>
        <w:pStyle w:val="ListParagraph"/>
        <w:numPr>
          <w:ilvl w:val="0"/>
          <w:numId w:val="3"/>
        </w:numPr>
        <w:spacing w:after="120" w:line="276"/>
      </w:pPr>
      <w:r>
        <w:rPr>
          <w:rFonts w:ascii="Georgia" w:cs="Georgia" w:eastAsia="Georgia" w:hAnsi="Georgia"/>
          <w:b/>
          <w:bCs/>
          <w:color w:val="1B2A4A"/>
          <w:sz w:val="21"/>
          <w:szCs w:val="21"/>
        </w:rPr>
        <w:t xml:space="preserve">Structural scan. </w:t>
      </w:r>
      <w:r>
        <w:rPr>
          <w:rFonts w:ascii="Georgia" w:cs="Georgia" w:eastAsia="Georgia" w:hAnsi="Georgia"/>
          <w:color w:val="2C2C2C"/>
          <w:sz w:val="21"/>
          <w:szCs w:val="21"/>
        </w:rPr>
        <w:t xml:space="preserve">Search for the phenomenon’s root causes: regulatory changes, demographic shifts, technology enablements, platform dynamics. Prioritise Tier 1 and Tier 2 sources.</w:t>
      </w:r>
    </w:p>
    <w:p>
      <w:pPr>
        <w:pStyle w:val="ListParagraph"/>
        <w:numPr>
          <w:ilvl w:val="0"/>
          <w:numId w:val="3"/>
        </w:numPr>
        <w:spacing w:after="120" w:line="276"/>
      </w:pPr>
      <w:r>
        <w:rPr>
          <w:rFonts w:ascii="Georgia" w:cs="Georgia" w:eastAsia="Georgia" w:hAnsi="Georgia"/>
          <w:b/>
          <w:bCs/>
          <w:color w:val="1B2A4A"/>
          <w:sz w:val="21"/>
          <w:szCs w:val="21"/>
        </w:rPr>
        <w:t xml:space="preserve">Participant identification. </w:t>
      </w:r>
      <w:r>
        <w:rPr>
          <w:rFonts w:ascii="Georgia" w:cs="Georgia" w:eastAsia="Georgia" w:hAnsi="Georgia"/>
          <w:color w:val="2C2C2C"/>
          <w:sz w:val="21"/>
          <w:szCs w:val="21"/>
        </w:rPr>
        <w:t xml:space="preserve">Map every distinct participant type. For each, search for evidence of their unmet needs: complaints, enforcement actions, forum discussions, job postings (which reveal operational gaps).</w:t>
      </w:r>
    </w:p>
    <w:p>
      <w:pPr>
        <w:pStyle w:val="ListParagraph"/>
        <w:numPr>
          <w:ilvl w:val="0"/>
          <w:numId w:val="3"/>
        </w:numPr>
        <w:spacing w:after="120" w:line="276"/>
      </w:pPr>
      <w:r>
        <w:rPr>
          <w:rFonts w:ascii="Georgia" w:cs="Georgia" w:eastAsia="Georgia" w:hAnsi="Georgia"/>
          <w:b/>
          <w:bCs/>
          <w:color w:val="1B2A4A"/>
          <w:sz w:val="21"/>
          <w:szCs w:val="21"/>
        </w:rPr>
        <w:t xml:space="preserve">Capital flow mapping. </w:t>
      </w:r>
      <w:r>
        <w:rPr>
          <w:rFonts w:ascii="Georgia" w:cs="Georgia" w:eastAsia="Georgia" w:hAnsi="Georgia"/>
          <w:color w:val="2C2C2C"/>
          <w:sz w:val="21"/>
          <w:szCs w:val="21"/>
        </w:rPr>
        <w:t xml:space="preserve">Trace how money moves through the ecosystem: sponsorship budgets, affiliate commission structures, subscription economics, institutional partnership values. Quantify every flow.</w:t>
      </w:r>
    </w:p>
    <w:p>
      <w:pPr>
        <w:pStyle w:val="ListParagraph"/>
        <w:numPr>
          <w:ilvl w:val="0"/>
          <w:numId w:val="3"/>
        </w:numPr>
        <w:spacing w:after="120" w:line="276"/>
      </w:pPr>
      <w:r>
        <w:rPr>
          <w:rFonts w:ascii="Georgia" w:cs="Georgia" w:eastAsia="Georgia" w:hAnsi="Georgia"/>
          <w:b/>
          <w:bCs/>
          <w:color w:val="1B2A4A"/>
          <w:sz w:val="21"/>
          <w:szCs w:val="21"/>
        </w:rPr>
        <w:t xml:space="preserve">Regulatory trajectory assessment. </w:t>
      </w:r>
      <w:r>
        <w:rPr>
          <w:rFonts w:ascii="Georgia" w:cs="Georgia" w:eastAsia="Georgia" w:hAnsi="Georgia"/>
          <w:color w:val="2C2C2C"/>
          <w:sz w:val="21"/>
          <w:szCs w:val="21"/>
        </w:rPr>
        <w:t xml:space="preserve">Identify every regulatory body with jurisdiction. Review enforcement history, published guidance, pending legislation, and international coordination (IOSCO-type bodies).</w:t>
      </w:r>
    </w:p>
    <w:p>
      <w:pPr>
        <w:pStyle w:val="ListParagraph"/>
        <w:numPr>
          <w:ilvl w:val="0"/>
          <w:numId w:val="3"/>
        </w:numPr>
        <w:spacing w:after="120" w:line="276"/>
      </w:pPr>
      <w:r>
        <w:rPr>
          <w:rFonts w:ascii="Georgia" w:cs="Georgia" w:eastAsia="Georgia" w:hAnsi="Georgia"/>
          <w:b/>
          <w:bCs/>
          <w:color w:val="1B2A4A"/>
          <w:sz w:val="21"/>
          <w:szCs w:val="21"/>
        </w:rPr>
        <w:t xml:space="preserve">Competitive surface scan. </w:t>
      </w:r>
      <w:r>
        <w:rPr>
          <w:rFonts w:ascii="Georgia" w:cs="Georgia" w:eastAsia="Georgia" w:hAnsi="Georgia"/>
          <w:color w:val="2C2C2C"/>
          <w:sz w:val="21"/>
          <w:szCs w:val="21"/>
        </w:rPr>
        <w:t xml:space="preserve">Identify existing solutions at each friction interface. Assess who they serve (enterprise vs. mid-market vs. individual), how they price, and what they leave unsolved.</w:t>
      </w:r>
    </w:p>
    <w:p>
      <w:pPr>
        <w:pStyle w:val="ListParagraph"/>
        <w:numPr>
          <w:ilvl w:val="0"/>
          <w:numId w:val="3"/>
        </w:numPr>
        <w:spacing w:after="120" w:line="276"/>
      </w:pPr>
      <w:r>
        <w:rPr>
          <w:rFonts w:ascii="Georgia" w:cs="Georgia" w:eastAsia="Georgia" w:hAnsi="Georgia"/>
          <w:b/>
          <w:bCs/>
          <w:color w:val="1B2A4A"/>
          <w:sz w:val="21"/>
          <w:szCs w:val="21"/>
        </w:rPr>
        <w:t xml:space="preserve">Second-order projection. </w:t>
      </w:r>
      <w:r>
        <w:rPr>
          <w:rFonts w:ascii="Georgia" w:cs="Georgia" w:eastAsia="Georgia" w:hAnsi="Georgia"/>
          <w:color w:val="2C2C2C"/>
          <w:sz w:val="21"/>
          <w:szCs w:val="21"/>
        </w:rPr>
        <w:t xml:space="preserve">For each force and lever identified, ask: “If this continues for 12–36 months, what becomes true that is not true today?” Document the logic chain.</w:t>
      </w:r>
    </w:p>
    <w:p>
      <w:pPr>
        <w:pStyle w:val="Heading2"/>
        <w:spacing w:after="160" w:before="280"/>
      </w:pPr>
      <w:r>
        <w:rPr>
          <w:rFonts w:ascii="Georgia" w:cs="Georgia" w:eastAsia="Georgia" w:hAnsi="Georgia"/>
          <w:b/>
          <w:bCs/>
          <w:color w:val="3D5A80"/>
          <w:sz w:val="26"/>
          <w:szCs w:val="26"/>
        </w:rPr>
        <w:t xml:space="preserve">3.3 Evidence Standards</w:t>
      </w:r>
    </w:p>
    <w:p>
      <w:pPr>
        <w:pStyle w:val="ListParagraph"/>
        <w:numPr>
          <w:ilvl w:val="0"/>
          <w:numId w:val="2"/>
        </w:numPr>
        <w:spacing w:after="100" w:line="276"/>
      </w:pPr>
      <w:r>
        <w:rPr>
          <w:rFonts w:ascii="Georgia" w:cs="Georgia" w:eastAsia="Georgia" w:hAnsi="Georgia"/>
          <w:b/>
          <w:bCs/>
          <w:color w:val="1B2A4A"/>
          <w:sz w:val="21"/>
          <w:szCs w:val="21"/>
        </w:rPr>
        <w:t xml:space="preserve">Minimum quantitative evidence: </w:t>
      </w:r>
      <w:r>
        <w:rPr>
          <w:rFonts w:ascii="Georgia" w:cs="Georgia" w:eastAsia="Georgia" w:hAnsi="Georgia"/>
          <w:color w:val="2C2C2C"/>
          <w:sz w:val="21"/>
          <w:szCs w:val="21"/>
        </w:rPr>
        <w:t xml:space="preserve">Each of the seven sections must contain at least two distinct quantitative data points sourced from Tier 1–4 sources. The full document must contain a minimum of 15 unique data points.</w:t>
      </w:r>
    </w:p>
    <w:p>
      <w:pPr>
        <w:pStyle w:val="ListParagraph"/>
        <w:numPr>
          <w:ilvl w:val="0"/>
          <w:numId w:val="2"/>
        </w:numPr>
        <w:spacing w:after="100" w:line="276"/>
      </w:pPr>
      <w:r>
        <w:rPr>
          <w:rFonts w:ascii="Georgia" w:cs="Georgia" w:eastAsia="Georgia" w:hAnsi="Georgia"/>
          <w:b/>
          <w:bCs/>
          <w:color w:val="1B2A4A"/>
          <w:sz w:val="21"/>
          <w:szCs w:val="21"/>
        </w:rPr>
        <w:t xml:space="preserve">Recency requirement: </w:t>
      </w:r>
      <w:r>
        <w:rPr>
          <w:rFonts w:ascii="Georgia" w:cs="Georgia" w:eastAsia="Georgia" w:hAnsi="Georgia"/>
          <w:color w:val="2C2C2C"/>
          <w:sz w:val="21"/>
          <w:szCs w:val="21"/>
        </w:rPr>
        <w:t xml:space="preserve">Market sizing data must be no older than 18 months. Regulatory enforcement data must be no older than 24 months. Behavioural survey data must be no older than 12 months.</w:t>
      </w:r>
    </w:p>
    <w:p>
      <w:pPr>
        <w:pStyle w:val="ListParagraph"/>
        <w:numPr>
          <w:ilvl w:val="0"/>
          <w:numId w:val="2"/>
        </w:numPr>
        <w:spacing w:after="100" w:line="276"/>
      </w:pPr>
      <w:r>
        <w:rPr>
          <w:rFonts w:ascii="Georgia" w:cs="Georgia" w:eastAsia="Georgia" w:hAnsi="Georgia"/>
          <w:b/>
          <w:bCs/>
          <w:color w:val="1B2A4A"/>
          <w:sz w:val="21"/>
          <w:szCs w:val="21"/>
        </w:rPr>
        <w:t xml:space="preserve">Attribution: </w:t>
      </w:r>
      <w:r>
        <w:rPr>
          <w:rFonts w:ascii="Georgia" w:cs="Georgia" w:eastAsia="Georgia" w:hAnsi="Georgia"/>
          <w:color w:val="2C2C2C"/>
          <w:sz w:val="21"/>
          <w:szCs w:val="21"/>
        </w:rPr>
        <w:t xml:space="preserve">All quantitative claims must be attributed via footnotes. The footnote must include: source name, publication date, and methodology (survey, enforcement record, industry report) where known.</w:t>
      </w:r>
    </w:p>
    <w:p>
      <w:pPr>
        <w:pStyle w:val="ListParagraph"/>
        <w:numPr>
          <w:ilvl w:val="0"/>
          <w:numId w:val="2"/>
        </w:numPr>
        <w:spacing w:after="100" w:line="276"/>
      </w:pPr>
      <w:r>
        <w:rPr>
          <w:rFonts w:ascii="Georgia" w:cs="Georgia" w:eastAsia="Georgia" w:hAnsi="Georgia"/>
          <w:b/>
          <w:bCs/>
          <w:color w:val="1B2A4A"/>
          <w:sz w:val="21"/>
          <w:szCs w:val="21"/>
        </w:rPr>
        <w:t xml:space="preserve">Assumption flagging: </w:t>
      </w:r>
      <w:r>
        <w:rPr>
          <w:rFonts w:ascii="Georgia" w:cs="Georgia" w:eastAsia="Georgia" w:hAnsi="Georgia"/>
          <w:color w:val="2C2C2C"/>
          <w:sz w:val="21"/>
          <w:szCs w:val="21"/>
        </w:rPr>
        <w:t xml:space="preserve">Any claim that cannot be substantiated with Tier 1–4 evidence must be explicitly labelled as an assumption and flagged for subsequent validation.</w:t>
      </w:r>
    </w:p>
    <w:p>
      <w:r>
        <w:br w:type="page"/>
      </w:r>
    </w:p>
    <w:p>
      <w:pPr>
        <w:pStyle w:val="Heading1"/>
        <w:spacing w:after="200" w:before="360"/>
      </w:pPr>
      <w:r>
        <w:rPr>
          <w:rFonts w:ascii="Georgia" w:cs="Georgia" w:eastAsia="Georgia" w:hAnsi="Georgia"/>
          <w:b/>
          <w:bCs/>
          <w:color w:val="1B2A4A"/>
          <w:sz w:val="32"/>
          <w:szCs w:val="32"/>
        </w:rPr>
        <w:t xml:space="preserve">Part 4: Analytical Frameworks</w:t>
      </w:r>
    </w:p>
    <w:p>
      <w:pPr>
        <w:spacing w:after="160" w:line="276"/>
        <w:jc w:val="left"/>
      </w:pPr>
      <w:r>
        <w:rPr>
          <w:rFonts w:ascii="Georgia" w:cs="Georgia" w:eastAsia="Georgia" w:hAnsi="Georgia"/>
          <w:color w:val="2C2C2C"/>
          <w:sz w:val="21"/>
          <w:szCs w:val="21"/>
        </w:rPr>
        <w:t xml:space="preserve">The following frameworks are mandatory tools applied during the analysis process. They need not all appear in the final document, but the analysis must demonstrate their application through its conclusions.</w:t>
      </w:r>
    </w:p>
    <w:p>
      <w:pPr>
        <w:pStyle w:val="Heading2"/>
        <w:spacing w:after="160" w:before="280"/>
      </w:pPr>
      <w:r>
        <w:rPr>
          <w:rFonts w:ascii="Georgia" w:cs="Georgia" w:eastAsia="Georgia" w:hAnsi="Georgia"/>
          <w:b/>
          <w:bCs/>
          <w:color w:val="3D5A80"/>
          <w:sz w:val="26"/>
          <w:szCs w:val="26"/>
        </w:rPr>
        <w:t xml:space="preserve">4.1 The Closed-Loop Test</w:t>
      </w:r>
    </w:p>
    <w:p>
      <w:pPr>
        <w:spacing w:after="160" w:line="276"/>
        <w:jc w:val="left"/>
      </w:pPr>
      <w:r>
        <w:rPr>
          <w:rFonts w:ascii="Georgia" w:cs="Georgia" w:eastAsia="Georgia" w:hAnsi="Georgia"/>
          <w:color w:val="2C2C2C"/>
          <w:sz w:val="21"/>
          <w:szCs w:val="21"/>
        </w:rPr>
        <w:t xml:space="preserve">For every ecosystem, the analysis must demonstrate that the participants form a closed loop: each participant’s behaviour affects the others, and a failure at any node cascades. If the participants are independent actors whose actions do not affect each other, this is a market segment, not an ecosystem, and a different analytical format is appropriate.</w:t>
      </w:r>
    </w:p>
    <w:p>
      <w:pPr>
        <w:pBdr>
          <w:left w:val="single" w:color="E07A5F" w:sz="12" w:space="8"/>
        </w:pBdr>
        <w:spacing w:after="200" w:before="200"/>
        <w:ind w:left="360" w:right="360"/>
      </w:pPr>
      <w:r>
        <w:rPr>
          <w:rFonts w:ascii="Georgia" w:cs="Georgia" w:eastAsia="Georgia" w:hAnsi="Georgia"/>
          <w:i/>
          <w:iCs/>
          <w:color w:val="3D5A80"/>
          <w:sz w:val="21"/>
          <w:szCs w:val="21"/>
        </w:rPr>
        <w:t xml:space="preserve">Test: Remove one participant type entirely from the model. If the remaining ecosystem functions unchanged, the removed participant was not a true ecosystem member. If the ecosystem degrades, the participant belongs. Every participant in the Section 1 map must pass this test.</w:t>
      </w:r>
    </w:p>
    <w:p>
      <w:pPr>
        <w:pStyle w:val="Heading2"/>
        <w:spacing w:after="160" w:before="280"/>
      </w:pPr>
      <w:r>
        <w:rPr>
          <w:rFonts w:ascii="Georgia" w:cs="Georgia" w:eastAsia="Georgia" w:hAnsi="Georgia"/>
          <w:b/>
          <w:bCs/>
          <w:color w:val="3D5A80"/>
          <w:sz w:val="26"/>
          <w:szCs w:val="26"/>
        </w:rPr>
        <w:t xml:space="preserve">4.2 The Reversibility Test</w:t>
      </w:r>
    </w:p>
    <w:p>
      <w:pPr>
        <w:spacing w:after="160" w:line="276"/>
        <w:jc w:val="left"/>
      </w:pPr>
      <w:r>
        <w:rPr>
          <w:rFonts w:ascii="Georgia" w:cs="Georgia" w:eastAsia="Georgia" w:hAnsi="Georgia"/>
          <w:color w:val="2C2C2C"/>
          <w:sz w:val="21"/>
          <w:szCs w:val="21"/>
        </w:rPr>
        <w:t xml:space="preserve">For every structural force in Section 2, apply the reversibility test: “What specific event or decision would need to occur to eliminate this force?” If the answer is plausible and singular (one regulation, one platform decision, one cultural shift), the force is fragile and should be flagged. If elimination requires multiple simultaneous reversals, the force is durable.</w:t>
      </w:r>
    </w:p>
    <w:p>
      <w:pPr>
        <w:pStyle w:val="Heading2"/>
        <w:spacing w:after="160" w:before="280"/>
      </w:pPr>
      <w:r>
        <w:rPr>
          <w:rFonts w:ascii="Georgia" w:cs="Georgia" w:eastAsia="Georgia" w:hAnsi="Georgia"/>
          <w:b/>
          <w:bCs/>
          <w:color w:val="3D5A80"/>
          <w:sz w:val="26"/>
          <w:szCs w:val="26"/>
        </w:rPr>
        <w:t xml:space="preserve">4.3 The Feedback Loop Audit</w:t>
      </w:r>
    </w:p>
    <w:p>
      <w:pPr>
        <w:spacing w:after="160" w:line="276"/>
        <w:jc w:val="left"/>
      </w:pPr>
      <w:r>
        <w:rPr>
          <w:rFonts w:ascii="Georgia" w:cs="Georgia" w:eastAsia="Georgia" w:hAnsi="Georgia"/>
          <w:color w:val="2C2C2C"/>
          <w:sz w:val="21"/>
          <w:szCs w:val="21"/>
        </w:rPr>
        <w:t xml:space="preserve">For every social lever in Section 3, map the feedback loop explicitly using this template:</w:t>
      </w:r>
    </w:p>
    <w:p>
      <w:pPr>
        <w:pBdr>
          <w:left w:val="single" w:color="E07A5F" w:sz="12" w:space="8"/>
        </w:pBdr>
        <w:spacing w:after="200" w:before="200"/>
        <w:ind w:left="360" w:right="360"/>
      </w:pPr>
      <w:r>
        <w:rPr>
          <w:rFonts w:ascii="Georgia" w:cs="Georgia" w:eastAsia="Georgia" w:hAnsi="Georgia"/>
          <w:i/>
          <w:iCs/>
          <w:color w:val="3D5A80"/>
          <w:sz w:val="21"/>
          <w:szCs w:val="21"/>
        </w:rPr>
        <w:t xml:space="preserve">[Behaviour A] leads to [Outcome B], which increases [Condition C], which reinforces [Behaviour A].</w:t>
      </w:r>
    </w:p>
    <w:p>
      <w:pPr>
        <w:spacing w:after="160" w:line="276"/>
        <w:jc w:val="left"/>
      </w:pPr>
      <w:r>
        <w:rPr>
          <w:rFonts w:ascii="Georgia" w:cs="Georgia" w:eastAsia="Georgia" w:hAnsi="Georgia"/>
          <w:color w:val="2C2C2C"/>
          <w:sz w:val="21"/>
          <w:szCs w:val="21"/>
        </w:rPr>
        <w:t xml:space="preserve">If the loop cannot be completed — if the chain does not return to its starting point — the dynamic is linear, not self-reinforcing, and does not qualify as a social lever. It may still be relevant (include it in Section 2 as a structural force), but it should not be presented as a compounding dynamic.</w:t>
      </w:r>
    </w:p>
    <w:p>
      <w:pPr>
        <w:pStyle w:val="Heading2"/>
        <w:spacing w:after="160" w:before="280"/>
      </w:pPr>
      <w:r>
        <w:rPr>
          <w:rFonts w:ascii="Georgia" w:cs="Georgia" w:eastAsia="Georgia" w:hAnsi="Georgia"/>
          <w:b/>
          <w:bCs/>
          <w:color w:val="3D5A80"/>
          <w:sz w:val="26"/>
          <w:szCs w:val="26"/>
        </w:rPr>
        <w:t xml:space="preserve">4.4 The Infrastructure Gap Matrix</w:t>
      </w:r>
    </w:p>
    <w:p>
      <w:pPr>
        <w:spacing w:after="160" w:line="276"/>
        <w:jc w:val="left"/>
      </w:pPr>
      <w:r>
        <w:rPr>
          <w:rFonts w:ascii="Georgia" w:cs="Georgia" w:eastAsia="Georgia" w:hAnsi="Georgia"/>
          <w:color w:val="2C2C2C"/>
          <w:sz w:val="21"/>
          <w:szCs w:val="21"/>
        </w:rPr>
        <w:t xml:space="preserve">For each interface identified in Section 6, classify the current state of infrastructure along two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Solution Exists at Scale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No Solution at Scale</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High Willingness-to-Pay</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Red Ocean: Compete on differentiation or price. Low priority for new entrants.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Blue Ocean: Highest priority. Validated demand + infrastructure vacuum = immediate opportunity.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Low / Unvalidated WTP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Commodity: Avoid unless the existing solutions are critically flawed.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Speculative: Requires demand validation before investment. Interesting but unproven.</w:t>
            </w:r>
          </w:p>
        </w:tc>
      </w:tr>
    </w:tbl>
    <w:p>
      <w:pPr>
        <w:spacing w:after="160" w:line="276"/>
        <w:jc w:val="left"/>
      </w:pPr>
      <w:r>
        <w:rPr>
          <w:rFonts w:ascii="Georgia" w:cs="Georgia" w:eastAsia="Georgia" w:hAnsi="Georgia"/>
          <w:color w:val="2C2C2C"/>
          <w:sz w:val="21"/>
          <w:szCs w:val="21"/>
        </w:rPr>
        <w:t xml:space="preserve"/>
      </w:r>
    </w:p>
    <w:p>
      <w:pPr>
        <w:spacing w:after="160" w:line="276"/>
        <w:jc w:val="left"/>
      </w:pPr>
      <w:r>
        <w:rPr>
          <w:rFonts w:ascii="Georgia" w:cs="Georgia" w:eastAsia="Georgia" w:hAnsi="Georgia"/>
          <w:color w:val="2C2C2C"/>
          <w:sz w:val="21"/>
          <w:szCs w:val="21"/>
        </w:rPr>
        <w:t xml:space="preserve">Interfaces classified as Blue Ocean in this matrix should be highlighted as primary opportunity zones in the Section 6 ranking.</w:t>
      </w:r>
    </w:p>
    <w:p>
      <w:pPr>
        <w:pStyle w:val="Heading2"/>
        <w:spacing w:after="160" w:before="280"/>
      </w:pPr>
      <w:r>
        <w:rPr>
          <w:rFonts w:ascii="Georgia" w:cs="Georgia" w:eastAsia="Georgia" w:hAnsi="Georgia"/>
          <w:b/>
          <w:bCs/>
          <w:color w:val="3D5A80"/>
          <w:sz w:val="26"/>
          <w:szCs w:val="26"/>
        </w:rPr>
        <w:t xml:space="preserve">4.5 The Single Primitive Test</w:t>
      </w:r>
    </w:p>
    <w:p>
      <w:pPr>
        <w:spacing w:after="160" w:line="276"/>
        <w:jc w:val="left"/>
      </w:pPr>
      <w:r>
        <w:rPr>
          <w:rFonts w:ascii="Georgia" w:cs="Georgia" w:eastAsia="Georgia" w:hAnsi="Georgia"/>
          <w:color w:val="2C2C2C"/>
          <w:sz w:val="21"/>
          <w:szCs w:val="21"/>
        </w:rPr>
        <w:t xml:space="preserve">Before closing the analysis, ask: “Is there a single underlying capability that, if built, would serve multiple interfaces identified in Section 6?” If yes, name it explicitly in the Section 7 synthesis. This is the compound opportunity — the one engine with multiple surfaces. It is often the most valuable strategic insight in the entire document.</w:t>
      </w:r>
    </w:p>
    <w:p>
      <w:r>
        <w:br w:type="page"/>
      </w:r>
    </w:p>
    <w:p>
      <w:pPr>
        <w:pStyle w:val="Heading1"/>
        <w:spacing w:after="200" w:before="360"/>
      </w:pPr>
      <w:r>
        <w:rPr>
          <w:rFonts w:ascii="Georgia" w:cs="Georgia" w:eastAsia="Georgia" w:hAnsi="Georgia"/>
          <w:b/>
          <w:bCs/>
          <w:color w:val="1B2A4A"/>
          <w:sz w:val="32"/>
          <w:szCs w:val="32"/>
        </w:rPr>
        <w:t xml:space="preserve">Part 5: Formatting and Presentation Standards</w:t>
      </w:r>
    </w:p>
    <w:p>
      <w:pPr>
        <w:pStyle w:val="Heading2"/>
        <w:spacing w:after="160" w:before="280"/>
      </w:pPr>
      <w:r>
        <w:rPr>
          <w:rFonts w:ascii="Georgia" w:cs="Georgia" w:eastAsia="Georgia" w:hAnsi="Georgia"/>
          <w:b/>
          <w:bCs/>
          <w:color w:val="3D5A80"/>
          <w:sz w:val="26"/>
          <w:szCs w:val="26"/>
        </w:rPr>
        <w:t xml:space="preserve">5.1 Document Identity</w:t>
      </w:r>
    </w:p>
    <w:p>
      <w:pPr>
        <w:spacing w:after="160" w:line="276"/>
        <w:jc w:val="left"/>
      </w:pPr>
      <w:r>
        <w:rPr>
          <w:rFonts w:ascii="Georgia" w:cs="Georgia" w:eastAsia="Georgia" w:hAnsi="Georgia"/>
          <w:color w:val="2C2C2C"/>
          <w:sz w:val="21"/>
          <w:szCs w:val="21"/>
        </w:rPr>
        <w:t xml:space="preserve">Every Ecosystem Analysis must follow these presentation conventions:</w:t>
      </w:r>
    </w:p>
    <w:p>
      <w:pPr>
        <w:pStyle w:val="ListParagraph"/>
        <w:numPr>
          <w:ilvl w:val="0"/>
          <w:numId w:val="2"/>
        </w:numPr>
        <w:spacing w:after="100" w:line="276"/>
      </w:pPr>
      <w:r>
        <w:rPr>
          <w:rFonts w:ascii="Georgia" w:cs="Georgia" w:eastAsia="Georgia" w:hAnsi="Georgia"/>
          <w:b/>
          <w:bCs/>
          <w:color w:val="1B2A4A"/>
          <w:sz w:val="21"/>
          <w:szCs w:val="21"/>
        </w:rPr>
        <w:t xml:space="preserve">Title format: </w:t>
      </w:r>
      <w:r>
        <w:rPr>
          <w:rFonts w:ascii="Georgia" w:cs="Georgia" w:eastAsia="Georgia" w:hAnsi="Georgia"/>
          <w:color w:val="2C2C2C"/>
          <w:sz w:val="21"/>
          <w:szCs w:val="21"/>
        </w:rPr>
        <w:t xml:space="preserve">“The [Ecosystem Name]: An Ecosystem Analysis”</w:t>
      </w:r>
    </w:p>
    <w:p>
      <w:pPr>
        <w:pStyle w:val="ListParagraph"/>
        <w:numPr>
          <w:ilvl w:val="0"/>
          <w:numId w:val="2"/>
        </w:numPr>
        <w:spacing w:after="100" w:line="276"/>
      </w:pPr>
      <w:r>
        <w:rPr>
          <w:rFonts w:ascii="Georgia" w:cs="Georgia" w:eastAsia="Georgia" w:hAnsi="Georgia"/>
          <w:b/>
          <w:bCs/>
          <w:color w:val="1B2A4A"/>
          <w:sz w:val="21"/>
          <w:szCs w:val="21"/>
        </w:rPr>
        <w:t xml:space="preserve">Subtitle: </w:t>
      </w:r>
      <w:r>
        <w:rPr>
          <w:rFonts w:ascii="Georgia" w:cs="Georgia" w:eastAsia="Georgia" w:hAnsi="Georgia"/>
          <w:color w:val="2C2C2C"/>
          <w:sz w:val="21"/>
          <w:szCs w:val="21"/>
        </w:rPr>
        <w:t xml:space="preserve">A one-sentence statement of what the analysis covers, not what it concludes.</w:t>
      </w:r>
    </w:p>
    <w:p>
      <w:pPr>
        <w:pStyle w:val="ListParagraph"/>
        <w:numPr>
          <w:ilvl w:val="0"/>
          <w:numId w:val="2"/>
        </w:numPr>
        <w:spacing w:after="100" w:line="276"/>
      </w:pPr>
      <w:r>
        <w:rPr>
          <w:rFonts w:ascii="Georgia" w:cs="Georgia" w:eastAsia="Georgia" w:hAnsi="Georgia"/>
          <w:b/>
          <w:bCs/>
          <w:color w:val="1B2A4A"/>
          <w:sz w:val="21"/>
          <w:szCs w:val="21"/>
        </w:rPr>
        <w:t xml:space="preserve">Title page elements: </w:t>
      </w:r>
      <w:r>
        <w:rPr>
          <w:rFonts w:ascii="Georgia" w:cs="Georgia" w:eastAsia="Georgia" w:hAnsi="Georgia"/>
          <w:color w:val="2C2C2C"/>
          <w:sz w:val="21"/>
          <w:szCs w:val="21"/>
        </w:rPr>
        <w:t xml:space="preserve">Title, subtitle, confidentiality marker, date, version number.</w:t>
      </w:r>
    </w:p>
    <w:p>
      <w:pPr>
        <w:pStyle w:val="ListParagraph"/>
        <w:numPr>
          <w:ilvl w:val="0"/>
          <w:numId w:val="2"/>
        </w:numPr>
        <w:spacing w:after="100" w:line="276"/>
      </w:pPr>
      <w:r>
        <w:rPr>
          <w:rFonts w:ascii="Georgia" w:cs="Georgia" w:eastAsia="Georgia" w:hAnsi="Georgia"/>
          <w:b/>
          <w:bCs/>
          <w:color w:val="1B2A4A"/>
          <w:sz w:val="21"/>
          <w:szCs w:val="21"/>
        </w:rPr>
        <w:t xml:space="preserve">Headers: </w:t>
      </w:r>
      <w:r>
        <w:rPr>
          <w:rFonts w:ascii="Georgia" w:cs="Georgia" w:eastAsia="Georgia" w:hAnsi="Georgia"/>
          <w:color w:val="2C2C2C"/>
          <w:sz w:val="21"/>
          <w:szCs w:val="21"/>
        </w:rPr>
        <w:t xml:space="preserve">Running header on every page with document title and date. Page numbers centred in footer.</w:t>
      </w:r>
    </w:p>
    <w:p>
      <w:pPr>
        <w:pStyle w:val="Heading2"/>
        <w:spacing w:after="160" w:before="280"/>
      </w:pPr>
      <w:r>
        <w:rPr>
          <w:rFonts w:ascii="Georgia" w:cs="Georgia" w:eastAsia="Georgia" w:hAnsi="Georgia"/>
          <w:b/>
          <w:bCs/>
          <w:color w:val="3D5A80"/>
          <w:sz w:val="26"/>
          <w:szCs w:val="26"/>
        </w:rPr>
        <w:t xml:space="preserve">5.2 Typography and Tone</w:t>
      </w:r>
    </w:p>
    <w:p>
      <w:pPr>
        <w:pStyle w:val="ListParagraph"/>
        <w:numPr>
          <w:ilvl w:val="0"/>
          <w:numId w:val="2"/>
        </w:numPr>
        <w:spacing w:after="100" w:line="276"/>
      </w:pPr>
      <w:r>
        <w:rPr>
          <w:rFonts w:ascii="Georgia" w:cs="Georgia" w:eastAsia="Georgia" w:hAnsi="Georgia"/>
          <w:b/>
          <w:bCs/>
          <w:color w:val="1B2A4A"/>
          <w:sz w:val="21"/>
          <w:szCs w:val="21"/>
        </w:rPr>
        <w:t xml:space="preserve">Typeface: </w:t>
      </w:r>
      <w:r>
        <w:rPr>
          <w:rFonts w:ascii="Georgia" w:cs="Georgia" w:eastAsia="Georgia" w:hAnsi="Georgia"/>
          <w:color w:val="2C2C2C"/>
          <w:sz w:val="21"/>
          <w:szCs w:val="21"/>
        </w:rPr>
        <w:t xml:space="preserve">Georgia or equivalent serif for body text. Consistency throughout.</w:t>
      </w:r>
    </w:p>
    <w:p>
      <w:pPr>
        <w:pStyle w:val="ListParagraph"/>
        <w:numPr>
          <w:ilvl w:val="0"/>
          <w:numId w:val="2"/>
        </w:numPr>
        <w:spacing w:after="100" w:line="276"/>
      </w:pPr>
      <w:r>
        <w:rPr>
          <w:rFonts w:ascii="Georgia" w:cs="Georgia" w:eastAsia="Georgia" w:hAnsi="Georgia"/>
          <w:b/>
          <w:bCs/>
          <w:color w:val="1B2A4A"/>
          <w:sz w:val="21"/>
          <w:szCs w:val="21"/>
        </w:rPr>
        <w:t xml:space="preserve">Body size: </w:t>
      </w:r>
      <w:r>
        <w:rPr>
          <w:rFonts w:ascii="Georgia" w:cs="Georgia" w:eastAsia="Georgia" w:hAnsi="Georgia"/>
          <w:color w:val="2C2C2C"/>
          <w:sz w:val="21"/>
          <w:szCs w:val="21"/>
        </w:rPr>
        <w:t xml:space="preserve">10.5pt body text, 16pt Section headers (H1), 13pt Sub-section headers (H2), 11pt minor headers (H3).</w:t>
      </w:r>
    </w:p>
    <w:p>
      <w:pPr>
        <w:pStyle w:val="ListParagraph"/>
        <w:numPr>
          <w:ilvl w:val="0"/>
          <w:numId w:val="2"/>
        </w:numPr>
        <w:spacing w:after="100" w:line="276"/>
      </w:pPr>
      <w:r>
        <w:rPr>
          <w:rFonts w:ascii="Georgia" w:cs="Georgia" w:eastAsia="Georgia" w:hAnsi="Georgia"/>
          <w:b/>
          <w:bCs/>
          <w:color w:val="1B2A4A"/>
          <w:sz w:val="21"/>
          <w:szCs w:val="21"/>
        </w:rPr>
        <w:t xml:space="preserve">Colour palette: </w:t>
      </w:r>
      <w:r>
        <w:rPr>
          <w:rFonts w:ascii="Georgia" w:cs="Georgia" w:eastAsia="Georgia" w:hAnsi="Georgia"/>
          <w:color w:val="2C2C2C"/>
          <w:sz w:val="21"/>
          <w:szCs w:val="21"/>
        </w:rPr>
        <w:t xml:space="preserve">Navy for primary headers and emphasis labels. Slate/grey for secondary text and sub-headers. An accent colour for callout borders and key statistics. Light backgrounds for alternating table rows.</w:t>
      </w:r>
    </w:p>
    <w:p>
      <w:pPr>
        <w:pStyle w:val="ListParagraph"/>
        <w:numPr>
          <w:ilvl w:val="0"/>
          <w:numId w:val="2"/>
        </w:numPr>
        <w:spacing w:after="100" w:line="276"/>
      </w:pPr>
      <w:r>
        <w:rPr>
          <w:rFonts w:ascii="Georgia" w:cs="Georgia" w:eastAsia="Georgia" w:hAnsi="Georgia"/>
          <w:b/>
          <w:bCs/>
          <w:color w:val="1B2A4A"/>
          <w:sz w:val="21"/>
          <w:szCs w:val="21"/>
        </w:rPr>
        <w:t xml:space="preserve">Tone: </w:t>
      </w:r>
      <w:r>
        <w:rPr>
          <w:rFonts w:ascii="Georgia" w:cs="Georgia" w:eastAsia="Georgia" w:hAnsi="Georgia"/>
          <w:color w:val="2C2C2C"/>
          <w:sz w:val="21"/>
          <w:szCs w:val="21"/>
        </w:rPr>
        <w:t xml:space="preserve">Analytical, direct, causal. Write in active voice. State conclusions before reasoning. Avoid hedging language (“perhaps,” “it could be argued”). When uncertain, state the uncertainty explicitly: “Data is insufficient to confirm; this is flagged as an assumption.”</w:t>
      </w:r>
    </w:p>
    <w:p>
      <w:pPr>
        <w:pStyle w:val="Heading2"/>
        <w:spacing w:after="160" w:before="280"/>
      </w:pPr>
      <w:r>
        <w:rPr>
          <w:rFonts w:ascii="Georgia" w:cs="Georgia" w:eastAsia="Georgia" w:hAnsi="Georgia"/>
          <w:b/>
          <w:bCs/>
          <w:color w:val="3D5A80"/>
          <w:sz w:val="26"/>
          <w:szCs w:val="26"/>
        </w:rPr>
        <w:t xml:space="preserve">5.3 Structural Elements</w:t>
      </w:r>
    </w:p>
    <w:p>
      <w:pPr>
        <w:pStyle w:val="ListParagraph"/>
        <w:numPr>
          <w:ilvl w:val="0"/>
          <w:numId w:val="2"/>
        </w:numPr>
        <w:spacing w:after="100" w:line="276"/>
      </w:pPr>
      <w:r>
        <w:rPr>
          <w:rFonts w:ascii="Georgia" w:cs="Georgia" w:eastAsia="Georgia" w:hAnsi="Georgia"/>
          <w:b/>
          <w:bCs/>
          <w:color w:val="1B2A4A"/>
          <w:sz w:val="21"/>
          <w:szCs w:val="21"/>
        </w:rPr>
        <w:t xml:space="preserve">Callout blocks: </w:t>
      </w:r>
      <w:r>
        <w:rPr>
          <w:rFonts w:ascii="Georgia" w:cs="Georgia" w:eastAsia="Georgia" w:hAnsi="Georgia"/>
          <w:color w:val="2C2C2C"/>
          <w:sz w:val="21"/>
          <w:szCs w:val="21"/>
        </w:rPr>
        <w:t xml:space="preserve">Used for three purposes only: (a) anchor statistics that establish scale, (b) opportunity thesis statements, (c) quality gate warnings. Formatted with a coloured left border and italic text.</w:t>
      </w:r>
    </w:p>
    <w:p>
      <w:pPr>
        <w:pStyle w:val="ListParagraph"/>
        <w:numPr>
          <w:ilvl w:val="0"/>
          <w:numId w:val="2"/>
        </w:numPr>
        <w:spacing w:after="100" w:line="276"/>
      </w:pPr>
      <w:r>
        <w:rPr>
          <w:rFonts w:ascii="Georgia" w:cs="Georgia" w:eastAsia="Georgia" w:hAnsi="Georgia"/>
          <w:b/>
          <w:bCs/>
          <w:color w:val="1B2A4A"/>
          <w:sz w:val="21"/>
          <w:szCs w:val="21"/>
        </w:rPr>
        <w:t xml:space="preserve">Tables: </w:t>
      </w:r>
      <w:r>
        <w:rPr>
          <w:rFonts w:ascii="Georgia" w:cs="Georgia" w:eastAsia="Georgia" w:hAnsi="Georgia"/>
          <w:color w:val="2C2C2C"/>
          <w:sz w:val="21"/>
          <w:szCs w:val="21"/>
        </w:rPr>
        <w:t xml:space="preserve">Used for participant maps, force category references, metrics summaries, and classification matrices. Never decorative. Every table must convey structured information that would be less clear in prose.</w:t>
      </w:r>
    </w:p>
    <w:p>
      <w:pPr>
        <w:pStyle w:val="ListParagraph"/>
        <w:numPr>
          <w:ilvl w:val="0"/>
          <w:numId w:val="2"/>
        </w:numPr>
        <w:spacing w:after="100" w:line="276"/>
      </w:pPr>
      <w:r>
        <w:rPr>
          <w:rFonts w:ascii="Georgia" w:cs="Georgia" w:eastAsia="Georgia" w:hAnsi="Georgia"/>
          <w:b/>
          <w:bCs/>
          <w:color w:val="1B2A4A"/>
          <w:sz w:val="21"/>
          <w:szCs w:val="21"/>
        </w:rPr>
        <w:t xml:space="preserve">Numbered lists: </w:t>
      </w:r>
      <w:r>
        <w:rPr>
          <w:rFonts w:ascii="Georgia" w:cs="Georgia" w:eastAsia="Georgia" w:hAnsi="Georgia"/>
          <w:color w:val="2C2C2C"/>
          <w:sz w:val="21"/>
          <w:szCs w:val="21"/>
        </w:rPr>
        <w:t xml:space="preserve">Used for sequential processes and property enumerations only.</w:t>
      </w:r>
    </w:p>
    <w:p>
      <w:pPr>
        <w:pStyle w:val="ListParagraph"/>
        <w:numPr>
          <w:ilvl w:val="0"/>
          <w:numId w:val="2"/>
        </w:numPr>
        <w:spacing w:after="100" w:line="276"/>
      </w:pPr>
      <w:r>
        <w:rPr>
          <w:rFonts w:ascii="Georgia" w:cs="Georgia" w:eastAsia="Georgia" w:hAnsi="Georgia"/>
          <w:b/>
          <w:bCs/>
          <w:color w:val="1B2A4A"/>
          <w:sz w:val="21"/>
          <w:szCs w:val="21"/>
        </w:rPr>
        <w:t xml:space="preserve">Bullet lists: </w:t>
      </w:r>
      <w:r>
        <w:rPr>
          <w:rFonts w:ascii="Georgia" w:cs="Georgia" w:eastAsia="Georgia" w:hAnsi="Georgia"/>
          <w:color w:val="2C2C2C"/>
          <w:sz w:val="21"/>
          <w:szCs w:val="21"/>
        </w:rPr>
        <w:t xml:space="preserve">Used for non-sequential collections (required elements, criteria lists, evaluation checklists).</w:t>
      </w:r>
    </w:p>
    <w:p>
      <w:pPr>
        <w:pStyle w:val="ListParagraph"/>
        <w:numPr>
          <w:ilvl w:val="0"/>
          <w:numId w:val="2"/>
        </w:numPr>
        <w:spacing w:after="100" w:line="276"/>
      </w:pPr>
      <w:r>
        <w:rPr>
          <w:rFonts w:ascii="Georgia" w:cs="Georgia" w:eastAsia="Georgia" w:hAnsi="Georgia"/>
          <w:b/>
          <w:bCs/>
          <w:color w:val="1B2A4A"/>
          <w:sz w:val="21"/>
          <w:szCs w:val="21"/>
        </w:rPr>
        <w:t xml:space="preserve">Footnotes: </w:t>
      </w:r>
      <w:r>
        <w:rPr>
          <w:rFonts w:ascii="Georgia" w:cs="Georgia" w:eastAsia="Georgia" w:hAnsi="Georgia"/>
          <w:color w:val="2C2C2C"/>
          <w:sz w:val="21"/>
          <w:szCs w:val="21"/>
        </w:rPr>
        <w:t xml:space="preserve">Used for all source attribution. Kept concise: source name, date, methodology type.</w:t>
      </w:r>
    </w:p>
    <w:p>
      <w:pPr>
        <w:pStyle w:val="Heading2"/>
        <w:spacing w:after="160" w:before="280"/>
      </w:pPr>
      <w:r>
        <w:rPr>
          <w:rFonts w:ascii="Georgia" w:cs="Georgia" w:eastAsia="Georgia" w:hAnsi="Georgia"/>
          <w:b/>
          <w:bCs/>
          <w:color w:val="3D5A80"/>
          <w:sz w:val="26"/>
          <w:szCs w:val="26"/>
        </w:rPr>
        <w:t xml:space="preserve">5.4 Length Calibration</w:t>
      </w:r>
    </w:p>
    <w:p>
      <w:pPr>
        <w:spacing w:after="160" w:line="276"/>
        <w:jc w:val="left"/>
      </w:pPr>
      <w:r>
        <w:rPr>
          <w:rFonts w:ascii="Georgia" w:cs="Georgia" w:eastAsia="Georgia" w:hAnsi="Georgia"/>
          <w:color w:val="2C2C2C"/>
          <w:sz w:val="21"/>
          <w:szCs w:val="21"/>
        </w:rPr>
        <w:t xml:space="preserve">A well-executed Ecosystem Analysis should fall within the following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Section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Target Length</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Max Length</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Section 1: What It Is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600–900 words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1,200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Section 2: Why It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1,200–1,800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2,500 words</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Section 3: Social Levers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600–900 words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1,200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Section 4: Business Levers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900–1,400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2,000 words</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Section 5: Downstream Outcomes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800–1,200 words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1,800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Section 6: Ecosystem 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500–800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1,200 words</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Section 7: Synthesis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400–600 words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800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Full 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5,000–7,600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10,700 words</w:t>
            </w:r>
          </w:p>
        </w:tc>
      </w:tr>
    </w:tbl>
    <w:p>
      <w:pPr>
        <w:spacing w:after="160" w:line="276"/>
        <w:jc w:val="left"/>
      </w:pPr>
      <w:r>
        <w:rPr>
          <w:rFonts w:ascii="Georgia" w:cs="Georgia" w:eastAsia="Georgia" w:hAnsi="Georgia"/>
          <w:color w:val="2C2C2C"/>
          <w:sz w:val="21"/>
          <w:szCs w:val="21"/>
        </w:rPr>
        <w:t xml:space="preserve"/>
      </w:r>
    </w:p>
    <w:p>
      <w:pPr>
        <w:spacing w:after="160" w:line="276"/>
        <w:jc w:val="left"/>
      </w:pPr>
      <w:r>
        <w:rPr>
          <w:rFonts w:ascii="Georgia" w:cs="Georgia" w:eastAsia="Georgia" w:hAnsi="Georgia"/>
          <w:color w:val="2C2C2C"/>
          <w:sz w:val="21"/>
          <w:szCs w:val="21"/>
        </w:rPr>
        <w:t xml:space="preserve">If a section exceeds its maximum, the content is likely conflating analysis types and should be restructured. If the full document falls below the minimum, the research may be insufficient.</w:t>
      </w:r>
    </w:p>
    <w:p>
      <w:r>
        <w:br w:type="page"/>
      </w:r>
    </w:p>
    <w:p>
      <w:pPr>
        <w:pStyle w:val="Heading1"/>
        <w:spacing w:after="200" w:before="360"/>
      </w:pPr>
      <w:r>
        <w:rPr>
          <w:rFonts w:ascii="Georgia" w:cs="Georgia" w:eastAsia="Georgia" w:hAnsi="Georgia"/>
          <w:b/>
          <w:bCs/>
          <w:color w:val="1B2A4A"/>
          <w:sz w:val="32"/>
          <w:szCs w:val="32"/>
        </w:rPr>
        <w:t xml:space="preserve">Part 6: Final Quality Checklist</w:t>
      </w:r>
    </w:p>
    <w:p>
      <w:pPr>
        <w:spacing w:after="160" w:line="276"/>
        <w:jc w:val="left"/>
      </w:pPr>
      <w:r>
        <w:rPr>
          <w:rFonts w:ascii="Georgia" w:cs="Georgia" w:eastAsia="Georgia" w:hAnsi="Georgia"/>
          <w:color w:val="2C2C2C"/>
          <w:sz w:val="21"/>
          <w:szCs w:val="21"/>
        </w:rPr>
        <w:t xml:space="preserve">Before an Ecosystem Analysis is considered complete, it must pass every item on this checklist. A single failure requires revision.</w:t>
      </w:r>
    </w:p>
    <w:p>
      <w:pPr>
        <w:pStyle w:val="Heading2"/>
        <w:spacing w:after="160" w:before="280"/>
      </w:pPr>
      <w:r>
        <w:rPr>
          <w:rFonts w:ascii="Georgia" w:cs="Georgia" w:eastAsia="Georgia" w:hAnsi="Georgia"/>
          <w:b/>
          <w:bCs/>
          <w:color w:val="3D5A80"/>
          <w:sz w:val="26"/>
          <w:szCs w:val="26"/>
        </w:rPr>
        <w:t xml:space="preserve">6.1 Structural Integrity</w:t>
      </w:r>
    </w:p>
    <w:p>
      <w:pPr>
        <w:pStyle w:val="ListParagraph"/>
        <w:numPr>
          <w:ilvl w:val="0"/>
          <w:numId w:val="4"/>
        </w:numPr>
        <w:spacing w:after="100" w:line="276"/>
      </w:pPr>
      <w:r>
        <w:rPr>
          <w:rFonts w:ascii="Georgia" w:cs="Georgia" w:eastAsia="Georgia" w:hAnsi="Georgia"/>
          <w:color w:val="2C2C2C"/>
          <w:sz w:val="21"/>
          <w:szCs w:val="21"/>
        </w:rPr>
        <w:t xml:space="preserve">All seven mandatory sections are present and in the correct order.</w:t>
      </w:r>
    </w:p>
    <w:p>
      <w:pPr>
        <w:pStyle w:val="ListParagraph"/>
        <w:numPr>
          <w:ilvl w:val="0"/>
          <w:numId w:val="4"/>
        </w:numPr>
        <w:spacing w:after="100" w:line="276"/>
      </w:pPr>
      <w:r>
        <w:rPr>
          <w:rFonts w:ascii="Georgia" w:cs="Georgia" w:eastAsia="Georgia" w:hAnsi="Georgia"/>
          <w:color w:val="2C2C2C"/>
          <w:sz w:val="21"/>
          <w:szCs w:val="21"/>
        </w:rPr>
        <w:t xml:space="preserve">The participant map contains three or more distinct participant types.</w:t>
      </w:r>
    </w:p>
    <w:p>
      <w:pPr>
        <w:pStyle w:val="ListParagraph"/>
        <w:numPr>
          <w:ilvl w:val="0"/>
          <w:numId w:val="4"/>
        </w:numPr>
        <w:spacing w:after="100" w:line="276"/>
      </w:pPr>
      <w:r>
        <w:rPr>
          <w:rFonts w:ascii="Georgia" w:cs="Georgia" w:eastAsia="Georgia" w:hAnsi="Georgia"/>
          <w:color w:val="2C2C2C"/>
          <w:sz w:val="21"/>
          <w:szCs w:val="21"/>
        </w:rPr>
        <w:t xml:space="preserve">Three or more independent structural forces are identified with evidence.</w:t>
      </w:r>
    </w:p>
    <w:p>
      <w:pPr>
        <w:pStyle w:val="ListParagraph"/>
        <w:numPr>
          <w:ilvl w:val="0"/>
          <w:numId w:val="4"/>
        </w:numPr>
        <w:spacing w:after="100" w:line="276"/>
      </w:pPr>
      <w:r>
        <w:rPr>
          <w:rFonts w:ascii="Georgia" w:cs="Georgia" w:eastAsia="Georgia" w:hAnsi="Georgia"/>
          <w:color w:val="2C2C2C"/>
          <w:sz w:val="21"/>
          <w:szCs w:val="21"/>
        </w:rPr>
        <w:t xml:space="preserve">Four or more distinct downstream outcomes are identified with causal tracing.</w:t>
      </w:r>
    </w:p>
    <w:p>
      <w:pPr>
        <w:pStyle w:val="ListParagraph"/>
        <w:numPr>
          <w:ilvl w:val="0"/>
          <w:numId w:val="4"/>
        </w:numPr>
        <w:spacing w:after="100" w:line="276"/>
      </w:pPr>
      <w:r>
        <w:rPr>
          <w:rFonts w:ascii="Georgia" w:cs="Georgia" w:eastAsia="Georgia" w:hAnsi="Georgia"/>
          <w:color w:val="2C2C2C"/>
          <w:sz w:val="21"/>
          <w:szCs w:val="21"/>
        </w:rPr>
        <w:t xml:space="preserve">Four or more active interfaces are mapped in the ecosystem map.</w:t>
      </w:r>
    </w:p>
    <w:p>
      <w:pPr>
        <w:pStyle w:val="ListParagraph"/>
        <w:numPr>
          <w:ilvl w:val="0"/>
          <w:numId w:val="4"/>
        </w:numPr>
        <w:spacing w:after="100" w:line="276"/>
      </w:pPr>
      <w:r>
        <w:rPr>
          <w:rFonts w:ascii="Georgia" w:cs="Georgia" w:eastAsia="Georgia" w:hAnsi="Georgia"/>
          <w:color w:val="2C2C2C"/>
          <w:sz w:val="21"/>
          <w:szCs w:val="21"/>
        </w:rPr>
        <w:t xml:space="preserve">The synthesis contains 4–7 named properties.</w:t>
      </w:r>
    </w:p>
    <w:p>
      <w:pPr>
        <w:pStyle w:val="ListParagraph"/>
        <w:numPr>
          <w:ilvl w:val="0"/>
          <w:numId w:val="4"/>
        </w:numPr>
        <w:spacing w:after="160" w:line="276"/>
      </w:pPr>
      <w:r>
        <w:rPr>
          <w:rFonts w:ascii="Georgia" w:cs="Georgia" w:eastAsia="Georgia" w:hAnsi="Georgia"/>
          <w:color w:val="2C2C2C"/>
          <w:sz w:val="21"/>
          <w:szCs w:val="21"/>
        </w:rPr>
        <w:t xml:space="preserve">A key metrics reference table is present with source attribution.</w:t>
      </w:r>
    </w:p>
    <w:p>
      <w:pPr>
        <w:pStyle w:val="Heading2"/>
        <w:spacing w:after="160" w:before="280"/>
      </w:pPr>
      <w:r>
        <w:rPr>
          <w:rFonts w:ascii="Georgia" w:cs="Georgia" w:eastAsia="Georgia" w:hAnsi="Georgia"/>
          <w:b/>
          <w:bCs/>
          <w:color w:val="3D5A80"/>
          <w:sz w:val="26"/>
          <w:szCs w:val="26"/>
        </w:rPr>
        <w:t xml:space="preserve">6.2 Evidence Standards</w:t>
      </w:r>
    </w:p>
    <w:p>
      <w:pPr>
        <w:pStyle w:val="ListParagraph"/>
        <w:numPr>
          <w:ilvl w:val="0"/>
          <w:numId w:val="4"/>
        </w:numPr>
        <w:spacing w:after="100" w:line="276"/>
      </w:pPr>
      <w:r>
        <w:rPr>
          <w:rFonts w:ascii="Georgia" w:cs="Georgia" w:eastAsia="Georgia" w:hAnsi="Georgia"/>
          <w:color w:val="2C2C2C"/>
          <w:sz w:val="21"/>
          <w:szCs w:val="21"/>
        </w:rPr>
        <w:t xml:space="preserve">A minimum of 15 unique quantitative data points are cited across the document.</w:t>
      </w:r>
    </w:p>
    <w:p>
      <w:pPr>
        <w:pStyle w:val="ListParagraph"/>
        <w:numPr>
          <w:ilvl w:val="0"/>
          <w:numId w:val="4"/>
        </w:numPr>
        <w:spacing w:after="100" w:line="276"/>
      </w:pPr>
      <w:r>
        <w:rPr>
          <w:rFonts w:ascii="Georgia" w:cs="Georgia" w:eastAsia="Georgia" w:hAnsi="Georgia"/>
          <w:color w:val="2C2C2C"/>
          <w:sz w:val="21"/>
          <w:szCs w:val="21"/>
        </w:rPr>
        <w:t xml:space="preserve">Every data point is attributed via footnote with source, date, and methodology type.</w:t>
      </w:r>
    </w:p>
    <w:p>
      <w:pPr>
        <w:pStyle w:val="ListParagraph"/>
        <w:numPr>
          <w:ilvl w:val="0"/>
          <w:numId w:val="4"/>
        </w:numPr>
        <w:spacing w:after="100" w:line="276"/>
      </w:pPr>
      <w:r>
        <w:rPr>
          <w:rFonts w:ascii="Georgia" w:cs="Georgia" w:eastAsia="Georgia" w:hAnsi="Georgia"/>
          <w:color w:val="2C2C2C"/>
          <w:sz w:val="21"/>
          <w:szCs w:val="21"/>
        </w:rPr>
        <w:t xml:space="preserve">No market sizing data is older than 18 months.</w:t>
      </w:r>
    </w:p>
    <w:p>
      <w:pPr>
        <w:pStyle w:val="ListParagraph"/>
        <w:numPr>
          <w:ilvl w:val="0"/>
          <w:numId w:val="4"/>
        </w:numPr>
        <w:spacing w:after="100" w:line="276"/>
      </w:pPr>
      <w:r>
        <w:rPr>
          <w:rFonts w:ascii="Georgia" w:cs="Georgia" w:eastAsia="Georgia" w:hAnsi="Georgia"/>
          <w:color w:val="2C2C2C"/>
          <w:sz w:val="21"/>
          <w:szCs w:val="21"/>
        </w:rPr>
        <w:t xml:space="preserve">All unsubstantiated claims are explicitly flagged as assumptions.</w:t>
      </w:r>
    </w:p>
    <w:p>
      <w:pPr>
        <w:pStyle w:val="ListParagraph"/>
        <w:numPr>
          <w:ilvl w:val="0"/>
          <w:numId w:val="4"/>
        </w:numPr>
        <w:spacing w:after="160" w:line="276"/>
      </w:pPr>
      <w:r>
        <w:rPr>
          <w:rFonts w:ascii="Georgia" w:cs="Georgia" w:eastAsia="Georgia" w:hAnsi="Georgia"/>
          <w:color w:val="2C2C2C"/>
          <w:sz w:val="21"/>
          <w:szCs w:val="21"/>
        </w:rPr>
        <w:t xml:space="preserve">No product names, feature lists, or build plans appear anywhere in the document.</w:t>
      </w:r>
    </w:p>
    <w:p>
      <w:pPr>
        <w:pStyle w:val="Heading2"/>
        <w:spacing w:after="160" w:before="280"/>
      </w:pPr>
      <w:r>
        <w:rPr>
          <w:rFonts w:ascii="Georgia" w:cs="Georgia" w:eastAsia="Georgia" w:hAnsi="Georgia"/>
          <w:b/>
          <w:bCs/>
          <w:color w:val="3D5A80"/>
          <w:sz w:val="26"/>
          <w:szCs w:val="26"/>
        </w:rPr>
        <w:t xml:space="preserve">6.3 Analytical Rigour</w:t>
      </w:r>
    </w:p>
    <w:p>
      <w:pPr>
        <w:pStyle w:val="ListParagraph"/>
        <w:numPr>
          <w:ilvl w:val="0"/>
          <w:numId w:val="4"/>
        </w:numPr>
        <w:spacing w:after="100" w:line="276"/>
      </w:pPr>
      <w:r>
        <w:rPr>
          <w:rFonts w:ascii="Georgia" w:cs="Georgia" w:eastAsia="Georgia" w:hAnsi="Georgia"/>
          <w:color w:val="2C2C2C"/>
          <w:sz w:val="21"/>
          <w:szCs w:val="21"/>
        </w:rPr>
        <w:t xml:space="preserve">The Closed-Loop Test has been applied: every participant’s removal degrades the ecosystem.</w:t>
      </w:r>
    </w:p>
    <w:p>
      <w:pPr>
        <w:pStyle w:val="ListParagraph"/>
        <w:numPr>
          <w:ilvl w:val="0"/>
          <w:numId w:val="4"/>
        </w:numPr>
        <w:spacing w:after="100" w:line="276"/>
      </w:pPr>
      <w:r>
        <w:rPr>
          <w:rFonts w:ascii="Georgia" w:cs="Georgia" w:eastAsia="Georgia" w:hAnsi="Georgia"/>
          <w:color w:val="2C2C2C"/>
          <w:sz w:val="21"/>
          <w:szCs w:val="21"/>
        </w:rPr>
        <w:t xml:space="preserve">The Reversibility Test has been applied: each structural force requires multiple simultaneous reversals to eliminate.</w:t>
      </w:r>
    </w:p>
    <w:p>
      <w:pPr>
        <w:pStyle w:val="ListParagraph"/>
        <w:numPr>
          <w:ilvl w:val="0"/>
          <w:numId w:val="4"/>
        </w:numPr>
        <w:spacing w:after="100" w:line="276"/>
      </w:pPr>
      <w:r>
        <w:rPr>
          <w:rFonts w:ascii="Georgia" w:cs="Georgia" w:eastAsia="Georgia" w:hAnsi="Georgia"/>
          <w:color w:val="2C2C2C"/>
          <w:sz w:val="21"/>
          <w:szCs w:val="21"/>
        </w:rPr>
        <w:t xml:space="preserve">Every social lever has an explicit feedback loop that returns to its starting point.</w:t>
      </w:r>
    </w:p>
    <w:p>
      <w:pPr>
        <w:pStyle w:val="ListParagraph"/>
        <w:numPr>
          <w:ilvl w:val="0"/>
          <w:numId w:val="4"/>
        </w:numPr>
        <w:spacing w:after="100" w:line="276"/>
      </w:pPr>
      <w:r>
        <w:rPr>
          <w:rFonts w:ascii="Georgia" w:cs="Georgia" w:eastAsia="Georgia" w:hAnsi="Georgia"/>
          <w:color w:val="2C2C2C"/>
          <w:sz w:val="21"/>
          <w:szCs w:val="21"/>
        </w:rPr>
        <w:t xml:space="preserve">The Infrastructure Gap Matrix has been applied to at least the top four interfaces.</w:t>
      </w:r>
    </w:p>
    <w:p>
      <w:pPr>
        <w:pStyle w:val="ListParagraph"/>
        <w:numPr>
          <w:ilvl w:val="0"/>
          <w:numId w:val="4"/>
        </w:numPr>
        <w:spacing w:after="100" w:line="276"/>
      </w:pPr>
      <w:r>
        <w:rPr>
          <w:rFonts w:ascii="Georgia" w:cs="Georgia" w:eastAsia="Georgia" w:hAnsi="Georgia"/>
          <w:color w:val="2C2C2C"/>
          <w:sz w:val="21"/>
          <w:szCs w:val="21"/>
        </w:rPr>
        <w:t xml:space="preserve">The Single Primitive Test has been applied and the result stated in Section 7.</w:t>
      </w:r>
    </w:p>
    <w:p>
      <w:pPr>
        <w:pStyle w:val="ListParagraph"/>
        <w:numPr>
          <w:ilvl w:val="0"/>
          <w:numId w:val="4"/>
        </w:numPr>
        <w:spacing w:after="160" w:line="276"/>
      </w:pPr>
      <w:r>
        <w:rPr>
          <w:rFonts w:ascii="Georgia" w:cs="Georgia" w:eastAsia="Georgia" w:hAnsi="Georgia"/>
          <w:color w:val="2C2C2C"/>
          <w:sz w:val="21"/>
          <w:szCs w:val="21"/>
        </w:rPr>
        <w:t xml:space="preserve">No Section 5 outcome introduces a new force not established in Sections 2–4.</w:t>
      </w:r>
    </w:p>
    <w:p>
      <w:pPr>
        <w:pStyle w:val="Heading2"/>
        <w:spacing w:after="160" w:before="280"/>
      </w:pPr>
      <w:r>
        <w:rPr>
          <w:rFonts w:ascii="Georgia" w:cs="Georgia" w:eastAsia="Georgia" w:hAnsi="Georgia"/>
          <w:b/>
          <w:bCs/>
          <w:color w:val="3D5A80"/>
          <w:sz w:val="26"/>
          <w:szCs w:val="26"/>
        </w:rPr>
        <w:t xml:space="preserve">6.4 Presentation</w:t>
      </w:r>
    </w:p>
    <w:p>
      <w:pPr>
        <w:pStyle w:val="ListParagraph"/>
        <w:numPr>
          <w:ilvl w:val="0"/>
          <w:numId w:val="4"/>
        </w:numPr>
        <w:spacing w:after="100" w:line="276"/>
      </w:pPr>
      <w:r>
        <w:rPr>
          <w:rFonts w:ascii="Georgia" w:cs="Georgia" w:eastAsia="Georgia" w:hAnsi="Georgia"/>
          <w:color w:val="2C2C2C"/>
          <w:sz w:val="21"/>
          <w:szCs w:val="21"/>
        </w:rPr>
        <w:t xml:space="preserve">Document falls within the 5,000–10,700 word target range.</w:t>
      </w:r>
    </w:p>
    <w:p>
      <w:pPr>
        <w:pStyle w:val="ListParagraph"/>
        <w:numPr>
          <w:ilvl w:val="0"/>
          <w:numId w:val="4"/>
        </w:numPr>
        <w:spacing w:after="100" w:line="276"/>
      </w:pPr>
      <w:r>
        <w:rPr>
          <w:rFonts w:ascii="Georgia" w:cs="Georgia" w:eastAsia="Georgia" w:hAnsi="Georgia"/>
          <w:color w:val="2C2C2C"/>
          <w:sz w:val="21"/>
          <w:szCs w:val="21"/>
        </w:rPr>
        <w:t xml:space="preserve">Formatting is consistent: headers, callouts, tables, and lists follow the standards in Part 5.</w:t>
      </w:r>
    </w:p>
    <w:p>
      <w:pPr>
        <w:pStyle w:val="ListParagraph"/>
        <w:numPr>
          <w:ilvl w:val="0"/>
          <w:numId w:val="4"/>
        </w:numPr>
        <w:spacing w:after="100" w:line="276"/>
      </w:pPr>
      <w:r>
        <w:rPr>
          <w:rFonts w:ascii="Georgia" w:cs="Georgia" w:eastAsia="Georgia" w:hAnsi="Georgia"/>
          <w:color w:val="2C2C2C"/>
          <w:sz w:val="21"/>
          <w:szCs w:val="21"/>
        </w:rPr>
        <w:t xml:space="preserve">The closing callout in Section 7 is quotable as a standalone thesis statement.</w:t>
      </w:r>
    </w:p>
    <w:p>
      <w:pPr>
        <w:pStyle w:val="ListParagraph"/>
        <w:numPr>
          <w:ilvl w:val="0"/>
          <w:numId w:val="4"/>
        </w:numPr>
        <w:spacing w:after="160" w:line="276"/>
      </w:pPr>
      <w:r>
        <w:rPr>
          <w:rFonts w:ascii="Georgia" w:cs="Georgia" w:eastAsia="Georgia" w:hAnsi="Georgia"/>
          <w:color w:val="2C2C2C"/>
          <w:sz w:val="21"/>
          <w:szCs w:val="21"/>
        </w:rPr>
        <w:t xml:space="preserve">The document is product-agnostic throughout. No internal system names, brands, or codenames appear.</w:t>
      </w:r>
    </w:p>
    <w:p>
      <w:pPr>
        <w:pBdr>
          <w:bottom w:val="single" w:color="E8E0D8" w:sz="4" w:space="4"/>
        </w:pBdr>
        <w:spacing w:after="160" w:before="160"/>
      </w:pPr>
      <w:r>
        <w:rPr>
          <w:sz w:val="8"/>
          <w:szCs w:val="8"/>
        </w:rPr>
        <w:t xml:space="preserve"/>
      </w:r>
    </w:p>
    <w:p>
      <w:pPr>
        <w:spacing w:after="160" w:line="276"/>
        <w:jc w:val="left"/>
      </w:pPr>
      <w:r>
        <w:rPr>
          <w:rFonts w:ascii="Georgia" w:cs="Georgia" w:eastAsia="Georgia" w:hAnsi="Georgia"/>
          <w:color w:val="2C2C2C"/>
          <w:sz w:val="21"/>
          <w:szCs w:val="21"/>
        </w:rPr>
        <w:t xml:space="preserve"/>
      </w:r>
    </w:p>
    <w:p>
      <w:pPr>
        <w:pBdr>
          <w:left w:val="single" w:color="E07A5F" w:sz="12" w:space="8"/>
        </w:pBdr>
        <w:spacing w:after="200" w:before="200"/>
        <w:ind w:left="360" w:right="360"/>
      </w:pPr>
      <w:r>
        <w:rPr>
          <w:rFonts w:ascii="Georgia" w:cs="Georgia" w:eastAsia="Georgia" w:hAnsi="Georgia"/>
          <w:i/>
          <w:iCs/>
          <w:color w:val="3D5A80"/>
          <w:sz w:val="21"/>
          <w:szCs w:val="21"/>
        </w:rPr>
        <w:t xml:space="preserve">This standard is a living document. As Ecosystem Analyses are produced and reviewed, patterns will emerge that refine the methodology, sharpen the quality gates, and expand the analytical frameworks. Version updates should be triggered by any structural learning from a completed analysis that would have improved its quality if known at inception.</w:t>
      </w:r>
    </w:p>
    <w:p>
      <w:pPr>
        <w:spacing w:after="160" w:line="276"/>
        <w:jc w:val="left"/>
      </w:pPr>
      <w:r>
        <w:rPr>
          <w:rFonts w:ascii="Georgia" w:cs="Georgia" w:eastAsia="Georgia" w:hAnsi="Georgia"/>
          <w:color w:val="2C2C2C"/>
          <w:sz w:val="21"/>
          <w:szCs w:val="21"/>
        </w:rPr>
        <w:t xml:space="preserve"/>
      </w:r>
    </w:p>
    <w:p>
      <w:pPr>
        <w:spacing w:after="80"/>
        <w:jc w:val="center"/>
      </w:pPr>
      <w:r>
        <w:rPr>
          <w:rFonts w:ascii="Georgia" w:cs="Georgia" w:eastAsia="Georgia" w:hAnsi="Georgia"/>
          <w:i/>
          <w:iCs/>
          <w:color w:val="555555"/>
          <w:sz w:val="20"/>
          <w:szCs w:val="20"/>
        </w:rPr>
        <w:t xml:space="preserve">— End of Standard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2" w:space="4"/>
      </w:pBdr>
      <w:tabs>
        <w:tab w:val="right" w:pos="9026"/>
      </w:tabs>
      <w:spacing w:after="0"/>
    </w:pPr>
    <w:r>
      <w:rPr>
        <w:rFonts w:ascii="Georgia" w:cs="Georgia" w:eastAsia="Georgia" w:hAnsi="Georgia"/>
        <w:i/>
        <w:iCs/>
        <w:color w:val="555555"/>
        <w:sz w:val="16"/>
        <w:szCs w:val="16"/>
      </w:rPr>
      <w:t xml:space="preserve">Ecosystem Analysis — Document Standard v1.0</w:t>
    </w:r>
    <w:r>
      <w:rPr>
        <w:rFonts w:ascii="Georgia" w:cs="Georgia" w:eastAsia="Georgia" w:hAnsi="Georgia"/>
        <w:color w:val="555555"/>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2026-03-22T08:30:18.957Z</dcterms:created>
  <dcterms:modified xsi:type="dcterms:W3CDTF">2026-03-22T08:30:18.958Z</dcterms:modified>
</cp:coreProperties>
</file>

<file path=docProps/custom.xml><?xml version="1.0" encoding="utf-8"?>
<Properties xmlns="http://schemas.openxmlformats.org/officeDocument/2006/custom-properties" xmlns:vt="http://schemas.openxmlformats.org/officeDocument/2006/docPropsVTypes"/>
</file>