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3D5A80"/>
          <w:spacing w:val="200"/>
          <w:sz w:val="18"/>
          <w:szCs w:val="18"/>
        </w:rPr>
        <w:t xml:space="preserve">ANALYTICAL TEMPLATE STANDARDS</w:t>
      </w:r>
    </w:p>
    <w:p>
      <w:pPr>
        <w:pBdr>
          <w:bottom w:val="single" w:color="E07A5F" w:sz="6" w:space="12"/>
        </w:pBdr>
        <w:spacing w:after="60"/>
        <w:jc w:val="center"/>
      </w:pPr>
      <w:r>
        <w:rPr>
          <w:rFonts w:ascii="Georgia" w:cs="Georgia" w:eastAsia="Georgia" w:hAnsi="Georgia"/>
          <w:b/>
          <w:bCs/>
          <w:color w:val="1B2A4A"/>
          <w:sz w:val="48"/>
          <w:szCs w:val="48"/>
        </w:rPr>
        <w:t xml:space="preserve">The Ecosystem Intelligence Suite</w:t>
      </w:r>
    </w:p>
    <w:p>
      <w:pPr>
        <w:spacing w:before="240"/>
      </w:pPr>
    </w:p>
    <w:p>
      <w:pPr>
        <w:spacing w:after="60"/>
        <w:jc w:val="center"/>
      </w:pPr>
      <w:r>
        <w:rPr>
          <w:rFonts w:ascii="Georgia" w:cs="Georgia" w:eastAsia="Georgia" w:hAnsi="Georgia"/>
          <w:color w:val="3D5A80"/>
          <w:sz w:val="22"/>
          <w:szCs w:val="22"/>
        </w:rPr>
        <w:t xml:space="preserve">Five analytical templates that translate ecosystem understanding</w:t>
      </w:r>
    </w:p>
    <w:p>
      <w:pPr>
        <w:spacing w:after="60"/>
        <w:jc w:val="center"/>
      </w:pPr>
      <w:r>
        <w:rPr>
          <w:rFonts w:ascii="Georgia" w:cs="Georgia" w:eastAsia="Georgia" w:hAnsi="Georgia"/>
          <w:color w:val="3D5A80"/>
          <w:sz w:val="22"/>
          <w:szCs w:val="22"/>
        </w:rPr>
        <w:t xml:space="preserve">into actionable strategic intelligence: Culture, Levers, Decisions,</w:t>
      </w:r>
    </w:p>
    <w:p>
      <w:pPr>
        <w:spacing w:after="400"/>
        <w:jc w:val="center"/>
      </w:pPr>
      <w:r>
        <w:rPr>
          <w:rFonts w:ascii="Georgia" w:cs="Georgia" w:eastAsia="Georgia" w:hAnsi="Georgia"/>
          <w:color w:val="3D5A80"/>
          <w:sz w:val="22"/>
          <w:szCs w:val="22"/>
        </w:rPr>
        <w:t xml:space="preserve">Language, and Competitive Topology.</w:t>
      </w:r>
    </w:p>
    <w:p>
      <w:pPr>
        <w:spacing w:before="600"/>
        <w:jc w:val="center"/>
      </w:pPr>
      <w:r>
        <w:rPr>
          <w:rFonts w:ascii="Georgia" w:cs="Georgia" w:eastAsia="Georgia" w:hAnsi="Georgia"/>
          <w:color w:val="1B2A4A"/>
          <w:sz w:val="20"/>
          <w:szCs w:val="20"/>
        </w:rPr>
        <w:t xml:space="preserve">T1  Culture Map</w:t>
      </w:r>
    </w:p>
    <w:p>
      <w:pPr>
        <w:spacing w:after="40"/>
        <w:jc w:val="center"/>
      </w:pPr>
      <w:r>
        <w:rPr>
          <w:rFonts w:ascii="Georgia" w:cs="Georgia" w:eastAsia="Georgia" w:hAnsi="Georgia"/>
          <w:color w:val="1B2A4A"/>
          <w:sz w:val="20"/>
          <w:szCs w:val="20"/>
        </w:rPr>
        <w:t xml:space="preserve">T2  Lever Architecture</w:t>
      </w:r>
    </w:p>
    <w:p>
      <w:pPr>
        <w:spacing w:after="40"/>
        <w:jc w:val="center"/>
      </w:pPr>
      <w:r>
        <w:rPr>
          <w:rFonts w:ascii="Georgia" w:cs="Georgia" w:eastAsia="Georgia" w:hAnsi="Georgia"/>
          <w:color w:val="1B2A4A"/>
          <w:sz w:val="20"/>
          <w:szCs w:val="20"/>
        </w:rPr>
        <w:t xml:space="preserve">T3  Participant Decision Architecture</w:t>
      </w:r>
    </w:p>
    <w:p>
      <w:pPr>
        <w:spacing w:after="40"/>
        <w:jc w:val="center"/>
      </w:pPr>
      <w:r>
        <w:rPr>
          <w:rFonts w:ascii="Georgia" w:cs="Georgia" w:eastAsia="Georgia" w:hAnsi="Georgia"/>
          <w:color w:val="1B2A4A"/>
          <w:sz w:val="20"/>
          <w:szCs w:val="20"/>
        </w:rPr>
        <w:t xml:space="preserve">T4  Language &amp; Semiotics Map</w:t>
      </w:r>
    </w:p>
    <w:p>
      <w:pPr>
        <w:spacing w:after="200"/>
        <w:jc w:val="center"/>
      </w:pPr>
      <w:r>
        <w:rPr>
          <w:rFonts w:ascii="Georgia" w:cs="Georgia" w:eastAsia="Georgia" w:hAnsi="Georgia"/>
          <w:color w:val="1B2A4A"/>
          <w:sz w:val="20"/>
          <w:szCs w:val="20"/>
        </w:rPr>
        <w:t xml:space="preserve">T5  Competitive Topology</w:t>
      </w:r>
    </w:p>
    <w:p>
      <w:pPr>
        <w:spacing w:before="1400"/>
      </w:pPr>
    </w:p>
    <w:p>
      <w:pPr>
        <w:jc w:val="center"/>
      </w:pPr>
      <w:r>
        <w:rPr>
          <w:rFonts w:ascii="Georgia" w:cs="Georgia" w:eastAsia="Georgia" w:hAnsi="Georgia"/>
          <w:b/>
          <w:bCs/>
          <w:color w:val="555555"/>
          <w:spacing w:val="160"/>
          <w:sz w:val="18"/>
          <w:szCs w:val="18"/>
        </w:rPr>
        <w:t xml:space="preserve">INTERNAL STANDARD</w:t>
      </w:r>
    </w:p>
    <w:p>
      <w:pPr>
        <w:spacing w:after="40"/>
        <w:jc w:val="center"/>
      </w:pPr>
      <w:r>
        <w:rPr>
          <w:rFonts w:ascii="Georgia" w:cs="Georgia" w:eastAsia="Georgia" w:hAnsi="Georgia"/>
          <w:color w:val="555555"/>
          <w:sz w:val="20"/>
          <w:szCs w:val="20"/>
        </w:rPr>
        <w:t xml:space="preserve">Version 1.0 — March 2026</w:t>
      </w:r>
    </w:p>
    <w:p>
      <w:pPr>
        <w:jc w:val="center"/>
      </w:pPr>
      <w:r>
        <w:rPr>
          <w:rFonts w:ascii="Georgia" w:cs="Georgia" w:eastAsia="Georgia" w:hAnsi="Georgia"/>
          <w:i/>
          <w:iCs/>
          <w:color w:val="555555"/>
          <w:sz w:val="18"/>
          <w:szCs w:val="18"/>
        </w:rPr>
        <w:t xml:space="preserve">Companion to: Ecosystem Analysis Standard v1.0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2"/>
          <w:szCs w:val="32"/>
        </w:rPr>
        <w:t xml:space="preserve">Preamble: The Suite Architecture</w:t>
      </w:r>
    </w:p>
    <w:p>
      <w:pPr>
        <w:pStyle w:val="Heading2"/>
        <w:spacing w:after="160" w:before="280"/>
      </w:pPr>
      <w:r>
        <w:rPr>
          <w:rFonts w:ascii="Georgia" w:cs="Georgia" w:eastAsia="Georgia" w:hAnsi="Georgia"/>
          <w:b/>
          <w:bCs/>
          <w:color w:val="3D5A80"/>
          <w:sz w:val="26"/>
          <w:szCs w:val="26"/>
        </w:rPr>
        <w:t xml:space="preserve">Relationship to the Ecosystem Analysis</w:t>
      </w:r>
    </w:p>
    <w:p>
      <w:pPr>
        <w:spacing w:after="160" w:line="276"/>
        <w:jc w:val="left"/>
      </w:pPr>
      <w:r>
        <w:rPr>
          <w:rFonts w:ascii="Georgia" w:cs="Georgia" w:eastAsia="Georgia" w:hAnsi="Georgia"/>
          <w:color w:val="2C2C2C"/>
          <w:sz w:val="21"/>
          <w:szCs w:val="21"/>
        </w:rPr>
        <w:t xml:space="preserve">The Ecosystem Analysis (Standard v1.0) is the foundational document. It maps the terrain: structural forces, participant dynamics, commercial mechanics, and downstream outcomes. It is always produced first.</w:t>
      </w:r>
    </w:p>
    <w:p>
      <w:pPr>
        <w:spacing w:after="160" w:line="276"/>
        <w:jc w:val="left"/>
      </w:pPr>
      <w:r>
        <w:rPr>
          <w:rFonts w:ascii="Georgia" w:cs="Georgia" w:eastAsia="Georgia" w:hAnsi="Georgia"/>
          <w:color w:val="2C2C2C"/>
          <w:sz w:val="21"/>
          <w:szCs w:val="21"/>
        </w:rPr>
        <w:t xml:space="preserve">The five templates in this suite deepen understanding of specific dimensions that the Ecosystem Analysis identifies but does not fully resolve. Each template takes a defined output from the Ecosystem Analysis as its input and produces intelligence that feeds specific downstream decisions.</w:t>
      </w:r>
    </w:p>
    <w:p>
      <w:pPr>
        <w:pBdr>
          <w:left w:val="single" w:color="E07A5F" w:sz="12" w:space="8"/>
        </w:pBdr>
        <w:spacing w:after="200" w:before="200"/>
        <w:ind w:left="360" w:right="360"/>
      </w:pPr>
      <w:r>
        <w:rPr>
          <w:rFonts w:ascii="Georgia" w:cs="Georgia" w:eastAsia="Georgia" w:hAnsi="Georgia"/>
          <w:i/>
          <w:iCs/>
          <w:color w:val="3D5A80"/>
          <w:sz w:val="21"/>
          <w:szCs w:val="21"/>
        </w:rPr>
        <w:t xml:space="preserve">The rule is simple: the Ecosystem Analysis tells you what the market is. These templates tell you how the market thinks, speaks, moves, decides, and competes. You need both layers before making product decisions.</w:t>
      </w:r>
    </w:p>
    <w:p>
      <w:pPr>
        <w:pStyle w:val="Heading2"/>
        <w:spacing w:after="160" w:before="280"/>
      </w:pPr>
      <w:r>
        <w:rPr>
          <w:rFonts w:ascii="Georgia" w:cs="Georgia" w:eastAsia="Georgia" w:hAnsi="Georgia"/>
          <w:b/>
          <w:bCs/>
          <w:color w:val="3D5A80"/>
          <w:sz w:val="26"/>
          <w:szCs w:val="26"/>
        </w:rPr>
        <w:t xml:space="preserve">Template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Template</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Primary Input</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It Produces</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It Feeds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T1: Culture Map</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Ecosystem Analysis §§1, §§3 (participants, social levers)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Tribal identity, belief systems, rituals, social hierarchy, sub-cultures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Brand voice, messaging, community strategy, visual identity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T2: Lever Architecture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Ecosystem Analysis §§2, §§4, §§5 (forces, business levers, outcomes)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Action triggers, forcing functions, decision catalysts, timing windows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Feature prioritisation, launch timing, urgency framing, marketing hooks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T3: Decision Architecture</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Ecosystem Analysis §§1 (participant map) + T2 (levers)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Decision processes, influence chains, objections, buying psychology</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Sales design, pricing, onboarding, content-by-funnel-stage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T4: Language &amp; Semiotics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Ecosystem Analysis §§1 + T1 (culture)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Lexicon, metaphors, register, platform-specific expressions, forbidden words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All copywriting, UI copy, listing descriptions, support scripts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T5: Competitive Topology</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Ecosystem Analysis §§6 (interface map)</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Solution categories, white space, price boundaries, serve-gap analysis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Positioning, differentiation, pricing, entry point selection</w:t>
            </w:r>
          </w:p>
        </w:tc>
      </w:tr>
    </w:tbl>
    <w:p>
      <w:pPr>
        <w:spacing w:after="160" w:line="276"/>
        <w:jc w:val="left"/>
      </w:pPr>
      <w:r>
        <w:rPr>
          <w:rFonts w:ascii="Georgia" w:cs="Georgia" w:eastAsia="Georgia" w:hAnsi="Georgia"/>
          <w:color w:val="2C2C2C"/>
          <w:sz w:val="21"/>
          <w:szCs w:val="21"/>
        </w:rPr>
        <w:t xml:space="preserve"/>
      </w:r>
    </w:p>
    <w:p>
      <w:pPr>
        <w:pStyle w:val="Heading2"/>
        <w:spacing w:after="160" w:before="280"/>
      </w:pPr>
      <w:r>
        <w:rPr>
          <w:rFonts w:ascii="Georgia" w:cs="Georgia" w:eastAsia="Georgia" w:hAnsi="Georgia"/>
          <w:b/>
          <w:bCs/>
          <w:color w:val="3D5A80"/>
          <w:sz w:val="26"/>
          <w:szCs w:val="26"/>
        </w:rPr>
        <w:t xml:space="preserve">Sequencing</w:t>
      </w:r>
    </w:p>
    <w:p>
      <w:pPr>
        <w:spacing w:after="160" w:line="276"/>
        <w:jc w:val="left"/>
      </w:pPr>
      <w:r>
        <w:rPr>
          <w:rFonts w:ascii="Georgia" w:cs="Georgia" w:eastAsia="Georgia" w:hAnsi="Georgia"/>
          <w:color w:val="2C2C2C"/>
          <w:sz w:val="21"/>
          <w:szCs w:val="21"/>
        </w:rPr>
        <w:t xml:space="preserve">Templates may be produced in any order, but the recommended sequence reflects dependency depth:</w:t>
      </w:r>
    </w:p>
    <w:p>
      <w:pPr>
        <w:pStyle w:val="ListParagraph"/>
        <w:numPr>
          <w:ilvl w:val="0"/>
          <w:numId w:val="2"/>
        </w:numPr>
        <w:spacing w:after="120" w:line="276"/>
      </w:pPr>
      <w:r>
        <w:rPr>
          <w:rFonts w:ascii="Georgia" w:cs="Georgia" w:eastAsia="Georgia" w:hAnsi="Georgia"/>
          <w:b/>
          <w:bCs/>
          <w:color w:val="1B2A4A"/>
          <w:sz w:val="21"/>
          <w:szCs w:val="21"/>
        </w:rPr>
        <w:t xml:space="preserve">T1: Culture Map. </w:t>
      </w:r>
      <w:r>
        <w:rPr>
          <w:rFonts w:ascii="Georgia" w:cs="Georgia" w:eastAsia="Georgia" w:hAnsi="Georgia"/>
          <w:color w:val="2C2C2C"/>
          <w:sz w:val="21"/>
          <w:szCs w:val="21"/>
        </w:rPr>
        <w:t xml:space="preserve">Requires only the Ecosystem Analysis. No template dependencies. Produces the cultural foundation that T4 (Language) builds upon.</w:t>
      </w:r>
    </w:p>
    <w:p>
      <w:pPr>
        <w:pStyle w:val="ListParagraph"/>
        <w:numPr>
          <w:ilvl w:val="0"/>
          <w:numId w:val="2"/>
        </w:numPr>
        <w:spacing w:after="120" w:line="276"/>
      </w:pPr>
      <w:r>
        <w:rPr>
          <w:rFonts w:ascii="Georgia" w:cs="Georgia" w:eastAsia="Georgia" w:hAnsi="Georgia"/>
          <w:b/>
          <w:bCs/>
          <w:color w:val="1B2A4A"/>
          <w:sz w:val="21"/>
          <w:szCs w:val="21"/>
        </w:rPr>
        <w:t xml:space="preserve">T2: Lever Architecture. </w:t>
      </w:r>
      <w:r>
        <w:rPr>
          <w:rFonts w:ascii="Georgia" w:cs="Georgia" w:eastAsia="Georgia" w:hAnsi="Georgia"/>
          <w:color w:val="2C2C2C"/>
          <w:sz w:val="21"/>
          <w:szCs w:val="21"/>
        </w:rPr>
        <w:t xml:space="preserve">Requires only the Ecosystem Analysis. No template dependencies. Produces the trigger catalogue that T3 (Decisions) builds upon.</w:t>
      </w:r>
    </w:p>
    <w:p>
      <w:pPr>
        <w:pStyle w:val="ListParagraph"/>
        <w:numPr>
          <w:ilvl w:val="0"/>
          <w:numId w:val="2"/>
        </w:numPr>
        <w:spacing w:after="120" w:line="276"/>
      </w:pPr>
      <w:r>
        <w:rPr>
          <w:rFonts w:ascii="Georgia" w:cs="Georgia" w:eastAsia="Georgia" w:hAnsi="Georgia"/>
          <w:b/>
          <w:bCs/>
          <w:color w:val="1B2A4A"/>
          <w:sz w:val="21"/>
          <w:szCs w:val="21"/>
        </w:rPr>
        <w:t xml:space="preserve">T4: Language &amp; Semiotics. </w:t>
      </w:r>
      <w:r>
        <w:rPr>
          <w:rFonts w:ascii="Georgia" w:cs="Georgia" w:eastAsia="Georgia" w:hAnsi="Georgia"/>
          <w:color w:val="2C2C2C"/>
          <w:sz w:val="21"/>
          <w:szCs w:val="21"/>
        </w:rPr>
        <w:t xml:space="preserve">Strongest when produced after T1 (Culture), as cultural context enriches language analysis. Can be produced standalone but loses depth.</w:t>
      </w:r>
    </w:p>
    <w:p>
      <w:pPr>
        <w:pStyle w:val="ListParagraph"/>
        <w:numPr>
          <w:ilvl w:val="0"/>
          <w:numId w:val="2"/>
        </w:numPr>
        <w:spacing w:after="120" w:line="276"/>
      </w:pPr>
      <w:r>
        <w:rPr>
          <w:rFonts w:ascii="Georgia" w:cs="Georgia" w:eastAsia="Georgia" w:hAnsi="Georgia"/>
          <w:b/>
          <w:bCs/>
          <w:color w:val="1B2A4A"/>
          <w:sz w:val="21"/>
          <w:szCs w:val="21"/>
        </w:rPr>
        <w:t xml:space="preserve">T3: Decision Architecture. </w:t>
      </w:r>
      <w:r>
        <w:rPr>
          <w:rFonts w:ascii="Georgia" w:cs="Georgia" w:eastAsia="Georgia" w:hAnsi="Georgia"/>
          <w:color w:val="2C2C2C"/>
          <w:sz w:val="21"/>
          <w:szCs w:val="21"/>
        </w:rPr>
        <w:t xml:space="preserve">Strongest when produced after T2 (Levers), as trigger knowledge informs decision pathway mapping. Can be produced standalone.</w:t>
      </w:r>
    </w:p>
    <w:p>
      <w:pPr>
        <w:pStyle w:val="ListParagraph"/>
        <w:numPr>
          <w:ilvl w:val="0"/>
          <w:numId w:val="2"/>
        </w:numPr>
        <w:spacing w:after="120" w:line="276"/>
      </w:pPr>
      <w:r>
        <w:rPr>
          <w:rFonts w:ascii="Georgia" w:cs="Georgia" w:eastAsia="Georgia" w:hAnsi="Georgia"/>
          <w:b/>
          <w:bCs/>
          <w:color w:val="1B2A4A"/>
          <w:sz w:val="21"/>
          <w:szCs w:val="21"/>
        </w:rPr>
        <w:t xml:space="preserve">T5: Competitive Topology. </w:t>
      </w:r>
      <w:r>
        <w:rPr>
          <w:rFonts w:ascii="Georgia" w:cs="Georgia" w:eastAsia="Georgia" w:hAnsi="Georgia"/>
          <w:color w:val="2C2C2C"/>
          <w:sz w:val="21"/>
          <w:szCs w:val="21"/>
        </w:rPr>
        <w:t xml:space="preserve">Can be produced at any time. No template dependencies. Benefits from all prior templates for richer interpretation.</w:t>
      </w:r>
    </w:p>
    <w:p>
      <w:pPr>
        <w:spacing w:after="160" w:line="276"/>
        <w:jc w:val="left"/>
      </w:pPr>
      <w:r>
        <w:rPr>
          <w:rFonts w:ascii="Georgia" w:cs="Georgia" w:eastAsia="Georgia" w:hAnsi="Georgia"/>
          <w:color w:val="2C2C2C"/>
          <w:sz w:val="21"/>
          <w:szCs w:val="21"/>
        </w:rPr>
        <w:t xml:space="preserve">Not every ecosystem requires all five templates. Commission only those whose downstream decisions are imminent. A template produced six months before it is needed will require refreshing.</w:t>
      </w:r>
    </w:p>
    <w:p>
      <w:pPr>
        <w:pStyle w:val="Heading2"/>
        <w:spacing w:after="160" w:before="280"/>
      </w:pPr>
      <w:r>
        <w:rPr>
          <w:rFonts w:ascii="Georgia" w:cs="Georgia" w:eastAsia="Georgia" w:hAnsi="Georgia"/>
          <w:b/>
          <w:bCs/>
          <w:color w:val="3D5A80"/>
          <w:sz w:val="26"/>
          <w:szCs w:val="26"/>
        </w:rPr>
        <w:t xml:space="preserve">Universal Standards</w:t>
      </w:r>
    </w:p>
    <w:p>
      <w:pPr>
        <w:spacing w:after="160" w:line="276"/>
        <w:jc w:val="left"/>
      </w:pPr>
      <w:r>
        <w:rPr>
          <w:rFonts w:ascii="Georgia" w:cs="Georgia" w:eastAsia="Georgia" w:hAnsi="Georgia"/>
          <w:color w:val="2C2C2C"/>
          <w:sz w:val="21"/>
          <w:szCs w:val="21"/>
        </w:rPr>
        <w:t xml:space="preserve">The following standards apply to every template in this suite:</w:t>
      </w:r>
    </w:p>
    <w:p>
      <w:pPr>
        <w:pStyle w:val="ListParagraph"/>
        <w:numPr>
          <w:ilvl w:val="0"/>
          <w:numId w:val="3"/>
        </w:numPr>
        <w:spacing w:after="100" w:line="276"/>
      </w:pPr>
      <w:r>
        <w:rPr>
          <w:rFonts w:ascii="Georgia" w:cs="Georgia" w:eastAsia="Georgia" w:hAnsi="Georgia"/>
          <w:b/>
          <w:bCs/>
          <w:color w:val="1B2A4A"/>
          <w:sz w:val="21"/>
          <w:szCs w:val="21"/>
        </w:rPr>
        <w:t xml:space="preserve">Product agnosticism. </w:t>
      </w:r>
      <w:r>
        <w:rPr>
          <w:rFonts w:ascii="Georgia" w:cs="Georgia" w:eastAsia="Georgia" w:hAnsi="Georgia"/>
          <w:color w:val="2C2C2C"/>
          <w:sz w:val="21"/>
          <w:szCs w:val="21"/>
        </w:rPr>
        <w:t xml:space="preserve">No template may contain product names, feature lists, or build plans. They analyse the market, not the solution.</w:t>
      </w:r>
    </w:p>
    <w:p>
      <w:pPr>
        <w:pStyle w:val="ListParagraph"/>
        <w:numPr>
          <w:ilvl w:val="0"/>
          <w:numId w:val="3"/>
        </w:numPr>
        <w:spacing w:after="100" w:line="276"/>
      </w:pPr>
      <w:r>
        <w:rPr>
          <w:rFonts w:ascii="Georgia" w:cs="Georgia" w:eastAsia="Georgia" w:hAnsi="Georgia"/>
          <w:b/>
          <w:bCs/>
          <w:color w:val="1B2A4A"/>
          <w:sz w:val="21"/>
          <w:szCs w:val="21"/>
        </w:rPr>
        <w:t xml:space="preserve">Ecosystem specificity. </w:t>
      </w:r>
      <w:r>
        <w:rPr>
          <w:rFonts w:ascii="Georgia" w:cs="Georgia" w:eastAsia="Georgia" w:hAnsi="Georgia"/>
          <w:color w:val="2C2C2C"/>
          <w:sz w:val="21"/>
          <w:szCs w:val="21"/>
        </w:rPr>
        <w:t xml:space="preserve">Every claim must be specific to the ecosystem under analysis. Generic observations about human behaviour or business dynamics that apply equally to any market fail the standard.</w:t>
      </w:r>
    </w:p>
    <w:p>
      <w:pPr>
        <w:pStyle w:val="ListParagraph"/>
        <w:numPr>
          <w:ilvl w:val="0"/>
          <w:numId w:val="3"/>
        </w:numPr>
        <w:spacing w:after="100" w:line="276"/>
      </w:pPr>
      <w:r>
        <w:rPr>
          <w:rFonts w:ascii="Georgia" w:cs="Georgia" w:eastAsia="Georgia" w:hAnsi="Georgia"/>
          <w:b/>
          <w:bCs/>
          <w:color w:val="1B2A4A"/>
          <w:sz w:val="21"/>
          <w:szCs w:val="21"/>
        </w:rPr>
        <w:t xml:space="preserve">Evidence basis. </w:t>
      </w:r>
      <w:r>
        <w:rPr>
          <w:rFonts w:ascii="Georgia" w:cs="Georgia" w:eastAsia="Georgia" w:hAnsi="Georgia"/>
          <w:color w:val="2C2C2C"/>
          <w:sz w:val="21"/>
          <w:szCs w:val="21"/>
        </w:rPr>
        <w:t xml:space="preserve">All factual claims must be sourced. The source hierarchy from the Ecosystem Analysis Standard (Tier 1–5) applies to all templates.</w:t>
      </w:r>
    </w:p>
    <w:p>
      <w:pPr>
        <w:pStyle w:val="ListParagraph"/>
        <w:numPr>
          <w:ilvl w:val="0"/>
          <w:numId w:val="3"/>
        </w:numPr>
        <w:spacing w:after="100" w:line="276"/>
      </w:pPr>
      <w:r>
        <w:rPr>
          <w:rFonts w:ascii="Georgia" w:cs="Georgia" w:eastAsia="Georgia" w:hAnsi="Georgia"/>
          <w:b/>
          <w:bCs/>
          <w:color w:val="1B2A4A"/>
          <w:sz w:val="21"/>
          <w:szCs w:val="21"/>
        </w:rPr>
        <w:t xml:space="preserve">Formatting consistency. </w:t>
      </w:r>
      <w:r>
        <w:rPr>
          <w:rFonts w:ascii="Georgia" w:cs="Georgia" w:eastAsia="Georgia" w:hAnsi="Georgia"/>
          <w:color w:val="2C2C2C"/>
          <w:sz w:val="21"/>
          <w:szCs w:val="21"/>
        </w:rPr>
        <w:t xml:space="preserve">All templates use the same typographic and structural conventions defined in the Ecosystem Analysis Standard, Part 5.</w:t>
      </w:r>
    </w:p>
    <w:p>
      <w:pPr>
        <w:pStyle w:val="ListParagraph"/>
        <w:numPr>
          <w:ilvl w:val="0"/>
          <w:numId w:val="3"/>
        </w:numPr>
        <w:spacing w:after="100" w:line="276"/>
      </w:pPr>
      <w:r>
        <w:rPr>
          <w:rFonts w:ascii="Georgia" w:cs="Georgia" w:eastAsia="Georgia" w:hAnsi="Georgia"/>
          <w:b/>
          <w:bCs/>
          <w:color w:val="1B2A4A"/>
          <w:sz w:val="21"/>
          <w:szCs w:val="21"/>
        </w:rPr>
        <w:t xml:space="preserve">Callout conventions. </w:t>
      </w:r>
      <w:r>
        <w:rPr>
          <w:rFonts w:ascii="Georgia" w:cs="Georgia" w:eastAsia="Georgia" w:hAnsi="Georgia"/>
          <w:color w:val="2C2C2C"/>
          <w:sz w:val="21"/>
          <w:szCs w:val="21"/>
        </w:rPr>
        <w:t xml:space="preserve">Teal borders for governing questions. Amber borders for quality gates. Accent borders for key insights.</w:t>
      </w:r>
    </w:p>
    <w:p>
      <w:r>
        <w:br w:type="page"/>
      </w:r>
    </w:p>
    <w:p>
      <w:pPr>
        <w:spacing w:after="60" w:before="120"/>
      </w:pPr>
      <w:r>
        <w:rPr>
          <w:rFonts w:ascii="Georgia" w:cs="Georgia" w:eastAsia="Georgia" w:hAnsi="Georgia"/>
          <w:b/>
          <w:bCs/>
          <w:color w:val="E07A5F"/>
          <w:spacing w:val="180"/>
          <w:sz w:val="16"/>
          <w:szCs w:val="16"/>
        </w:rPr>
        <w:t xml:space="preserve">TEMPLATE 1</w:t>
      </w:r>
    </w:p>
    <w:p>
      <w:pPr>
        <w:pBdr>
          <w:bottom w:val="single" w:color="E07A5F" w:sz="4" w:space="8"/>
        </w:pBdr>
        <w:spacing w:after="60"/>
      </w:pPr>
      <w:r>
        <w:rPr>
          <w:rFonts w:ascii="Georgia" w:cs="Georgia" w:eastAsia="Georgia" w:hAnsi="Georgia"/>
          <w:b/>
          <w:bCs/>
          <w:color w:val="1B2A4A"/>
          <w:sz w:val="36"/>
          <w:szCs w:val="36"/>
        </w:rPr>
        <w:t xml:space="preserve">Culture Map</w:t>
      </w:r>
    </w:p>
    <w:p>
      <w:pPr>
        <w:spacing w:after="80" w:before="120"/>
      </w:pPr>
      <w:r>
        <w:rPr>
          <w:rFonts w:ascii="Georgia" w:cs="Georgia" w:eastAsia="Georgia" w:hAnsi="Georgia"/>
          <w:i/>
          <w:iCs/>
          <w:color w:val="3D5A80"/>
          <w:sz w:val="22"/>
          <w:szCs w:val="22"/>
        </w:rPr>
        <w:t xml:space="preserve">The tribal identity, belief systems, rituals, and social architecture of the ecosystem.</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Brand voice, messaging strategy, community positioning, content tone, visual identity direction.</w:t>
      </w:r>
    </w:p>
    <w:p>
      <w:pPr>
        <w:pStyle w:val="Heading2"/>
        <w:spacing w:after="160" w:before="280"/>
      </w:pPr>
      <w:r>
        <w:rPr>
          <w:rFonts w:ascii="Georgia" w:cs="Georgia" w:eastAsia="Georgia" w:hAnsi="Georgia"/>
          <w:b/>
          <w:bCs/>
          <w:color w:val="3D5A80"/>
          <w:sz w:val="26"/>
          <w:szCs w:val="26"/>
        </w:rPr>
        <w:t xml:space="preserve">1.1 Purpose</w:t>
      </w:r>
    </w:p>
    <w:p>
      <w:pPr>
        <w:spacing w:after="160" w:line="276"/>
        <w:jc w:val="left"/>
      </w:pPr>
      <w:r>
        <w:rPr>
          <w:rFonts w:ascii="Georgia" w:cs="Georgia" w:eastAsia="Georgia" w:hAnsi="Georgia"/>
          <w:color w:val="2C2C2C"/>
          <w:sz w:val="21"/>
          <w:szCs w:val="21"/>
        </w:rPr>
        <w:t xml:space="preserve">Markets are not merely collections of buyers. They are cultures — communities with shared beliefs, origin narratives, social hierarchies, rituals, language, and antagonists. A Culture Map decodes these cultural mechanics so that any product, brand, or communication entering the ecosystem can be designed to feel native rather than foreign.</w:t>
      </w:r>
    </w:p>
    <w:p>
      <w:pPr>
        <w:pBdr>
          <w:left w:val="single" w:color="E07A5F" w:sz="12" w:space="8"/>
        </w:pBdr>
        <w:spacing w:after="200" w:before="200"/>
        <w:ind w:left="360" w:right="360"/>
      </w:pPr>
      <w:r>
        <w:rPr>
          <w:rFonts w:ascii="Georgia" w:cs="Georgia" w:eastAsia="Georgia" w:hAnsi="Georgia"/>
          <w:i/>
          <w:iCs/>
          <w:color w:val="3D5A80"/>
          <w:sz w:val="21"/>
          <w:szCs w:val="21"/>
        </w:rPr>
        <w:t xml:space="preserve">A product that violates the cultural norms of its market will fail regardless of its utility. A product that embodies those norms gains an adoption advantage that no feature list can replicate.</w:t>
      </w:r>
    </w:p>
    <w:p>
      <w:pPr>
        <w:pStyle w:val="Heading2"/>
        <w:spacing w:after="160" w:before="280"/>
      </w:pPr>
      <w:r>
        <w:rPr>
          <w:rFonts w:ascii="Georgia" w:cs="Georgia" w:eastAsia="Georgia" w:hAnsi="Georgia"/>
          <w:b/>
          <w:bCs/>
          <w:color w:val="3D5A80"/>
          <w:sz w:val="26"/>
          <w:szCs w:val="26"/>
        </w:rPr>
        <w:t xml:space="preserve">1.2 Mandatory Structure</w:t>
      </w:r>
    </w:p>
    <w:p>
      <w:pPr>
        <w:spacing w:after="160" w:line="276"/>
        <w:jc w:val="left"/>
      </w:pPr>
      <w:r>
        <w:rPr>
          <w:rFonts w:ascii="Georgia" w:cs="Georgia" w:eastAsia="Georgia" w:hAnsi="Georgia"/>
          <w:color w:val="2C2C2C"/>
          <w:sz w:val="21"/>
          <w:szCs w:val="21"/>
        </w:rPr>
        <w:t xml:space="preserve">Every Culture Map must contain the following eight sections, derived from foundational cultural branding frameworks:</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The Creation Story</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shared narrative explains why this ecosystem exists and why participation in it is meaningful?</w:t>
      </w:r>
    </w:p>
    <w:p>
      <w:pPr>
        <w:spacing w:after="160" w:line="276"/>
        <w:jc w:val="left"/>
      </w:pPr>
      <w:r>
        <w:rPr>
          <w:rFonts w:ascii="Georgia" w:cs="Georgia" w:eastAsia="Georgia" w:hAnsi="Georgia"/>
          <w:color w:val="2C2C2C"/>
          <w:sz w:val="21"/>
          <w:szCs w:val="21"/>
        </w:rPr>
        <w:t xml:space="preserve">Every culture has an origin myth. It may not be literally true, but it is believed. The creation story explains the grievance (what was wrong before), the catalyst (what changed), and the movement (what participants are building together).</w:t>
      </w:r>
    </w:p>
    <w:p>
      <w:pPr>
        <w:pStyle w:val="ListParagraph"/>
        <w:numPr>
          <w:ilvl w:val="0"/>
          <w:numId w:val="3"/>
        </w:numPr>
        <w:spacing w:after="100" w:line="276"/>
      </w:pPr>
      <w:r>
        <w:rPr>
          <w:rFonts w:ascii="Georgia" w:cs="Georgia" w:eastAsia="Georgia" w:hAnsi="Georgia"/>
          <w:color w:val="2C2C2C"/>
          <w:sz w:val="21"/>
          <w:szCs w:val="21"/>
        </w:rPr>
        <w:t xml:space="preserve">Document the grievance narrative: what injustice, inefficiency, or exclusion does the community believe it is correcting?</w:t>
      </w:r>
    </w:p>
    <w:p>
      <w:pPr>
        <w:pStyle w:val="ListParagraph"/>
        <w:numPr>
          <w:ilvl w:val="0"/>
          <w:numId w:val="3"/>
        </w:numPr>
        <w:spacing w:after="100" w:line="276"/>
      </w:pPr>
      <w:r>
        <w:rPr>
          <w:rFonts w:ascii="Georgia" w:cs="Georgia" w:eastAsia="Georgia" w:hAnsi="Georgia"/>
          <w:color w:val="2C2C2C"/>
          <w:sz w:val="21"/>
          <w:szCs w:val="21"/>
        </w:rPr>
        <w:t xml:space="preserve">Identify the catalyst moment: when did the movement become self-aware? Was it a viral event, a regulatory failure, a platform launch?</w:t>
      </w:r>
    </w:p>
    <w:p>
      <w:pPr>
        <w:pStyle w:val="ListParagraph"/>
        <w:numPr>
          <w:ilvl w:val="0"/>
          <w:numId w:val="3"/>
        </w:numPr>
        <w:spacing w:after="100" w:line="276"/>
      </w:pPr>
      <w:r>
        <w:rPr>
          <w:rFonts w:ascii="Georgia" w:cs="Georgia" w:eastAsia="Georgia" w:hAnsi="Georgia"/>
          <w:color w:val="2C2C2C"/>
          <w:sz w:val="21"/>
          <w:szCs w:val="21"/>
        </w:rPr>
        <w:t xml:space="preserve">State the implicit promise: what does the community believe will be true in the future if the movement succeeds?</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creation story must be stated in the community’s own framing, not the analyst’s interpretation. Source it from community content, not industry reports.</w:t>
      </w:r>
    </w:p>
    <w:p>
      <w:pPr>
        <w:spacing w:after="120" w:before="200"/>
      </w:pPr>
      <w:r>
        <w:rPr>
          <w:rFonts w:ascii="Georgia" w:cs="Georgia" w:eastAsia="Georgia" w:hAnsi="Georgia"/>
          <w:b/>
          <w:bCs/>
          <w:color w:val="1B2A4A"/>
          <w:sz w:val="22"/>
          <w:szCs w:val="22"/>
        </w:rPr>
        <w:t xml:space="preserve">Section 2: The Creed</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does this community believe to be true that outsiders may not?</w:t>
      </w:r>
    </w:p>
    <w:p>
      <w:pPr>
        <w:spacing w:after="160" w:line="276"/>
        <w:jc w:val="left"/>
      </w:pPr>
      <w:r>
        <w:rPr>
          <w:rFonts w:ascii="Georgia" w:cs="Georgia" w:eastAsia="Georgia" w:hAnsi="Georgia"/>
          <w:color w:val="2C2C2C"/>
          <w:sz w:val="21"/>
          <w:szCs w:val="21"/>
        </w:rPr>
        <w:t xml:space="preserve">The creed is the set of shared beliefs that define membership. These are not preferences — they are convictions. Members signal belonging by expressing them. Outsiders reveal themselves by contradicting them.</w:t>
      </w:r>
    </w:p>
    <w:p>
      <w:pPr>
        <w:pStyle w:val="ListParagraph"/>
        <w:numPr>
          <w:ilvl w:val="0"/>
          <w:numId w:val="3"/>
        </w:numPr>
        <w:spacing w:after="100" w:line="276"/>
      </w:pPr>
      <w:r>
        <w:rPr>
          <w:rFonts w:ascii="Georgia" w:cs="Georgia" w:eastAsia="Georgia" w:hAnsi="Georgia"/>
          <w:color w:val="2C2C2C"/>
          <w:sz w:val="21"/>
          <w:szCs w:val="21"/>
        </w:rPr>
        <w:t xml:space="preserve">List 5–10 core beliefs, stated as declarative sentences in the community’s own voice.</w:t>
      </w:r>
    </w:p>
    <w:p>
      <w:pPr>
        <w:pStyle w:val="ListParagraph"/>
        <w:numPr>
          <w:ilvl w:val="0"/>
          <w:numId w:val="3"/>
        </w:numPr>
        <w:spacing w:after="100" w:line="276"/>
      </w:pPr>
      <w:r>
        <w:rPr>
          <w:rFonts w:ascii="Georgia" w:cs="Georgia" w:eastAsia="Georgia" w:hAnsi="Georgia"/>
          <w:color w:val="2C2C2C"/>
          <w:sz w:val="21"/>
          <w:szCs w:val="21"/>
        </w:rPr>
        <w:t xml:space="preserve">For each belief, note: how widely held (universal vs. faction-specific), how intensely held (casual opinion vs. identity-defining conviction), and what contradicting it signals (ignorance, hostility, outsider status).</w:t>
      </w:r>
    </w:p>
    <w:p>
      <w:pPr>
        <w:spacing w:after="120" w:before="200"/>
      </w:pPr>
      <w:r>
        <w:rPr>
          <w:rFonts w:ascii="Georgia" w:cs="Georgia" w:eastAsia="Georgia" w:hAnsi="Georgia"/>
          <w:b/>
          <w:bCs/>
          <w:color w:val="1B2A4A"/>
          <w:sz w:val="22"/>
          <w:szCs w:val="22"/>
        </w:rPr>
        <w:t xml:space="preserve">Section 3: The Icons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people, symbols, artefacts, or references carry disproportionate cultural weight?</w:t>
      </w:r>
    </w:p>
    <w:p>
      <w:pPr>
        <w:spacing w:after="160" w:line="276"/>
        <w:jc w:val="left"/>
      </w:pPr>
      <w:r>
        <w:rPr>
          <w:rFonts w:ascii="Georgia" w:cs="Georgia" w:eastAsia="Georgia" w:hAnsi="Georgia"/>
          <w:color w:val="2C2C2C"/>
          <w:sz w:val="21"/>
          <w:szCs w:val="21"/>
        </w:rPr>
        <w:t xml:space="preserve">Icons are the shorthand of a culture. They can be people (trusted authorities, founders, villains), symbols (logos, gestures, visual motifs), artefacts (specific tools, books, templates), or references (events, memes, catchphrases) that carry meaning beyond their literal content.</w:t>
      </w:r>
    </w:p>
    <w:p>
      <w:pPr>
        <w:pStyle w:val="ListParagraph"/>
        <w:numPr>
          <w:ilvl w:val="0"/>
          <w:numId w:val="3"/>
        </w:numPr>
        <w:spacing w:after="100" w:line="276"/>
      </w:pPr>
      <w:r>
        <w:rPr>
          <w:rFonts w:ascii="Georgia" w:cs="Georgia" w:eastAsia="Georgia" w:hAnsi="Georgia"/>
          <w:color w:val="2C2C2C"/>
          <w:sz w:val="21"/>
          <w:szCs w:val="21"/>
        </w:rPr>
        <w:t xml:space="preserve">Catalogue positive icons (what the culture celebrates) and negative icons (what it rejects or ridicules).</w:t>
      </w:r>
    </w:p>
    <w:p>
      <w:pPr>
        <w:pStyle w:val="ListParagraph"/>
        <w:numPr>
          <w:ilvl w:val="0"/>
          <w:numId w:val="3"/>
        </w:numPr>
        <w:spacing w:after="100" w:line="276"/>
      </w:pPr>
      <w:r>
        <w:rPr>
          <w:rFonts w:ascii="Georgia" w:cs="Georgia" w:eastAsia="Georgia" w:hAnsi="Georgia"/>
          <w:color w:val="2C2C2C"/>
          <w:sz w:val="21"/>
          <w:szCs w:val="21"/>
        </w:rPr>
        <w:t xml:space="preserve">For each icon, note: what it symbolises, how it is used in communication, and whether its meaning is stable or evolving.</w:t>
      </w:r>
    </w:p>
    <w:p>
      <w:pPr>
        <w:spacing w:after="120" w:before="200"/>
      </w:pPr>
      <w:r>
        <w:rPr>
          <w:rFonts w:ascii="Georgia" w:cs="Georgia" w:eastAsia="Georgia" w:hAnsi="Georgia"/>
          <w:b/>
          <w:bCs/>
          <w:color w:val="1B2A4A"/>
          <w:sz w:val="22"/>
          <w:szCs w:val="22"/>
        </w:rPr>
        <w:t xml:space="preserve">Section 4: The Rituals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recurring behaviours reinforce group identity and membership?</w:t>
      </w:r>
    </w:p>
    <w:p>
      <w:pPr>
        <w:spacing w:after="160" w:line="276"/>
        <w:jc w:val="left"/>
      </w:pPr>
      <w:r>
        <w:rPr>
          <w:rFonts w:ascii="Georgia" w:cs="Georgia" w:eastAsia="Georgia" w:hAnsi="Georgia"/>
          <w:color w:val="2C2C2C"/>
          <w:sz w:val="21"/>
          <w:szCs w:val="21"/>
        </w:rPr>
        <w:t xml:space="preserve">Rituals are repeated actions that serve a cultural purpose beyond their practical function. Sharing a portfolio screenshot is not merely information — it is a status display ritual. Publicly declaring a no-spend month is not merely a financial decision — it is a commitment ritual that invites community accountability.</w:t>
      </w:r>
    </w:p>
    <w:p>
      <w:pPr>
        <w:pStyle w:val="ListParagraph"/>
        <w:numPr>
          <w:ilvl w:val="0"/>
          <w:numId w:val="3"/>
        </w:numPr>
        <w:spacing w:after="100" w:line="276"/>
      </w:pPr>
      <w:r>
        <w:rPr>
          <w:rFonts w:ascii="Georgia" w:cs="Georgia" w:eastAsia="Georgia" w:hAnsi="Georgia"/>
          <w:color w:val="2C2C2C"/>
          <w:sz w:val="21"/>
          <w:szCs w:val="21"/>
        </w:rPr>
        <w:t xml:space="preserve">Catalogue daily, weekly, seasonal, and milestone rituals.</w:t>
      </w:r>
    </w:p>
    <w:p>
      <w:pPr>
        <w:pStyle w:val="ListParagraph"/>
        <w:numPr>
          <w:ilvl w:val="0"/>
          <w:numId w:val="3"/>
        </w:numPr>
        <w:spacing w:after="100" w:line="276"/>
      </w:pPr>
      <w:r>
        <w:rPr>
          <w:rFonts w:ascii="Georgia" w:cs="Georgia" w:eastAsia="Georgia" w:hAnsi="Georgia"/>
          <w:color w:val="2C2C2C"/>
          <w:sz w:val="21"/>
          <w:szCs w:val="21"/>
        </w:rPr>
        <w:t xml:space="preserve">For each ritual: what triggers it, what participants do, what the social reward is, and how the community responds to non-participation.</w:t>
      </w:r>
    </w:p>
    <w:p>
      <w:pPr>
        <w:pStyle w:val="ListParagraph"/>
        <w:numPr>
          <w:ilvl w:val="0"/>
          <w:numId w:val="3"/>
        </w:numPr>
        <w:spacing w:after="100" w:line="276"/>
      </w:pPr>
      <w:r>
        <w:rPr>
          <w:rFonts w:ascii="Georgia" w:cs="Georgia" w:eastAsia="Georgia" w:hAnsi="Georgia"/>
          <w:color w:val="2C2C2C"/>
          <w:sz w:val="21"/>
          <w:szCs w:val="21"/>
        </w:rPr>
        <w:t xml:space="preserve">Identify which rituals are organic (emerged from the community) vs. manufactured (introduced by platforms, brands, or influential creators).</w:t>
      </w:r>
    </w:p>
    <w:p>
      <w:pPr>
        <w:spacing w:after="120" w:before="200"/>
      </w:pPr>
      <w:r>
        <w:rPr>
          <w:rFonts w:ascii="Georgia" w:cs="Georgia" w:eastAsia="Georgia" w:hAnsi="Georgia"/>
          <w:b/>
          <w:bCs/>
          <w:color w:val="1B2A4A"/>
          <w:sz w:val="22"/>
          <w:szCs w:val="22"/>
        </w:rPr>
        <w:t xml:space="preserve">Section 5: The Sacred and the Profane</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topics, behaviours, or positions are untouchable — either revered or forbidden?</w:t>
      </w:r>
    </w:p>
    <w:p>
      <w:pPr>
        <w:spacing w:after="160" w:line="276"/>
        <w:jc w:val="left"/>
      </w:pPr>
      <w:r>
        <w:rPr>
          <w:rFonts w:ascii="Georgia" w:cs="Georgia" w:eastAsia="Georgia" w:hAnsi="Georgia"/>
          <w:color w:val="2C2C2C"/>
          <w:sz w:val="21"/>
          <w:szCs w:val="21"/>
        </w:rPr>
        <w:t xml:space="preserve">Every culture has taboos and sanctities. The sacred items are things that cannot be questioned without provoking a defensive reaction. The profane items are things that cannot be endorsed without provoking rejection. Mapping both is critical for any entity entering the ecosystem.</w:t>
      </w:r>
    </w:p>
    <w:p>
      <w:pPr>
        <w:pStyle w:val="ListParagraph"/>
        <w:numPr>
          <w:ilvl w:val="0"/>
          <w:numId w:val="3"/>
        </w:numPr>
        <w:spacing w:after="100" w:line="276"/>
      </w:pPr>
      <w:r>
        <w:rPr>
          <w:rFonts w:ascii="Georgia" w:cs="Georgia" w:eastAsia="Georgia" w:hAnsi="Georgia"/>
          <w:color w:val="2C2C2C"/>
          <w:sz w:val="21"/>
          <w:szCs w:val="21"/>
        </w:rPr>
        <w:t xml:space="preserve">List sacred topics: beliefs, figures, or practices that the community defends reflexively.</w:t>
      </w:r>
    </w:p>
    <w:p>
      <w:pPr>
        <w:pStyle w:val="ListParagraph"/>
        <w:numPr>
          <w:ilvl w:val="0"/>
          <w:numId w:val="3"/>
        </w:numPr>
        <w:spacing w:after="100" w:line="276"/>
      </w:pPr>
      <w:r>
        <w:rPr>
          <w:rFonts w:ascii="Georgia" w:cs="Georgia" w:eastAsia="Georgia" w:hAnsi="Georgia"/>
          <w:color w:val="2C2C2C"/>
          <w:sz w:val="21"/>
          <w:szCs w:val="21"/>
        </w:rPr>
        <w:t xml:space="preserve">List profane topics: positions, associations, or behaviours that trigger immediate distrust or hostility.</w:t>
      </w:r>
    </w:p>
    <w:p>
      <w:pPr>
        <w:pStyle w:val="ListParagraph"/>
        <w:numPr>
          <w:ilvl w:val="0"/>
          <w:numId w:val="3"/>
        </w:numPr>
        <w:spacing w:after="100" w:line="276"/>
      </w:pPr>
      <w:r>
        <w:rPr>
          <w:rFonts w:ascii="Georgia" w:cs="Georgia" w:eastAsia="Georgia" w:hAnsi="Georgia"/>
          <w:color w:val="2C2C2C"/>
          <w:sz w:val="21"/>
          <w:szCs w:val="21"/>
        </w:rPr>
        <w:t xml:space="preserve">Note any shifting boundaries: topics that were sacred but are becoming contested, or profane topics that are being rehabilitated.</w:t>
      </w:r>
    </w:p>
    <w:p>
      <w:pPr>
        <w:spacing w:after="120" w:before="200"/>
      </w:pPr>
      <w:r>
        <w:rPr>
          <w:rFonts w:ascii="Georgia" w:cs="Georgia" w:eastAsia="Georgia" w:hAnsi="Georgia"/>
          <w:b/>
          <w:bCs/>
          <w:color w:val="1B2A4A"/>
          <w:sz w:val="22"/>
          <w:szCs w:val="22"/>
        </w:rPr>
        <w:t xml:space="preserve">Section 6: The Social Hierarchy</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How is status distributed, earned, and maintained within the ecosystem?</w:t>
      </w:r>
    </w:p>
    <w:p>
      <w:pPr>
        <w:spacing w:after="160" w:line="276"/>
        <w:jc w:val="left"/>
      </w:pPr>
      <w:r>
        <w:rPr>
          <w:rFonts w:ascii="Georgia" w:cs="Georgia" w:eastAsia="Georgia" w:hAnsi="Georgia"/>
          <w:color w:val="2C2C2C"/>
          <w:sz w:val="21"/>
          <w:szCs w:val="21"/>
        </w:rPr>
        <w:t xml:space="preserve">Every community has a status architecture. It may not be explicit, but it governs who gets attention, trust, and commercial opportunity. Map the tiers, the currencies, and the mobility mechanisms.</w:t>
      </w:r>
    </w:p>
    <w:p>
      <w:pPr>
        <w:pStyle w:val="ListParagraph"/>
        <w:numPr>
          <w:ilvl w:val="0"/>
          <w:numId w:val="3"/>
        </w:numPr>
        <w:spacing w:after="100" w:line="276"/>
      </w:pPr>
      <w:r>
        <w:rPr>
          <w:rFonts w:ascii="Georgia" w:cs="Georgia" w:eastAsia="Georgia" w:hAnsi="Georgia"/>
          <w:color w:val="2C2C2C"/>
          <w:sz w:val="21"/>
          <w:szCs w:val="21"/>
        </w:rPr>
        <w:t xml:space="preserve">Define the hierarchy tiers: what distinguishes a newcomer from an established member from a leader?</w:t>
      </w:r>
    </w:p>
    <w:p>
      <w:pPr>
        <w:pStyle w:val="ListParagraph"/>
        <w:numPr>
          <w:ilvl w:val="0"/>
          <w:numId w:val="3"/>
        </w:numPr>
        <w:spacing w:after="100" w:line="276"/>
      </w:pPr>
      <w:r>
        <w:rPr>
          <w:rFonts w:ascii="Georgia" w:cs="Georgia" w:eastAsia="Georgia" w:hAnsi="Georgia"/>
          <w:color w:val="2C2C2C"/>
          <w:sz w:val="21"/>
          <w:szCs w:val="21"/>
        </w:rPr>
        <w:t xml:space="preserve">Identify the status currencies: what earns status? (Followers? Credentials? Results? Vulnerability? Contrarianism?)</w:t>
      </w:r>
    </w:p>
    <w:p>
      <w:pPr>
        <w:pStyle w:val="ListParagraph"/>
        <w:numPr>
          <w:ilvl w:val="0"/>
          <w:numId w:val="3"/>
        </w:numPr>
        <w:spacing w:after="100" w:line="276"/>
      </w:pPr>
      <w:r>
        <w:rPr>
          <w:rFonts w:ascii="Georgia" w:cs="Georgia" w:eastAsia="Georgia" w:hAnsi="Georgia"/>
          <w:color w:val="2C2C2C"/>
          <w:sz w:val="21"/>
          <w:szCs w:val="21"/>
        </w:rPr>
        <w:t xml:space="preserve">Map mobility mechanics: how does someone move up? Are there gatekeepers? Is there a credentialling process?</w:t>
      </w:r>
    </w:p>
    <w:p>
      <w:pPr>
        <w:pStyle w:val="ListParagraph"/>
        <w:numPr>
          <w:ilvl w:val="0"/>
          <w:numId w:val="3"/>
        </w:numPr>
        <w:spacing w:after="100" w:line="276"/>
      </w:pPr>
      <w:r>
        <w:rPr>
          <w:rFonts w:ascii="Georgia" w:cs="Georgia" w:eastAsia="Georgia" w:hAnsi="Georgia"/>
          <w:color w:val="2C2C2C"/>
          <w:sz w:val="21"/>
          <w:szCs w:val="21"/>
        </w:rPr>
        <w:t xml:space="preserve">Identify status threats: what causes someone to lose status? (Being wrong publicly? Selling out? Regulatory violation?)</w:t>
      </w:r>
    </w:p>
    <w:p>
      <w:pPr>
        <w:spacing w:after="120" w:before="200"/>
      </w:pPr>
      <w:r>
        <w:rPr>
          <w:rFonts w:ascii="Georgia" w:cs="Georgia" w:eastAsia="Georgia" w:hAnsi="Georgia"/>
          <w:b/>
          <w:bCs/>
          <w:color w:val="1B2A4A"/>
          <w:sz w:val="22"/>
          <w:szCs w:val="22"/>
        </w:rPr>
        <w:t xml:space="preserve">Section 7: The Sub-Tribes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distinct factions exist within the broader culture, and where do they diverge?</w:t>
      </w:r>
    </w:p>
    <w:p>
      <w:pPr>
        <w:spacing w:after="160" w:line="276"/>
        <w:jc w:val="left"/>
      </w:pPr>
      <w:r>
        <w:rPr>
          <w:rFonts w:ascii="Georgia" w:cs="Georgia" w:eastAsia="Georgia" w:hAnsi="Georgia"/>
          <w:color w:val="2C2C2C"/>
          <w:sz w:val="21"/>
          <w:szCs w:val="21"/>
        </w:rPr>
        <w:t xml:space="preserve">No ecosystem culture is monolithic. Sub-tribes share the creation story and creed but diverge on emphasis, identity, and sometimes antagonism toward each other. A finance ecosystem might contain passive-index advocates, active traders, crypto maximalists, frugality devotees, and real-estate enthusiasts — all under the “financial empowerment” umbrella but with distinct cultures.</w:t>
      </w:r>
    </w:p>
    <w:p>
      <w:pPr>
        <w:pStyle w:val="ListParagraph"/>
        <w:numPr>
          <w:ilvl w:val="0"/>
          <w:numId w:val="3"/>
        </w:numPr>
        <w:spacing w:after="100" w:line="276"/>
      </w:pPr>
      <w:r>
        <w:rPr>
          <w:rFonts w:ascii="Georgia" w:cs="Georgia" w:eastAsia="Georgia" w:hAnsi="Georgia"/>
          <w:color w:val="2C2C2C"/>
          <w:sz w:val="21"/>
          <w:szCs w:val="21"/>
        </w:rPr>
        <w:t xml:space="preserve">Identify 3–7 sub-tribes with distinct identities.</w:t>
      </w:r>
    </w:p>
    <w:p>
      <w:pPr>
        <w:pStyle w:val="ListParagraph"/>
        <w:numPr>
          <w:ilvl w:val="0"/>
          <w:numId w:val="3"/>
        </w:numPr>
        <w:spacing w:after="100" w:line="276"/>
      </w:pPr>
      <w:r>
        <w:rPr>
          <w:rFonts w:ascii="Georgia" w:cs="Georgia" w:eastAsia="Georgia" w:hAnsi="Georgia"/>
          <w:color w:val="2C2C2C"/>
          <w:sz w:val="21"/>
          <w:szCs w:val="21"/>
        </w:rPr>
        <w:t xml:space="preserve">For each: what distinguishes them from the broader culture? What do they believe that other sub-tribes contest? Where do they congregate? How do they signal membership?</w:t>
      </w:r>
    </w:p>
    <w:p>
      <w:pPr>
        <w:pStyle w:val="ListParagraph"/>
        <w:numPr>
          <w:ilvl w:val="0"/>
          <w:numId w:val="3"/>
        </w:numPr>
        <w:spacing w:after="100" w:line="276"/>
      </w:pPr>
      <w:r>
        <w:rPr>
          <w:rFonts w:ascii="Georgia" w:cs="Georgia" w:eastAsia="Georgia" w:hAnsi="Georgia"/>
          <w:color w:val="2C2C2C"/>
          <w:sz w:val="21"/>
          <w:szCs w:val="21"/>
        </w:rPr>
        <w:t xml:space="preserve">Map the inter-tribal dynamics: which sub-tribes are allied? Which are in tension? Are there bridge figures who move between tribes?</w:t>
      </w:r>
    </w:p>
    <w:p>
      <w:pPr>
        <w:spacing w:after="120" w:before="200"/>
      </w:pPr>
      <w:r>
        <w:rPr>
          <w:rFonts w:ascii="Georgia" w:cs="Georgia" w:eastAsia="Georgia" w:hAnsi="Georgia"/>
          <w:b/>
          <w:bCs/>
          <w:color w:val="1B2A4A"/>
          <w:sz w:val="22"/>
          <w:szCs w:val="22"/>
        </w:rPr>
        <w:t xml:space="preserve">Section 8: Cultural Trajectory</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How is this culture evolving, and where is it heading?</w:t>
      </w:r>
    </w:p>
    <w:p>
      <w:pPr>
        <w:spacing w:after="160" w:line="276"/>
        <w:jc w:val="left"/>
      </w:pPr>
      <w:r>
        <w:rPr>
          <w:rFonts w:ascii="Georgia" w:cs="Georgia" w:eastAsia="Georgia" w:hAnsi="Georgia"/>
          <w:color w:val="2C2C2C"/>
          <w:sz w:val="21"/>
          <w:szCs w:val="21"/>
        </w:rPr>
        <w:t xml:space="preserve">Cultures are not static. They are born, they grow, they professionalise, they fragment, and sometimes they die. Position this culture on its lifecycle and identify the forces driving its evolution.</w:t>
      </w:r>
    </w:p>
    <w:p>
      <w:pPr>
        <w:pStyle w:val="ListParagraph"/>
        <w:numPr>
          <w:ilvl w:val="0"/>
          <w:numId w:val="3"/>
        </w:numPr>
        <w:spacing w:after="100" w:line="276"/>
      </w:pPr>
      <w:r>
        <w:rPr>
          <w:rFonts w:ascii="Georgia" w:cs="Georgia" w:eastAsia="Georgia" w:hAnsi="Georgia"/>
          <w:color w:val="2C2C2C"/>
          <w:sz w:val="21"/>
          <w:szCs w:val="21"/>
        </w:rPr>
        <w:t xml:space="preserve">Current lifecycle position: emergent, growth, mainstream adoption, institutionalisation, or fragmentation?</w:t>
      </w:r>
    </w:p>
    <w:p>
      <w:pPr>
        <w:pStyle w:val="ListParagraph"/>
        <w:numPr>
          <w:ilvl w:val="0"/>
          <w:numId w:val="3"/>
        </w:numPr>
        <w:spacing w:after="100" w:line="276"/>
      </w:pPr>
      <w:r>
        <w:rPr>
          <w:rFonts w:ascii="Georgia" w:cs="Georgia" w:eastAsia="Georgia" w:hAnsi="Georgia"/>
          <w:color w:val="2C2C2C"/>
          <w:sz w:val="21"/>
          <w:szCs w:val="21"/>
        </w:rPr>
        <w:t xml:space="preserve">What cultural shifts are underway? (e.g., shifting from anti-establishment to institutional partnership)</w:t>
      </w:r>
    </w:p>
    <w:p>
      <w:pPr>
        <w:pStyle w:val="ListParagraph"/>
        <w:numPr>
          <w:ilvl w:val="0"/>
          <w:numId w:val="3"/>
        </w:numPr>
        <w:spacing w:after="100" w:line="276"/>
      </w:pPr>
      <w:r>
        <w:rPr>
          <w:rFonts w:ascii="Georgia" w:cs="Georgia" w:eastAsia="Georgia" w:hAnsi="Georgia"/>
          <w:color w:val="2C2C2C"/>
          <w:sz w:val="21"/>
          <w:szCs w:val="21"/>
        </w:rPr>
        <w:t xml:space="preserve">What external forces are pressuring the culture to change? (Regulation, platform changes, demographic expansion)</w:t>
      </w:r>
    </w:p>
    <w:p>
      <w:pPr>
        <w:pStyle w:val="ListParagraph"/>
        <w:numPr>
          <w:ilvl w:val="0"/>
          <w:numId w:val="3"/>
        </w:numPr>
        <w:spacing w:after="100" w:line="276"/>
      </w:pPr>
      <w:r>
        <w:rPr>
          <w:rFonts w:ascii="Georgia" w:cs="Georgia" w:eastAsia="Georgia" w:hAnsi="Georgia"/>
          <w:color w:val="2C2C2C"/>
          <w:sz w:val="21"/>
          <w:szCs w:val="21"/>
        </w:rPr>
        <w:t xml:space="preserve">What is the community’s attitude toward its own evolution? (Embracing change, resisting it, or unaware of it?)</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Culture Map must source at least 60% of its observations from primary community content (social media posts, forum discussions, creator content, community surveys) rather than third-party reports about the community. Outsider descriptions of a culture are inherently less accurate than the culture’s self-expression.</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1.3 Research Methodology</w:t>
      </w:r>
    </w:p>
    <w:p>
      <w:pPr>
        <w:pStyle w:val="ListParagraph"/>
        <w:numPr>
          <w:ilvl w:val="0"/>
          <w:numId w:val="2"/>
        </w:numPr>
        <w:spacing w:after="120" w:line="276"/>
      </w:pPr>
      <w:r>
        <w:rPr>
          <w:rFonts w:ascii="Georgia" w:cs="Georgia" w:eastAsia="Georgia" w:hAnsi="Georgia"/>
          <w:b/>
          <w:bCs/>
          <w:color w:val="1B2A4A"/>
          <w:sz w:val="21"/>
          <w:szCs w:val="21"/>
        </w:rPr>
        <w:t xml:space="preserve">Immersion scan. </w:t>
      </w:r>
      <w:r>
        <w:rPr>
          <w:rFonts w:ascii="Georgia" w:cs="Georgia" w:eastAsia="Georgia" w:hAnsi="Georgia"/>
          <w:color w:val="2C2C2C"/>
          <w:sz w:val="21"/>
          <w:szCs w:val="21"/>
        </w:rPr>
        <w:t xml:space="preserve">Spend a minimum of 4 hours consuming native content from the ecosystem’s primary platforms. Note recurring themes, in-jokes, shared references, and emotional triggers.</w:t>
      </w:r>
    </w:p>
    <w:p>
      <w:pPr>
        <w:pStyle w:val="ListParagraph"/>
        <w:numPr>
          <w:ilvl w:val="0"/>
          <w:numId w:val="2"/>
        </w:numPr>
        <w:spacing w:after="120" w:line="276"/>
      </w:pPr>
      <w:r>
        <w:rPr>
          <w:rFonts w:ascii="Georgia" w:cs="Georgia" w:eastAsia="Georgia" w:hAnsi="Georgia"/>
          <w:b/>
          <w:bCs/>
          <w:color w:val="1B2A4A"/>
          <w:sz w:val="21"/>
          <w:szCs w:val="21"/>
        </w:rPr>
        <w:t xml:space="preserve">Creator content audit. </w:t>
      </w:r>
      <w:r>
        <w:rPr>
          <w:rFonts w:ascii="Georgia" w:cs="Georgia" w:eastAsia="Georgia" w:hAnsi="Georgia"/>
          <w:color w:val="2C2C2C"/>
          <w:sz w:val="21"/>
          <w:szCs w:val="21"/>
        </w:rPr>
        <w:t xml:space="preserve">Analyse 15–20 pieces of content from creators across the status hierarchy (top-tier, mid-tier, emerging). Identify shared cultural markers vs. tier-specific signals.</w:t>
      </w:r>
    </w:p>
    <w:p>
      <w:pPr>
        <w:pStyle w:val="ListParagraph"/>
        <w:numPr>
          <w:ilvl w:val="0"/>
          <w:numId w:val="2"/>
        </w:numPr>
        <w:spacing w:after="120" w:line="276"/>
      </w:pPr>
      <w:r>
        <w:rPr>
          <w:rFonts w:ascii="Georgia" w:cs="Georgia" w:eastAsia="Georgia" w:hAnsi="Georgia"/>
          <w:b/>
          <w:bCs/>
          <w:color w:val="1B2A4A"/>
          <w:sz w:val="21"/>
          <w:szCs w:val="21"/>
        </w:rPr>
        <w:t xml:space="preserve">Community mining. </w:t>
      </w:r>
      <w:r>
        <w:rPr>
          <w:rFonts w:ascii="Georgia" w:cs="Georgia" w:eastAsia="Georgia" w:hAnsi="Georgia"/>
          <w:color w:val="2C2C2C"/>
          <w:sz w:val="21"/>
          <w:szCs w:val="21"/>
        </w:rPr>
        <w:t xml:space="preserve">Read 50+ comments, forum posts, or community discussions. Prioritise threads with high engagement and emotional responses — these reveal sacred/profane boundaries.</w:t>
      </w:r>
    </w:p>
    <w:p>
      <w:pPr>
        <w:pStyle w:val="ListParagraph"/>
        <w:numPr>
          <w:ilvl w:val="0"/>
          <w:numId w:val="2"/>
        </w:numPr>
        <w:spacing w:after="120" w:line="276"/>
      </w:pPr>
      <w:r>
        <w:rPr>
          <w:rFonts w:ascii="Georgia" w:cs="Georgia" w:eastAsia="Georgia" w:hAnsi="Georgia"/>
          <w:b/>
          <w:bCs/>
          <w:color w:val="1B2A4A"/>
          <w:sz w:val="21"/>
          <w:szCs w:val="21"/>
        </w:rPr>
        <w:t xml:space="preserve">Counter-culture scan. </w:t>
      </w:r>
      <w:r>
        <w:rPr>
          <w:rFonts w:ascii="Georgia" w:cs="Georgia" w:eastAsia="Georgia" w:hAnsi="Georgia"/>
          <w:color w:val="2C2C2C"/>
          <w:sz w:val="21"/>
          <w:szCs w:val="21"/>
        </w:rPr>
        <w:t xml:space="preserve">Identify critics and defectors. What do people who left the community say about it? Their critiques reveal the culture’s pressure points and blind spots.</w:t>
      </w:r>
    </w:p>
    <w:p>
      <w:pPr>
        <w:pStyle w:val="Heading2"/>
        <w:spacing w:after="160" w:before="280"/>
      </w:pPr>
      <w:r>
        <w:rPr>
          <w:rFonts w:ascii="Georgia" w:cs="Georgia" w:eastAsia="Georgia" w:hAnsi="Georgia"/>
          <w:b/>
          <w:bCs/>
          <w:color w:val="3D5A80"/>
          <w:sz w:val="26"/>
          <w:szCs w:val="26"/>
        </w:rPr>
        <w:t xml:space="preserve">1.4 Length Calibration</w:t>
      </w:r>
    </w:p>
    <w:p>
      <w:pPr>
        <w:spacing w:after="160" w:line="276"/>
        <w:jc w:val="left"/>
      </w:pPr>
      <w:r>
        <w:rPr>
          <w:rFonts w:ascii="Georgia" w:cs="Georgia" w:eastAsia="Georgia" w:hAnsi="Georgia"/>
          <w:color w:val="2C2C2C"/>
          <w:sz w:val="21"/>
          <w:szCs w:val="21"/>
        </w:rPr>
        <w:t xml:space="preserve">Target: 3,500–5,500 words. Maximum: 7,000 words. If the Culture Map exceeds maximum, the sub-tribe analysis may be too granular — consolidate factions that share more than they diverge.</w:t>
      </w:r>
    </w:p>
    <w:p>
      <w:r>
        <w:br w:type="page"/>
      </w:r>
    </w:p>
    <w:p>
      <w:pPr>
        <w:spacing w:after="60" w:before="120"/>
      </w:pPr>
      <w:r>
        <w:rPr>
          <w:rFonts w:ascii="Georgia" w:cs="Georgia" w:eastAsia="Georgia" w:hAnsi="Georgia"/>
          <w:b/>
          <w:bCs/>
          <w:color w:val="E07A5F"/>
          <w:spacing w:val="180"/>
          <w:sz w:val="16"/>
          <w:szCs w:val="16"/>
        </w:rPr>
        <w:t xml:space="preserve">TEMPLATE 2</w:t>
      </w:r>
    </w:p>
    <w:p>
      <w:pPr>
        <w:pBdr>
          <w:bottom w:val="single" w:color="E07A5F" w:sz="4" w:space="8"/>
        </w:pBdr>
        <w:spacing w:after="60"/>
      </w:pPr>
      <w:r>
        <w:rPr>
          <w:rFonts w:ascii="Georgia" w:cs="Georgia" w:eastAsia="Georgia" w:hAnsi="Georgia"/>
          <w:b/>
          <w:bCs/>
          <w:color w:val="1B2A4A"/>
          <w:sz w:val="36"/>
          <w:szCs w:val="36"/>
        </w:rPr>
        <w:t xml:space="preserve">Lever Architecture</w:t>
      </w:r>
    </w:p>
    <w:p>
      <w:pPr>
        <w:spacing w:after="80" w:before="120"/>
      </w:pPr>
      <w:r>
        <w:rPr>
          <w:rFonts w:ascii="Georgia" w:cs="Georgia" w:eastAsia="Georgia" w:hAnsi="Georgia"/>
          <w:i/>
          <w:iCs/>
          <w:color w:val="3D5A80"/>
          <w:sz w:val="22"/>
          <w:szCs w:val="22"/>
        </w:rPr>
        <w:t xml:space="preserve">The triggers, forcing functions, and catalysts that precipitate action across the ecosystem.</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Feature prioritisation, launch timing, urgency framing, marketing hooks, campaign strategy.</w:t>
      </w:r>
    </w:p>
    <w:p>
      <w:pPr>
        <w:pStyle w:val="Heading2"/>
        <w:spacing w:after="160" w:before="280"/>
      </w:pPr>
      <w:r>
        <w:rPr>
          <w:rFonts w:ascii="Georgia" w:cs="Georgia" w:eastAsia="Georgia" w:hAnsi="Georgia"/>
          <w:b/>
          <w:bCs/>
          <w:color w:val="3D5A80"/>
          <w:sz w:val="26"/>
          <w:szCs w:val="26"/>
        </w:rPr>
        <w:t xml:space="preserve">2.1 Purpose</w:t>
      </w:r>
    </w:p>
    <w:p>
      <w:pPr>
        <w:spacing w:after="160" w:line="276"/>
        <w:jc w:val="left"/>
      </w:pPr>
      <w:r>
        <w:rPr>
          <w:rFonts w:ascii="Georgia" w:cs="Georgia" w:eastAsia="Georgia" w:hAnsi="Georgia"/>
          <w:color w:val="2C2C2C"/>
          <w:sz w:val="21"/>
          <w:szCs w:val="21"/>
        </w:rPr>
        <w:t xml:space="preserve">The Ecosystem Analysis identifies forces (why things are the way they are). The Lever Architecture identifies triggers (what makes people act). This distinction is critical: a force can exist for years without producing a specific action. A lever is the mechanism that converts latent force into immediate behaviour.</w:t>
      </w:r>
    </w:p>
    <w:p>
      <w:pPr>
        <w:pBdr>
          <w:left w:val="single" w:color="E07A5F" w:sz="12" w:space="8"/>
        </w:pBdr>
        <w:spacing w:after="200" w:before="200"/>
        <w:ind w:left="360" w:right="360"/>
      </w:pPr>
      <w:r>
        <w:rPr>
          <w:rFonts w:ascii="Georgia" w:cs="Georgia" w:eastAsia="Georgia" w:hAnsi="Georgia"/>
          <w:i/>
          <w:iCs/>
          <w:color w:val="3D5A80"/>
          <w:sz w:val="21"/>
          <w:szCs w:val="21"/>
        </w:rPr>
        <w:t xml:space="preserve">Forces explain the weather system. Levers are the lightning strikes. You cannot time a product launch to a weather system. You can time it to a lightning strike.</w:t>
      </w:r>
    </w:p>
    <w:p>
      <w:pPr>
        <w:pStyle w:val="Heading2"/>
        <w:spacing w:after="160" w:before="280"/>
      </w:pPr>
      <w:r>
        <w:rPr>
          <w:rFonts w:ascii="Georgia" w:cs="Georgia" w:eastAsia="Georgia" w:hAnsi="Georgia"/>
          <w:b/>
          <w:bCs/>
          <w:color w:val="3D5A80"/>
          <w:sz w:val="26"/>
          <w:szCs w:val="26"/>
        </w:rPr>
        <w:t xml:space="preserve">2.2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Trigger Taxonomy</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specific events, conditions, or realisations cause each participant type to take action?</w:t>
      </w:r>
    </w:p>
    <w:p>
      <w:pPr>
        <w:spacing w:after="160" w:line="276"/>
        <w:jc w:val="left"/>
      </w:pPr>
      <w:r>
        <w:rPr>
          <w:rFonts w:ascii="Georgia" w:cs="Georgia" w:eastAsia="Georgia" w:hAnsi="Georgia"/>
          <w:color w:val="2C2C2C"/>
          <w:sz w:val="21"/>
          <w:szCs w:val="21"/>
        </w:rPr>
        <w:t xml:space="preserve">For each participant type identified in the Ecosystem Analysis, map the following trigger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Trigger Type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Definition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Example Pattern</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Buying Trigger</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specific event or realisation that converts latent awareness into active purchase intent.</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 creator receives their first brand deal inquiry and realises they need a professional media kit.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Switching Trigger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The event that causes a participant to abandon an existing solution for a new 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An existing tool raises prices 40%, or a compliance failure reveals a tool’s inadequacy.</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Adoption Trigger</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event that causes a participant to try something they have never used before.</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 peer publicly credits a specific tool for a result the participant wants to replicate.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Urgency Trigger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An external event that compresses the decision timeline from considered to immediate.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 regulatory deadline, a platform policy change, a competitor launch, a viral negative event.</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Churn Trigger</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event that causes a participant to disengage entirely from the ecosystem or from a specific solution.</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Repeated tool failures during a high-stakes period. A regulatory fine that eliminates the ROI of participating.</w:t>
            </w:r>
          </w:p>
        </w:tc>
      </w:tr>
    </w:tbl>
    <w:p>
      <w:pPr>
        <w:spacing w:after="160" w:line="276"/>
        <w:jc w:val="left"/>
      </w:pPr>
      <w:r>
        <w:rPr>
          <w:rFonts w:ascii="Georgia" w:cs="Georgia" w:eastAsia="Georgia" w:hAnsi="Georgia"/>
          <w:color w:val="2C2C2C"/>
          <w:sz w:val="21"/>
          <w:szCs w:val="21"/>
        </w:rPr>
        <w:t xml:space="preserve"/>
      </w:r>
    </w:p>
    <w:p>
      <w:pPr>
        <w:spacing w:after="160" w:line="276"/>
        <w:jc w:val="left"/>
      </w:pPr>
      <w:r>
        <w:rPr>
          <w:rFonts w:ascii="Georgia" w:cs="Georgia" w:eastAsia="Georgia" w:hAnsi="Georgia"/>
          <w:color w:val="2C2C2C"/>
          <w:sz w:val="21"/>
          <w:szCs w:val="21"/>
        </w:rPr>
        <w:t xml:space="preserve">Each trigger must be stated as a specific, observable event — not a general condition. “Regulatory pressure increases” is a force. “FINRA publishes new enforcement action against a creator’s competitor” is a trigger.</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Every participant type in the Ecosystem Analysis participant map must have at least one trigger documented in each of the five categories. If a trigger category is genuinely inapplicable, state why.</w:t>
      </w:r>
    </w:p>
    <w:p>
      <w:pPr>
        <w:spacing w:after="120" w:before="200"/>
      </w:pPr>
      <w:r>
        <w:rPr>
          <w:rFonts w:ascii="Georgia" w:cs="Georgia" w:eastAsia="Georgia" w:hAnsi="Georgia"/>
          <w:b/>
          <w:bCs/>
          <w:color w:val="1B2A4A"/>
          <w:sz w:val="22"/>
          <w:szCs w:val="22"/>
        </w:rPr>
        <w:t xml:space="preserve">Section 2: Forcing Functions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external events create non-discretionary action deadlines?</w:t>
      </w:r>
    </w:p>
    <w:p>
      <w:pPr>
        <w:spacing w:after="160" w:line="276"/>
        <w:jc w:val="left"/>
      </w:pPr>
      <w:r>
        <w:rPr>
          <w:rFonts w:ascii="Georgia" w:cs="Georgia" w:eastAsia="Georgia" w:hAnsi="Georgia"/>
          <w:color w:val="2C2C2C"/>
          <w:sz w:val="21"/>
          <w:szCs w:val="21"/>
        </w:rPr>
        <w:t xml:space="preserve">Forcing functions are the most valuable levers because they eliminate participant choice. A regulatory compliance deadline forces action regardless of preference. A platform API deprecation forces migration regardless of satisfaction with the status quo.</w:t>
      </w:r>
    </w:p>
    <w:p>
      <w:pPr>
        <w:pStyle w:val="ListParagraph"/>
        <w:numPr>
          <w:ilvl w:val="0"/>
          <w:numId w:val="3"/>
        </w:numPr>
        <w:spacing w:after="100" w:line="276"/>
      </w:pPr>
      <w:r>
        <w:rPr>
          <w:rFonts w:ascii="Georgia" w:cs="Georgia" w:eastAsia="Georgia" w:hAnsi="Georgia"/>
          <w:color w:val="2C2C2C"/>
          <w:sz w:val="21"/>
          <w:szCs w:val="21"/>
        </w:rPr>
        <w:t xml:space="preserve">Catalogue all known forcing functions with specific dates or date ranges.</w:t>
      </w:r>
    </w:p>
    <w:p>
      <w:pPr>
        <w:pStyle w:val="ListParagraph"/>
        <w:numPr>
          <w:ilvl w:val="0"/>
          <w:numId w:val="3"/>
        </w:numPr>
        <w:spacing w:after="100" w:line="276"/>
      </w:pPr>
      <w:r>
        <w:rPr>
          <w:rFonts w:ascii="Georgia" w:cs="Georgia" w:eastAsia="Georgia" w:hAnsi="Georgia"/>
          <w:color w:val="2C2C2C"/>
          <w:sz w:val="21"/>
          <w:szCs w:val="21"/>
        </w:rPr>
        <w:t xml:space="preserve">For each: what action is forced? Who is forced to act? What happens if they fail to act? (penalty, loss of access, competitive disadvantage)</w:t>
      </w:r>
    </w:p>
    <w:p>
      <w:pPr>
        <w:pStyle w:val="ListParagraph"/>
        <w:numPr>
          <w:ilvl w:val="0"/>
          <w:numId w:val="3"/>
        </w:numPr>
        <w:spacing w:after="100" w:line="276"/>
      </w:pPr>
      <w:r>
        <w:rPr>
          <w:rFonts w:ascii="Georgia" w:cs="Georgia" w:eastAsia="Georgia" w:hAnsi="Georgia"/>
          <w:color w:val="2C2C2C"/>
          <w:sz w:val="21"/>
          <w:szCs w:val="21"/>
        </w:rPr>
        <w:t xml:space="preserve">Assess recurrence: is this a one-time event or a recurring cycle? Recurring forcing functions (annual audits, quarterly compliance reviews) create predictable demand patterns.</w:t>
      </w:r>
    </w:p>
    <w:p>
      <w:pPr>
        <w:spacing w:after="120" w:before="200"/>
      </w:pPr>
      <w:r>
        <w:rPr>
          <w:rFonts w:ascii="Georgia" w:cs="Georgia" w:eastAsia="Georgia" w:hAnsi="Georgia"/>
          <w:b/>
          <w:bCs/>
          <w:color w:val="1B2A4A"/>
          <w:sz w:val="22"/>
          <w:szCs w:val="22"/>
        </w:rPr>
        <w:t xml:space="preserve">Section 3: The Cascade Model</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How do triggers propagate across participant types?</w:t>
      </w:r>
    </w:p>
    <w:p>
      <w:pPr>
        <w:spacing w:after="160" w:line="276"/>
        <w:jc w:val="left"/>
      </w:pPr>
      <w:r>
        <w:rPr>
          <w:rFonts w:ascii="Georgia" w:cs="Georgia" w:eastAsia="Georgia" w:hAnsi="Georgia"/>
          <w:color w:val="2C2C2C"/>
          <w:sz w:val="21"/>
          <w:szCs w:val="21"/>
        </w:rPr>
        <w:t xml:space="preserve">In an ecosystem, one participant’s action trigger often creates another participant’s action trigger. A regulatory enforcement action (trigger for brands) creates a compliance urgency (trigger for creators) which creates demand for supervision tools (trigger for solution providers). Map these cascade chains.</w:t>
      </w:r>
    </w:p>
    <w:p>
      <w:pPr>
        <w:pStyle w:val="ListParagraph"/>
        <w:numPr>
          <w:ilvl w:val="0"/>
          <w:numId w:val="3"/>
        </w:numPr>
        <w:spacing w:after="100" w:line="276"/>
      </w:pPr>
      <w:r>
        <w:rPr>
          <w:rFonts w:ascii="Georgia" w:cs="Georgia" w:eastAsia="Georgia" w:hAnsi="Georgia"/>
          <w:color w:val="2C2C2C"/>
          <w:sz w:val="21"/>
          <w:szCs w:val="21"/>
        </w:rPr>
        <w:t xml:space="preserve">For each identified trigger, trace its downstream propagation: what does it trigger for other participant types?</w:t>
      </w:r>
    </w:p>
    <w:p>
      <w:pPr>
        <w:pStyle w:val="ListParagraph"/>
        <w:numPr>
          <w:ilvl w:val="0"/>
          <w:numId w:val="3"/>
        </w:numPr>
        <w:spacing w:after="100" w:line="276"/>
      </w:pPr>
      <w:r>
        <w:rPr>
          <w:rFonts w:ascii="Georgia" w:cs="Georgia" w:eastAsia="Georgia" w:hAnsi="Georgia"/>
          <w:color w:val="2C2C2C"/>
          <w:sz w:val="21"/>
          <w:szCs w:val="21"/>
        </w:rPr>
        <w:t xml:space="preserve">Identify amplification points: where does a single trigger cascade into multiple simultaneous actions across the ecosystem?</w:t>
      </w:r>
    </w:p>
    <w:p>
      <w:pPr>
        <w:pStyle w:val="ListParagraph"/>
        <w:numPr>
          <w:ilvl w:val="0"/>
          <w:numId w:val="3"/>
        </w:numPr>
        <w:spacing w:after="100" w:line="276"/>
      </w:pPr>
      <w:r>
        <w:rPr>
          <w:rFonts w:ascii="Georgia" w:cs="Georgia" w:eastAsia="Georgia" w:hAnsi="Georgia"/>
          <w:color w:val="2C2C2C"/>
          <w:sz w:val="21"/>
          <w:szCs w:val="21"/>
        </w:rPr>
        <w:t xml:space="preserve">Identify dampening points: where does a trigger’s effect dissipate before reaching other participants?</w:t>
      </w:r>
    </w:p>
    <w:p>
      <w:pPr>
        <w:spacing w:after="120" w:before="200"/>
      </w:pPr>
      <w:r>
        <w:rPr>
          <w:rFonts w:ascii="Georgia" w:cs="Georgia" w:eastAsia="Georgia" w:hAnsi="Georgia"/>
          <w:b/>
          <w:bCs/>
          <w:color w:val="1B2A4A"/>
          <w:sz w:val="22"/>
          <w:szCs w:val="22"/>
        </w:rPr>
        <w:t xml:space="preserve">Section 4: Lever Timing Windows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When are participants most receptive to action, and when are they resistant?</w:t>
      </w:r>
    </w:p>
    <w:p>
      <w:pPr>
        <w:spacing w:after="160" w:line="276"/>
        <w:jc w:val="left"/>
      </w:pPr>
      <w:r>
        <w:rPr>
          <w:rFonts w:ascii="Georgia" w:cs="Georgia" w:eastAsia="Georgia" w:hAnsi="Georgia"/>
          <w:color w:val="2C2C2C"/>
          <w:sz w:val="21"/>
          <w:szCs w:val="21"/>
        </w:rPr>
        <w:t xml:space="preserve">Map the temporal sensitivity of each lever. Some triggers are time-bound (regulatory deadlines, budget cycles). Others are state-dependent (only effective when a participant has reached a specific stage of growth or frustration).</w:t>
      </w:r>
    </w:p>
    <w:p>
      <w:pPr>
        <w:pStyle w:val="ListParagraph"/>
        <w:numPr>
          <w:ilvl w:val="0"/>
          <w:numId w:val="3"/>
        </w:numPr>
        <w:spacing w:after="100" w:line="276"/>
      </w:pPr>
      <w:r>
        <w:rPr>
          <w:rFonts w:ascii="Georgia" w:cs="Georgia" w:eastAsia="Georgia" w:hAnsi="Georgia"/>
          <w:color w:val="2C2C2C"/>
          <w:sz w:val="21"/>
          <w:szCs w:val="21"/>
        </w:rPr>
        <w:t xml:space="preserve">For time-bound levers: specific calendar windows when the lever is active.</w:t>
      </w:r>
    </w:p>
    <w:p>
      <w:pPr>
        <w:pStyle w:val="ListParagraph"/>
        <w:numPr>
          <w:ilvl w:val="0"/>
          <w:numId w:val="3"/>
        </w:numPr>
        <w:spacing w:after="100" w:line="276"/>
      </w:pPr>
      <w:r>
        <w:rPr>
          <w:rFonts w:ascii="Georgia" w:cs="Georgia" w:eastAsia="Georgia" w:hAnsi="Georgia"/>
          <w:color w:val="2C2C2C"/>
          <w:sz w:val="21"/>
          <w:szCs w:val="21"/>
        </w:rPr>
        <w:t xml:space="preserve">For state-dependent levers: the preconditions that must be true for the lever to activate.</w:t>
      </w:r>
    </w:p>
    <w:p>
      <w:pPr>
        <w:pStyle w:val="ListParagraph"/>
        <w:numPr>
          <w:ilvl w:val="0"/>
          <w:numId w:val="3"/>
        </w:numPr>
        <w:spacing w:after="100" w:line="276"/>
      </w:pPr>
      <w:r>
        <w:rPr>
          <w:rFonts w:ascii="Georgia" w:cs="Georgia" w:eastAsia="Georgia" w:hAnsi="Georgia"/>
          <w:color w:val="2C2C2C"/>
          <w:sz w:val="21"/>
          <w:szCs w:val="21"/>
        </w:rPr>
        <w:t xml:space="preserve">For both: the decay rate — how quickly does the action window close after the trigger fires?</w:t>
      </w:r>
    </w:p>
    <w:p>
      <w:pPr>
        <w:spacing w:after="120" w:before="200"/>
      </w:pPr>
      <w:r>
        <w:rPr>
          <w:rFonts w:ascii="Georgia" w:cs="Georgia" w:eastAsia="Georgia" w:hAnsi="Georgia"/>
          <w:b/>
          <w:bCs/>
          <w:color w:val="1B2A4A"/>
          <w:sz w:val="22"/>
          <w:szCs w:val="22"/>
        </w:rPr>
        <w:t xml:space="preserve">Section 5: Lever Hierarchy</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Which levers are strongest, and in what combination?</w:t>
      </w:r>
    </w:p>
    <w:p>
      <w:pPr>
        <w:spacing w:after="160" w:line="276"/>
        <w:jc w:val="left"/>
      </w:pPr>
      <w:r>
        <w:rPr>
          <w:rFonts w:ascii="Georgia" w:cs="Georgia" w:eastAsia="Georgia" w:hAnsi="Georgia"/>
          <w:color w:val="2C2C2C"/>
          <w:sz w:val="21"/>
          <w:szCs w:val="21"/>
        </w:rPr>
        <w:t xml:space="preserve">Rank all identified levers across two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High Frequency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Low Frequency</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High Intensity</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Primary levers. These drive the most action volume. Build product hooks and marketing campaigns around these.</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Event levers. Rare but powerful. Plan launch timing and major campaigns around these windows.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Low Intensity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Background levers. Steady-state demand drivers. Build retention and habit mechanics around these.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Noise. Monitor but do not build strategy around these.</w:t>
            </w:r>
          </w:p>
        </w:tc>
      </w:tr>
    </w:tbl>
    <w:p>
      <w:pPr>
        <w:spacing w:after="160" w:line="276"/>
        <w:jc w:val="left"/>
      </w:pPr>
      <w:r>
        <w:rPr>
          <w:rFonts w:ascii="Georgia" w:cs="Georgia" w:eastAsia="Georgia" w:hAnsi="Georgia"/>
          <w:color w:val="2C2C2C"/>
          <w:sz w:val="21"/>
          <w:szCs w:val="21"/>
        </w:rPr>
        <w:t xml:space="preserve"/>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Lever Hierarchy must rank a minimum of 10 distinct levers across the matrix. The Primary quadrant (high frequency + high intensity) must contain at least 2 levers, or the ecosystem may lack sufficient action density to sustain a product.</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2.3 Length Calibration</w:t>
      </w:r>
    </w:p>
    <w:p>
      <w:pPr>
        <w:spacing w:after="160" w:line="276"/>
        <w:jc w:val="left"/>
      </w:pPr>
      <w:r>
        <w:rPr>
          <w:rFonts w:ascii="Georgia" w:cs="Georgia" w:eastAsia="Georgia" w:hAnsi="Georgia"/>
          <w:color w:val="2C2C2C"/>
          <w:sz w:val="21"/>
          <w:szCs w:val="21"/>
        </w:rPr>
        <w:t xml:space="preserve">Target: 3,000–4,500 words. Maximum: 6,000 words.</w:t>
      </w:r>
    </w:p>
    <w:p>
      <w:r>
        <w:br w:type="page"/>
      </w:r>
    </w:p>
    <w:p>
      <w:pPr>
        <w:spacing w:after="60" w:before="120"/>
      </w:pPr>
      <w:r>
        <w:rPr>
          <w:rFonts w:ascii="Georgia" w:cs="Georgia" w:eastAsia="Georgia" w:hAnsi="Georgia"/>
          <w:b/>
          <w:bCs/>
          <w:color w:val="E07A5F"/>
          <w:spacing w:val="180"/>
          <w:sz w:val="16"/>
          <w:szCs w:val="16"/>
        </w:rPr>
        <w:t xml:space="preserve">TEMPLATE 3</w:t>
      </w:r>
    </w:p>
    <w:p>
      <w:pPr>
        <w:pBdr>
          <w:bottom w:val="single" w:color="E07A5F" w:sz="4" w:space="8"/>
        </w:pBdr>
        <w:spacing w:after="60"/>
      </w:pPr>
      <w:r>
        <w:rPr>
          <w:rFonts w:ascii="Georgia" w:cs="Georgia" w:eastAsia="Georgia" w:hAnsi="Georgia"/>
          <w:b/>
          <w:bCs/>
          <w:color w:val="1B2A4A"/>
          <w:sz w:val="36"/>
          <w:szCs w:val="36"/>
        </w:rPr>
        <w:t xml:space="preserve">Participant Decision Architecture</w:t>
      </w:r>
    </w:p>
    <w:p>
      <w:pPr>
        <w:spacing w:after="80" w:before="120"/>
      </w:pPr>
      <w:r>
        <w:rPr>
          <w:rFonts w:ascii="Georgia" w:cs="Georgia" w:eastAsia="Georgia" w:hAnsi="Georgia"/>
          <w:i/>
          <w:iCs/>
          <w:color w:val="3D5A80"/>
          <w:sz w:val="22"/>
          <w:szCs w:val="22"/>
        </w:rPr>
        <w:t xml:space="preserve">How each participant type evaluates options, processes information, and commits to action.</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Sales process design, pricing psychology, onboarding flows, content-by-funnel-stage, objection handling.</w:t>
      </w:r>
    </w:p>
    <w:p>
      <w:pPr>
        <w:pStyle w:val="Heading2"/>
        <w:spacing w:after="160" w:before="280"/>
      </w:pPr>
      <w:r>
        <w:rPr>
          <w:rFonts w:ascii="Georgia" w:cs="Georgia" w:eastAsia="Georgia" w:hAnsi="Georgia"/>
          <w:b/>
          <w:bCs/>
          <w:color w:val="3D5A80"/>
          <w:sz w:val="26"/>
          <w:szCs w:val="26"/>
        </w:rPr>
        <w:t xml:space="preserve">3.1 Purpose</w:t>
      </w:r>
    </w:p>
    <w:p>
      <w:pPr>
        <w:spacing w:after="160" w:line="276"/>
        <w:jc w:val="left"/>
      </w:pPr>
      <w:r>
        <w:rPr>
          <w:rFonts w:ascii="Georgia" w:cs="Georgia" w:eastAsia="Georgia" w:hAnsi="Georgia"/>
          <w:color w:val="2C2C2C"/>
          <w:sz w:val="21"/>
          <w:szCs w:val="21"/>
        </w:rPr>
        <w:t xml:space="preserve">The Culture Map (T1) explains what participants believe. The Lever Architecture (T2) explains what makes them act. The Decision Architecture explains how they decide. This is the micro-level analysis of the cognitive and social process a participant moves through from awareness to commitment.</w:t>
      </w:r>
    </w:p>
    <w:p>
      <w:pPr>
        <w:pBdr>
          <w:left w:val="single" w:color="E07A5F" w:sz="12" w:space="8"/>
        </w:pBdr>
        <w:spacing w:after="200" w:before="200"/>
        <w:ind w:left="360" w:right="360"/>
      </w:pPr>
      <w:r>
        <w:rPr>
          <w:rFonts w:ascii="Georgia" w:cs="Georgia" w:eastAsia="Georgia" w:hAnsi="Georgia"/>
          <w:i/>
          <w:iCs/>
          <w:color w:val="3D5A80"/>
          <w:sz w:val="21"/>
          <w:szCs w:val="21"/>
        </w:rPr>
        <w:t xml:space="preserve">Understanding that someone needs compliance tooling (lever) is different from understanding that they will evaluate three options, ask their peer group for recommendations, trial the cheapest first, and only upgrade after a specific negative experience with the free tier. The Decision Architecture maps that journey.</w:t>
      </w:r>
    </w:p>
    <w:p>
      <w:pPr>
        <w:pStyle w:val="Heading2"/>
        <w:spacing w:after="160" w:before="280"/>
      </w:pPr>
      <w:r>
        <w:rPr>
          <w:rFonts w:ascii="Georgia" w:cs="Georgia" w:eastAsia="Georgia" w:hAnsi="Georgia"/>
          <w:b/>
          <w:bCs/>
          <w:color w:val="3D5A80"/>
          <w:sz w:val="26"/>
          <w:szCs w:val="26"/>
        </w:rPr>
        <w:t xml:space="preserve">3.2 Mandatory Structure</w:t>
      </w:r>
    </w:p>
    <w:p>
      <w:pPr>
        <w:spacing w:after="160" w:line="276"/>
        <w:jc w:val="left"/>
      </w:pPr>
      <w:r>
        <w:rPr>
          <w:rFonts w:ascii="Georgia" w:cs="Georgia" w:eastAsia="Georgia" w:hAnsi="Georgia"/>
          <w:color w:val="2C2C2C"/>
          <w:sz w:val="21"/>
          <w:szCs w:val="21"/>
        </w:rPr>
        <w:t xml:space="preserve">One complete Decision Architecture must be produced for each participant type identified in the Ecosystem Analysis. If the ecosystem has four participant types, the document contains four parallel analyses.</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Information Architecture</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Where does this participant get the information that informs their decisions?</w:t>
      </w:r>
    </w:p>
    <w:p>
      <w:pPr>
        <w:pStyle w:val="ListParagraph"/>
        <w:numPr>
          <w:ilvl w:val="0"/>
          <w:numId w:val="3"/>
        </w:numPr>
        <w:spacing w:after="100" w:line="276"/>
      </w:pPr>
      <w:r>
        <w:rPr>
          <w:rFonts w:ascii="Georgia" w:cs="Georgia" w:eastAsia="Georgia" w:hAnsi="Georgia"/>
          <w:color w:val="2C2C2C"/>
          <w:sz w:val="21"/>
          <w:szCs w:val="21"/>
        </w:rPr>
        <w:t xml:space="preserve">Primary information sources: ranked by trust and frequency of use. (Peer recommendations? Platform reviews? Expert content? Google search? Community forums? Direct sales outreach?)</w:t>
      </w:r>
    </w:p>
    <w:p>
      <w:pPr>
        <w:pStyle w:val="ListParagraph"/>
        <w:numPr>
          <w:ilvl w:val="0"/>
          <w:numId w:val="3"/>
        </w:numPr>
        <w:spacing w:after="100" w:line="276"/>
      </w:pPr>
      <w:r>
        <w:rPr>
          <w:rFonts w:ascii="Georgia" w:cs="Georgia" w:eastAsia="Georgia" w:hAnsi="Georgia"/>
          <w:color w:val="2C2C2C"/>
          <w:sz w:val="21"/>
          <w:szCs w:val="21"/>
        </w:rPr>
        <w:t xml:space="preserve">Information format preferences: do they prefer long-form research, short-form social proof, demo videos, peer testimonials, data sheets, or personal recommendations?</w:t>
      </w:r>
    </w:p>
    <w:p>
      <w:pPr>
        <w:pStyle w:val="ListParagraph"/>
        <w:numPr>
          <w:ilvl w:val="0"/>
          <w:numId w:val="3"/>
        </w:numPr>
        <w:spacing w:after="100" w:line="276"/>
      </w:pPr>
      <w:r>
        <w:rPr>
          <w:rFonts w:ascii="Georgia" w:cs="Georgia" w:eastAsia="Georgia" w:hAnsi="Georgia"/>
          <w:color w:val="2C2C2C"/>
          <w:sz w:val="21"/>
          <w:szCs w:val="21"/>
        </w:rPr>
        <w:t xml:space="preserve">Information sequence: what do they look for first, second, third? (e.g., “First check if peers use it. Then read reviews. Then trial it. Then check pricing.”)</w:t>
      </w:r>
    </w:p>
    <w:p>
      <w:pPr>
        <w:pStyle w:val="ListParagraph"/>
        <w:numPr>
          <w:ilvl w:val="0"/>
          <w:numId w:val="3"/>
        </w:numPr>
        <w:spacing w:after="100" w:line="276"/>
      </w:pPr>
      <w:r>
        <w:rPr>
          <w:rFonts w:ascii="Georgia" w:cs="Georgia" w:eastAsia="Georgia" w:hAnsi="Georgia"/>
          <w:color w:val="2C2C2C"/>
          <w:sz w:val="21"/>
          <w:szCs w:val="21"/>
        </w:rPr>
        <w:t xml:space="preserve">Information vetoes: what piece of information, if encountered, kills the decision? (No free trial? No peer reviews? Pricing not transparent? No integration with their existing tools?)</w:t>
      </w:r>
    </w:p>
    <w:p>
      <w:pPr>
        <w:spacing w:after="120" w:before="200"/>
      </w:pPr>
      <w:r>
        <w:rPr>
          <w:rFonts w:ascii="Georgia" w:cs="Georgia" w:eastAsia="Georgia" w:hAnsi="Georgia"/>
          <w:b/>
          <w:bCs/>
          <w:color w:val="1B2A4A"/>
          <w:sz w:val="22"/>
          <w:szCs w:val="22"/>
        </w:rPr>
        <w:t xml:space="preserve">Section 2: Influence Chain</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Who influences this participant’s decisions, and in what sequence?</w:t>
      </w:r>
    </w:p>
    <w:p>
      <w:pPr>
        <w:pStyle w:val="ListParagraph"/>
        <w:numPr>
          <w:ilvl w:val="0"/>
          <w:numId w:val="3"/>
        </w:numPr>
        <w:spacing w:after="100" w:line="276"/>
      </w:pPr>
      <w:r>
        <w:rPr>
          <w:rFonts w:ascii="Georgia" w:cs="Georgia" w:eastAsia="Georgia" w:hAnsi="Georgia"/>
          <w:color w:val="2C2C2C"/>
          <w:sz w:val="21"/>
          <w:szCs w:val="21"/>
        </w:rPr>
        <w:t xml:space="preserve">Primary influencers: who do they consult or observe before deciding? (Peers, mentors, algorithmically-surfaced content, trusted creators, professional advisors?)</w:t>
      </w:r>
    </w:p>
    <w:p>
      <w:pPr>
        <w:pStyle w:val="ListParagraph"/>
        <w:numPr>
          <w:ilvl w:val="0"/>
          <w:numId w:val="3"/>
        </w:numPr>
        <w:spacing w:after="100" w:line="276"/>
      </w:pPr>
      <w:r>
        <w:rPr>
          <w:rFonts w:ascii="Georgia" w:cs="Georgia" w:eastAsia="Georgia" w:hAnsi="Georgia"/>
          <w:color w:val="2C2C2C"/>
          <w:sz w:val="21"/>
          <w:szCs w:val="21"/>
        </w:rPr>
        <w:t xml:space="preserve">Authority weight: how much does each influencer type shift the decision? Rank by impact.</w:t>
      </w:r>
    </w:p>
    <w:p>
      <w:pPr>
        <w:pStyle w:val="ListParagraph"/>
        <w:numPr>
          <w:ilvl w:val="0"/>
          <w:numId w:val="3"/>
        </w:numPr>
        <w:spacing w:after="100" w:line="276"/>
      </w:pPr>
      <w:r>
        <w:rPr>
          <w:rFonts w:ascii="Georgia" w:cs="Georgia" w:eastAsia="Georgia" w:hAnsi="Georgia"/>
          <w:color w:val="2C2C2C"/>
          <w:sz w:val="21"/>
          <w:szCs w:val="21"/>
        </w:rPr>
        <w:t xml:space="preserve">Social proof mechanics: what type of social proof is most persuasive? (User count? Revenue generated? Names they recognise? Community endorsements?)</w:t>
      </w:r>
    </w:p>
    <w:p>
      <w:pPr>
        <w:pStyle w:val="ListParagraph"/>
        <w:numPr>
          <w:ilvl w:val="0"/>
          <w:numId w:val="3"/>
        </w:numPr>
        <w:spacing w:after="100" w:line="276"/>
      </w:pPr>
      <w:r>
        <w:rPr>
          <w:rFonts w:ascii="Georgia" w:cs="Georgia" w:eastAsia="Georgia" w:hAnsi="Georgia"/>
          <w:color w:val="2C2C2C"/>
          <w:sz w:val="21"/>
          <w:szCs w:val="21"/>
        </w:rPr>
        <w:t xml:space="preserve">Anti-influences: whose endorsement would actually hurt adoption? (Overly corporate brands? Controversial figures? Perceived “sellouts”?)</w:t>
      </w:r>
    </w:p>
    <w:p>
      <w:pPr>
        <w:spacing w:after="120" w:before="200"/>
      </w:pPr>
      <w:r>
        <w:rPr>
          <w:rFonts w:ascii="Georgia" w:cs="Georgia" w:eastAsia="Georgia" w:hAnsi="Georgia"/>
          <w:b/>
          <w:bCs/>
          <w:color w:val="1B2A4A"/>
          <w:sz w:val="22"/>
          <w:szCs w:val="22"/>
        </w:rPr>
        <w:t xml:space="preserve">Section 3: Decision Timeline</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How long does this participant take to decide, and what can compress or extend that timeline?</w:t>
      </w:r>
    </w:p>
    <w:p>
      <w:pPr>
        <w:pStyle w:val="ListParagraph"/>
        <w:numPr>
          <w:ilvl w:val="0"/>
          <w:numId w:val="3"/>
        </w:numPr>
        <w:spacing w:after="100" w:line="276"/>
      </w:pPr>
      <w:r>
        <w:rPr>
          <w:rFonts w:ascii="Georgia" w:cs="Georgia" w:eastAsia="Georgia" w:hAnsi="Georgia"/>
          <w:color w:val="2C2C2C"/>
          <w:sz w:val="21"/>
          <w:szCs w:val="21"/>
        </w:rPr>
        <w:t xml:space="preserve">Baseline decision speed: impulse (minutes), considered (days to weeks), or enterprise (weeks to months)?</w:t>
      </w:r>
    </w:p>
    <w:p>
      <w:pPr>
        <w:pStyle w:val="ListParagraph"/>
        <w:numPr>
          <w:ilvl w:val="0"/>
          <w:numId w:val="3"/>
        </w:numPr>
        <w:spacing w:after="100" w:line="276"/>
      </w:pPr>
      <w:r>
        <w:rPr>
          <w:rFonts w:ascii="Georgia" w:cs="Georgia" w:eastAsia="Georgia" w:hAnsi="Georgia"/>
          <w:color w:val="2C2C2C"/>
          <w:sz w:val="21"/>
          <w:szCs w:val="21"/>
        </w:rPr>
        <w:t xml:space="preserve">Compression factors: what external events or internal states shrink the timeline? (Reference T2 urgency triggers.)</w:t>
      </w:r>
    </w:p>
    <w:p>
      <w:pPr>
        <w:pStyle w:val="ListParagraph"/>
        <w:numPr>
          <w:ilvl w:val="0"/>
          <w:numId w:val="3"/>
        </w:numPr>
        <w:spacing w:after="100" w:line="276"/>
      </w:pPr>
      <w:r>
        <w:rPr>
          <w:rFonts w:ascii="Georgia" w:cs="Georgia" w:eastAsia="Georgia" w:hAnsi="Georgia"/>
          <w:color w:val="2C2C2C"/>
          <w:sz w:val="21"/>
          <w:szCs w:val="21"/>
        </w:rPr>
        <w:t xml:space="preserve">Extension factors: what introduces delay? (Committee approval? Budget cycles? Technical evaluation? Need for internal buy-in?)</w:t>
      </w:r>
    </w:p>
    <w:p>
      <w:pPr>
        <w:pStyle w:val="ListParagraph"/>
        <w:numPr>
          <w:ilvl w:val="0"/>
          <w:numId w:val="3"/>
        </w:numPr>
        <w:spacing w:after="100" w:line="276"/>
      </w:pPr>
      <w:r>
        <w:rPr>
          <w:rFonts w:ascii="Georgia" w:cs="Georgia" w:eastAsia="Georgia" w:hAnsi="Georgia"/>
          <w:color w:val="2C2C2C"/>
          <w:sz w:val="21"/>
          <w:szCs w:val="21"/>
        </w:rPr>
        <w:t xml:space="preserve">Abandonment threshold: at what point does delay convert to permanent non-decision? How long is the window?</w:t>
      </w:r>
    </w:p>
    <w:p>
      <w:pPr>
        <w:spacing w:after="120" w:before="200"/>
      </w:pPr>
      <w:r>
        <w:rPr>
          <w:rFonts w:ascii="Georgia" w:cs="Georgia" w:eastAsia="Georgia" w:hAnsi="Georgia"/>
          <w:b/>
          <w:bCs/>
          <w:color w:val="1B2A4A"/>
          <w:sz w:val="22"/>
          <w:szCs w:val="22"/>
        </w:rPr>
        <w:t xml:space="preserve">Section 4: Objection Catalogue</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objections arise at each decision stage, and what resolves them?</w:t>
      </w:r>
    </w:p>
    <w:p>
      <w:pPr>
        <w:spacing w:after="160" w:line="276"/>
        <w:jc w:val="left"/>
      </w:pPr>
      <w:r>
        <w:rPr>
          <w:rFonts w:ascii="Georgia" w:cs="Georgia" w:eastAsia="Georgia" w:hAnsi="Georgia"/>
          <w:color w:val="2C2C2C"/>
          <w:sz w:val="21"/>
          <w:szCs w:val="21"/>
        </w:rPr>
        <w:t xml:space="preserve">For each participant type, catalogue the recurring objections organised by decision stage:</w:t>
      </w:r>
    </w:p>
    <w:p>
      <w:pPr>
        <w:pStyle w:val="ListParagraph"/>
        <w:numPr>
          <w:ilvl w:val="0"/>
          <w:numId w:val="3"/>
        </w:numPr>
        <w:spacing w:after="100" w:line="276"/>
      </w:pPr>
      <w:r>
        <w:rPr>
          <w:rFonts w:ascii="Georgia" w:cs="Georgia" w:eastAsia="Georgia" w:hAnsi="Georgia"/>
          <w:b/>
          <w:bCs/>
          <w:color w:val="1B2A4A"/>
          <w:sz w:val="21"/>
          <w:szCs w:val="21"/>
        </w:rPr>
        <w:t xml:space="preserve">Awareness-stage objections: </w:t>
      </w:r>
      <w:r>
        <w:rPr>
          <w:rFonts w:ascii="Georgia" w:cs="Georgia" w:eastAsia="Georgia" w:hAnsi="Georgia"/>
          <w:color w:val="2C2C2C"/>
          <w:sz w:val="21"/>
          <w:szCs w:val="21"/>
        </w:rPr>
        <w:t xml:space="preserve">Why should I care? Is this even relevant to me? Isn’t this a solved problem?</w:t>
      </w:r>
    </w:p>
    <w:p>
      <w:pPr>
        <w:pStyle w:val="ListParagraph"/>
        <w:numPr>
          <w:ilvl w:val="0"/>
          <w:numId w:val="3"/>
        </w:numPr>
        <w:spacing w:after="100" w:line="276"/>
      </w:pPr>
      <w:r>
        <w:rPr>
          <w:rFonts w:ascii="Georgia" w:cs="Georgia" w:eastAsia="Georgia" w:hAnsi="Georgia"/>
          <w:b/>
          <w:bCs/>
          <w:color w:val="1B2A4A"/>
          <w:sz w:val="21"/>
          <w:szCs w:val="21"/>
        </w:rPr>
        <w:t xml:space="preserve">Consideration-stage objections: </w:t>
      </w:r>
      <w:r>
        <w:rPr>
          <w:rFonts w:ascii="Georgia" w:cs="Georgia" w:eastAsia="Georgia" w:hAnsi="Georgia"/>
          <w:color w:val="2C2C2C"/>
          <w:sz w:val="21"/>
          <w:szCs w:val="21"/>
        </w:rPr>
        <w:t xml:space="preserve">Is this worth my time to evaluate? What’s the switching cost? Can I trust this?</w:t>
      </w:r>
    </w:p>
    <w:p>
      <w:pPr>
        <w:pStyle w:val="ListParagraph"/>
        <w:numPr>
          <w:ilvl w:val="0"/>
          <w:numId w:val="3"/>
        </w:numPr>
        <w:spacing w:after="100" w:line="276"/>
      </w:pPr>
      <w:r>
        <w:rPr>
          <w:rFonts w:ascii="Georgia" w:cs="Georgia" w:eastAsia="Georgia" w:hAnsi="Georgia"/>
          <w:b/>
          <w:bCs/>
          <w:color w:val="1B2A4A"/>
          <w:sz w:val="21"/>
          <w:szCs w:val="21"/>
        </w:rPr>
        <w:t xml:space="preserve">Decision-stage objections: </w:t>
      </w:r>
      <w:r>
        <w:rPr>
          <w:rFonts w:ascii="Georgia" w:cs="Georgia" w:eastAsia="Georgia" w:hAnsi="Georgia"/>
          <w:color w:val="2C2C2C"/>
          <w:sz w:val="21"/>
          <w:szCs w:val="21"/>
        </w:rPr>
        <w:t xml:space="preserve">Is the price justified? What if it doesn’t work? Can I get out easily? What will my peers think?</w:t>
      </w:r>
    </w:p>
    <w:p>
      <w:pPr>
        <w:pStyle w:val="ListParagraph"/>
        <w:numPr>
          <w:ilvl w:val="0"/>
          <w:numId w:val="3"/>
        </w:numPr>
        <w:spacing w:after="100" w:line="276"/>
      </w:pPr>
      <w:r>
        <w:rPr>
          <w:rFonts w:ascii="Georgia" w:cs="Georgia" w:eastAsia="Georgia" w:hAnsi="Georgia"/>
          <w:b/>
          <w:bCs/>
          <w:color w:val="1B2A4A"/>
          <w:sz w:val="21"/>
          <w:szCs w:val="21"/>
        </w:rPr>
        <w:t xml:space="preserve">Post-decision objections: </w:t>
      </w:r>
      <w:r>
        <w:rPr>
          <w:rFonts w:ascii="Georgia" w:cs="Georgia" w:eastAsia="Georgia" w:hAnsi="Georgia"/>
          <w:color w:val="2C2C2C"/>
          <w:sz w:val="21"/>
          <w:szCs w:val="21"/>
        </w:rPr>
        <w:t xml:space="preserve">Did I make the right choice? Is the value materialising? Should I have chosen differently?</w:t>
      </w:r>
    </w:p>
    <w:p>
      <w:pPr>
        <w:spacing w:after="160" w:line="276"/>
        <w:jc w:val="left"/>
      </w:pPr>
      <w:r>
        <w:rPr>
          <w:rFonts w:ascii="Georgia" w:cs="Georgia" w:eastAsia="Georgia" w:hAnsi="Georgia"/>
          <w:color w:val="2C2C2C"/>
          <w:sz w:val="21"/>
          <w:szCs w:val="21"/>
        </w:rPr>
        <w:t xml:space="preserve">For each objection: state the objection in the participant’s own language, identify what evidence or experience resolves it, and note whether the objection is rational (addressable with information) or emotional (addressable with trust and social proof).</w:t>
      </w:r>
    </w:p>
    <w:p>
      <w:pPr>
        <w:spacing w:after="120" w:before="200"/>
      </w:pPr>
      <w:r>
        <w:rPr>
          <w:rFonts w:ascii="Georgia" w:cs="Georgia" w:eastAsia="Georgia" w:hAnsi="Georgia"/>
          <w:b/>
          <w:bCs/>
          <w:color w:val="1B2A4A"/>
          <w:sz w:val="22"/>
          <w:szCs w:val="22"/>
        </w:rPr>
        <w:t xml:space="preserve">Section 5: The Decision Heuristic</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When this participant doesn’t have time or energy for full evaluation, what shortcut do they use?</w:t>
      </w:r>
    </w:p>
    <w:p>
      <w:pPr>
        <w:spacing w:after="160" w:line="276"/>
        <w:jc w:val="left"/>
      </w:pPr>
      <w:r>
        <w:rPr>
          <w:rFonts w:ascii="Georgia" w:cs="Georgia" w:eastAsia="Georgia" w:hAnsi="Georgia"/>
          <w:color w:val="2C2C2C"/>
          <w:sz w:val="21"/>
          <w:szCs w:val="21"/>
        </w:rPr>
        <w:t xml:space="preserve">Most decisions are not made through careful analysis. They are made through heuristics — mental shortcuts that reduce cognitive load. Identify the dominant heuristics for each participant:</w:t>
      </w:r>
    </w:p>
    <w:p>
      <w:pPr>
        <w:pStyle w:val="ListParagraph"/>
        <w:numPr>
          <w:ilvl w:val="0"/>
          <w:numId w:val="3"/>
        </w:numPr>
        <w:spacing w:after="100" w:line="276"/>
      </w:pPr>
      <w:r>
        <w:rPr>
          <w:rFonts w:ascii="Georgia" w:cs="Georgia" w:eastAsia="Georgia" w:hAnsi="Georgia"/>
          <w:b/>
          <w:bCs/>
          <w:color w:val="1B2A4A"/>
          <w:sz w:val="21"/>
          <w:szCs w:val="21"/>
        </w:rPr>
        <w:t xml:space="preserve">Authority heuristic: </w:t>
      </w:r>
      <w:r>
        <w:rPr>
          <w:rFonts w:ascii="Georgia" w:cs="Georgia" w:eastAsia="Georgia" w:hAnsi="Georgia"/>
          <w:color w:val="2C2C2C"/>
          <w:sz w:val="21"/>
          <w:szCs w:val="21"/>
        </w:rPr>
        <w:t xml:space="preserve">“If [trusted figure] uses it, it must be good.”</w:t>
      </w:r>
    </w:p>
    <w:p>
      <w:pPr>
        <w:pStyle w:val="ListParagraph"/>
        <w:numPr>
          <w:ilvl w:val="0"/>
          <w:numId w:val="3"/>
        </w:numPr>
        <w:spacing w:after="100" w:line="276"/>
      </w:pPr>
      <w:r>
        <w:rPr>
          <w:rFonts w:ascii="Georgia" w:cs="Georgia" w:eastAsia="Georgia" w:hAnsi="Georgia"/>
          <w:b/>
          <w:bCs/>
          <w:color w:val="1B2A4A"/>
          <w:sz w:val="21"/>
          <w:szCs w:val="21"/>
        </w:rPr>
        <w:t xml:space="preserve">Social proof heuristic: </w:t>
      </w:r>
      <w:r>
        <w:rPr>
          <w:rFonts w:ascii="Georgia" w:cs="Georgia" w:eastAsia="Georgia" w:hAnsi="Georgia"/>
          <w:color w:val="2C2C2C"/>
          <w:sz w:val="21"/>
          <w:szCs w:val="21"/>
        </w:rPr>
        <w:t xml:space="preserve">“If everyone else is using it, I should too.”</w:t>
      </w:r>
    </w:p>
    <w:p>
      <w:pPr>
        <w:pStyle w:val="ListParagraph"/>
        <w:numPr>
          <w:ilvl w:val="0"/>
          <w:numId w:val="3"/>
        </w:numPr>
        <w:spacing w:after="100" w:line="276"/>
      </w:pPr>
      <w:r>
        <w:rPr>
          <w:rFonts w:ascii="Georgia" w:cs="Georgia" w:eastAsia="Georgia" w:hAnsi="Georgia"/>
          <w:b/>
          <w:bCs/>
          <w:color w:val="1B2A4A"/>
          <w:sz w:val="21"/>
          <w:szCs w:val="21"/>
        </w:rPr>
        <w:t xml:space="preserve">Price-as-quality heuristic: </w:t>
      </w:r>
      <w:r>
        <w:rPr>
          <w:rFonts w:ascii="Georgia" w:cs="Georgia" w:eastAsia="Georgia" w:hAnsi="Georgia"/>
          <w:color w:val="2C2C2C"/>
          <w:sz w:val="21"/>
          <w:szCs w:val="21"/>
        </w:rPr>
        <w:t xml:space="preserve">“If it’s the most expensive, it must be the best.”</w:t>
      </w:r>
    </w:p>
    <w:p>
      <w:pPr>
        <w:pStyle w:val="ListParagraph"/>
        <w:numPr>
          <w:ilvl w:val="0"/>
          <w:numId w:val="3"/>
        </w:numPr>
        <w:spacing w:after="100" w:line="276"/>
      </w:pPr>
      <w:r>
        <w:rPr>
          <w:rFonts w:ascii="Georgia" w:cs="Georgia" w:eastAsia="Georgia" w:hAnsi="Georgia"/>
          <w:b/>
          <w:bCs/>
          <w:color w:val="1B2A4A"/>
          <w:sz w:val="21"/>
          <w:szCs w:val="21"/>
        </w:rPr>
        <w:t xml:space="preserve">Default heuristic: </w:t>
      </w:r>
      <w:r>
        <w:rPr>
          <w:rFonts w:ascii="Georgia" w:cs="Georgia" w:eastAsia="Georgia" w:hAnsi="Georgia"/>
          <w:color w:val="2C2C2C"/>
          <w:sz w:val="21"/>
          <w:szCs w:val="21"/>
        </w:rPr>
        <w:t xml:space="preserve">“I’ll use whatever the platform recommends / whatever comes first.”</w:t>
      </w:r>
    </w:p>
    <w:p>
      <w:pPr>
        <w:pStyle w:val="ListParagraph"/>
        <w:numPr>
          <w:ilvl w:val="0"/>
          <w:numId w:val="3"/>
        </w:numPr>
        <w:spacing w:after="100" w:line="276"/>
      </w:pPr>
      <w:r>
        <w:rPr>
          <w:rFonts w:ascii="Georgia" w:cs="Georgia" w:eastAsia="Georgia" w:hAnsi="Georgia"/>
          <w:b/>
          <w:bCs/>
          <w:color w:val="1B2A4A"/>
          <w:sz w:val="21"/>
          <w:szCs w:val="21"/>
        </w:rPr>
        <w:t xml:space="preserve">Risk-aversion heuristic: </w:t>
      </w:r>
      <w:r>
        <w:rPr>
          <w:rFonts w:ascii="Georgia" w:cs="Georgia" w:eastAsia="Georgia" w:hAnsi="Georgia"/>
          <w:color w:val="2C2C2C"/>
          <w:sz w:val="21"/>
          <w:szCs w:val="21"/>
        </w:rPr>
        <w:t xml:space="preserve">“I’ll pick the option with the least downside, not the most upside.”</w:t>
      </w:r>
    </w:p>
    <w:p>
      <w:pPr>
        <w:spacing w:after="160" w:line="276"/>
        <w:jc w:val="left"/>
      </w:pPr>
      <w:r>
        <w:rPr>
          <w:rFonts w:ascii="Georgia" w:cs="Georgia" w:eastAsia="Georgia" w:hAnsi="Georgia"/>
          <w:color w:val="2C2C2C"/>
          <w:sz w:val="21"/>
          <w:szCs w:val="21"/>
        </w:rPr>
        <w:t xml:space="preserve">Identify which heuristic dominates for each participant type. This directly informs positioning strategy: if the audience uses the authority heuristic, invest in endorsements. If they use social proof, invest in visible user counts and testimonials.</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Each participant type must have a complete five-section analysis. If any section is marked “insufficient data,” the template must flag it explicitly and recommend primary research (interviews, surveys, community observation) to fill the gap.</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3.3 Length Calibration</w:t>
      </w:r>
    </w:p>
    <w:p>
      <w:pPr>
        <w:spacing w:after="160" w:line="276"/>
        <w:jc w:val="left"/>
      </w:pPr>
      <w:r>
        <w:rPr>
          <w:rFonts w:ascii="Georgia" w:cs="Georgia" w:eastAsia="Georgia" w:hAnsi="Georgia"/>
          <w:color w:val="2C2C2C"/>
          <w:sz w:val="21"/>
          <w:szCs w:val="21"/>
        </w:rPr>
        <w:t xml:space="preserve">Target: 1,200–1,800 words per participant type. For a four-participant ecosystem, the full document targets 4,800–7,200 words. Maximum: 10,000 words total.</w:t>
      </w:r>
    </w:p>
    <w:p>
      <w:r>
        <w:br w:type="page"/>
      </w:r>
    </w:p>
    <w:p>
      <w:pPr>
        <w:spacing w:after="60" w:before="120"/>
      </w:pPr>
      <w:r>
        <w:rPr>
          <w:rFonts w:ascii="Georgia" w:cs="Georgia" w:eastAsia="Georgia" w:hAnsi="Georgia"/>
          <w:b/>
          <w:bCs/>
          <w:color w:val="E07A5F"/>
          <w:spacing w:val="180"/>
          <w:sz w:val="16"/>
          <w:szCs w:val="16"/>
        </w:rPr>
        <w:t xml:space="preserve">TEMPLATE 4</w:t>
      </w:r>
    </w:p>
    <w:p>
      <w:pPr>
        <w:pBdr>
          <w:bottom w:val="single" w:color="E07A5F" w:sz="4" w:space="8"/>
        </w:pBdr>
        <w:spacing w:after="60"/>
      </w:pPr>
      <w:r>
        <w:rPr>
          <w:rFonts w:ascii="Georgia" w:cs="Georgia" w:eastAsia="Georgia" w:hAnsi="Georgia"/>
          <w:b/>
          <w:bCs/>
          <w:color w:val="1B2A4A"/>
          <w:sz w:val="36"/>
          <w:szCs w:val="36"/>
        </w:rPr>
        <w:t xml:space="preserve">Language &amp; Semiotics Map</w:t>
      </w:r>
    </w:p>
    <w:p>
      <w:pPr>
        <w:spacing w:after="80" w:before="120"/>
      </w:pPr>
      <w:r>
        <w:rPr>
          <w:rFonts w:ascii="Georgia" w:cs="Georgia" w:eastAsia="Georgia" w:hAnsi="Georgia"/>
          <w:i/>
          <w:iCs/>
          <w:color w:val="3D5A80"/>
          <w:sz w:val="22"/>
          <w:szCs w:val="22"/>
        </w:rPr>
        <w:t xml:space="preserve">The lexicon, metaphors, emotional register, and symbolic vocabulary of the ecosystem.</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All copywriting, UI microcopy, marketing communications, listing descriptions, customer support scripts, brand naming.</w:t>
      </w:r>
    </w:p>
    <w:p>
      <w:pPr>
        <w:pStyle w:val="Heading2"/>
        <w:spacing w:after="160" w:before="280"/>
      </w:pPr>
      <w:r>
        <w:rPr>
          <w:rFonts w:ascii="Georgia" w:cs="Georgia" w:eastAsia="Georgia" w:hAnsi="Georgia"/>
          <w:b/>
          <w:bCs/>
          <w:color w:val="3D5A80"/>
          <w:sz w:val="26"/>
          <w:szCs w:val="26"/>
        </w:rPr>
        <w:t xml:space="preserve">4.1 Purpose</w:t>
      </w:r>
    </w:p>
    <w:p>
      <w:pPr>
        <w:spacing w:after="160" w:line="276"/>
        <w:jc w:val="left"/>
      </w:pPr>
      <w:r>
        <w:rPr>
          <w:rFonts w:ascii="Georgia" w:cs="Georgia" w:eastAsia="Georgia" w:hAnsi="Georgia"/>
          <w:color w:val="2C2C2C"/>
          <w:sz w:val="21"/>
          <w:szCs w:val="21"/>
        </w:rPr>
        <w:t xml:space="preserve">The Culture Map explains what the ecosystem believes. The Language Map documents how those beliefs are expressed. This is the operational translation layer: it converts cultural understanding into specific words, phrases, metaphors, and tonal patterns that can be directly applied to any communication artifact.</w:t>
      </w:r>
    </w:p>
    <w:p>
      <w:pPr>
        <w:pBdr>
          <w:left w:val="single" w:color="E07A5F" w:sz="12" w:space="8"/>
        </w:pBdr>
        <w:spacing w:after="200" w:before="200"/>
        <w:ind w:left="360" w:right="360"/>
      </w:pPr>
      <w:r>
        <w:rPr>
          <w:rFonts w:ascii="Georgia" w:cs="Georgia" w:eastAsia="Georgia" w:hAnsi="Georgia"/>
          <w:i/>
          <w:iCs/>
          <w:color w:val="3D5A80"/>
          <w:sz w:val="21"/>
          <w:szCs w:val="21"/>
        </w:rPr>
        <w:t xml:space="preserve">Every ecosystem speaks its own dialect. Using the wrong word — even the right concept expressed in the wrong register — signals outsider status as loudly as wearing a suit to a surf competition. The Language Map ensures every piece of copy sounds like it was written by someone who belongs.</w:t>
      </w:r>
    </w:p>
    <w:p>
      <w:pPr>
        <w:pStyle w:val="Heading2"/>
        <w:spacing w:after="160" w:before="280"/>
      </w:pPr>
      <w:r>
        <w:rPr>
          <w:rFonts w:ascii="Georgia" w:cs="Georgia" w:eastAsia="Georgia" w:hAnsi="Georgia"/>
          <w:b/>
          <w:bCs/>
          <w:color w:val="3D5A80"/>
          <w:sz w:val="26"/>
          <w:szCs w:val="26"/>
        </w:rPr>
        <w:t xml:space="preserve">4.2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The Core Lexicon</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are the 30–60 most important words and phrases in this ecosystem, and what do they actually mean?</w:t>
      </w:r>
    </w:p>
    <w:p>
      <w:pPr>
        <w:spacing w:after="160" w:line="276"/>
        <w:jc w:val="left"/>
      </w:pPr>
      <w:r>
        <w:rPr>
          <w:rFonts w:ascii="Georgia" w:cs="Georgia" w:eastAsia="Georgia" w:hAnsi="Georgia"/>
          <w:color w:val="2C2C2C"/>
          <w:sz w:val="21"/>
          <w:szCs w:val="21"/>
        </w:rPr>
        <w:t xml:space="preserve">Build a structured glossary of ecosystem-specific terminology. This is not a general dictionary — it is a map of the words that carry cultural weight.</w:t>
      </w:r>
    </w:p>
    <w:p>
      <w:pPr>
        <w:spacing w:after="160" w:line="276"/>
        <w:jc w:val="left"/>
      </w:pPr>
      <w:r>
        <w:rPr>
          <w:rFonts w:ascii="Georgia" w:cs="Georgia" w:eastAsia="Georgia" w:hAnsi="Georgia"/>
          <w:color w:val="2C2C2C"/>
          <w:sz w:val="21"/>
          <w:szCs w:val="21"/>
        </w:rPr>
        <w:t xml:space="preserve">For each term, document:</w:t>
      </w:r>
    </w:p>
    <w:p>
      <w:pPr>
        <w:pStyle w:val="ListParagraph"/>
        <w:numPr>
          <w:ilvl w:val="0"/>
          <w:numId w:val="3"/>
        </w:numPr>
        <w:spacing w:after="100" w:line="276"/>
      </w:pPr>
      <w:r>
        <w:rPr>
          <w:rFonts w:ascii="Georgia" w:cs="Georgia" w:eastAsia="Georgia" w:hAnsi="Georgia"/>
          <w:color w:val="2C2C2C"/>
          <w:sz w:val="21"/>
          <w:szCs w:val="21"/>
        </w:rPr>
        <w:t xml:space="preserve">The term itself, exactly as used (including capitalisation, abbreviation, or emoji conventions).</w:t>
      </w:r>
    </w:p>
    <w:p>
      <w:pPr>
        <w:pStyle w:val="ListParagraph"/>
        <w:numPr>
          <w:ilvl w:val="0"/>
          <w:numId w:val="3"/>
        </w:numPr>
        <w:spacing w:after="100" w:line="276"/>
      </w:pPr>
      <w:r>
        <w:rPr>
          <w:rFonts w:ascii="Georgia" w:cs="Georgia" w:eastAsia="Georgia" w:hAnsi="Georgia"/>
          <w:color w:val="2C2C2C"/>
          <w:sz w:val="21"/>
          <w:szCs w:val="21"/>
        </w:rPr>
        <w:t xml:space="preserve">Literal meaning: the dictionary definition or functional description.</w:t>
      </w:r>
    </w:p>
    <w:p>
      <w:pPr>
        <w:pStyle w:val="ListParagraph"/>
        <w:numPr>
          <w:ilvl w:val="0"/>
          <w:numId w:val="3"/>
        </w:numPr>
        <w:spacing w:after="100" w:line="276"/>
      </w:pPr>
      <w:r>
        <w:rPr>
          <w:rFonts w:ascii="Georgia" w:cs="Georgia" w:eastAsia="Georgia" w:hAnsi="Georgia"/>
          <w:color w:val="2C2C2C"/>
          <w:sz w:val="21"/>
          <w:szCs w:val="21"/>
        </w:rPr>
        <w:t xml:space="preserve">Cultural meaning: what the term signals beyond its literal meaning. (Status, belonging, expertise, ideology.)</w:t>
      </w:r>
    </w:p>
    <w:p>
      <w:pPr>
        <w:pStyle w:val="ListParagraph"/>
        <w:numPr>
          <w:ilvl w:val="0"/>
          <w:numId w:val="3"/>
        </w:numPr>
        <w:spacing w:after="100" w:line="276"/>
      </w:pPr>
      <w:r>
        <w:rPr>
          <w:rFonts w:ascii="Georgia" w:cs="Georgia" w:eastAsia="Georgia" w:hAnsi="Georgia"/>
          <w:color w:val="2C2C2C"/>
          <w:sz w:val="21"/>
          <w:szCs w:val="21"/>
        </w:rPr>
        <w:t xml:space="preserve">Usage context: where and how this term is used. (Casual conversation? Formal content? In-group only? Cross-tribe?)</w:t>
      </w:r>
    </w:p>
    <w:p>
      <w:pPr>
        <w:pStyle w:val="ListParagraph"/>
        <w:numPr>
          <w:ilvl w:val="0"/>
          <w:numId w:val="3"/>
        </w:numPr>
        <w:spacing w:after="100" w:line="276"/>
      </w:pPr>
      <w:r>
        <w:rPr>
          <w:rFonts w:ascii="Georgia" w:cs="Georgia" w:eastAsia="Georgia" w:hAnsi="Georgia"/>
          <w:color w:val="2C2C2C"/>
          <w:sz w:val="21"/>
          <w:szCs w:val="21"/>
        </w:rPr>
        <w:t xml:space="preserve">Caution notes: any misuse patterns that signal outsider status or create negative reactions.</w:t>
      </w:r>
    </w:p>
    <w:p>
      <w:pPr>
        <w:spacing w:after="120" w:before="200"/>
      </w:pPr>
      <w:r>
        <w:rPr>
          <w:rFonts w:ascii="Georgia" w:cs="Georgia" w:eastAsia="Georgia" w:hAnsi="Georgia"/>
          <w:b/>
          <w:bCs/>
          <w:color w:val="1B2A4A"/>
          <w:sz w:val="22"/>
          <w:szCs w:val="22"/>
        </w:rPr>
        <w:t xml:space="preserve">Section 2: The Metaphor System</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recurring metaphors structure how participants think and talk about their experience?</w:t>
      </w:r>
    </w:p>
    <w:p>
      <w:pPr>
        <w:spacing w:after="160" w:line="276"/>
        <w:jc w:val="left"/>
      </w:pPr>
      <w:r>
        <w:rPr>
          <w:rFonts w:ascii="Georgia" w:cs="Georgia" w:eastAsia="Georgia" w:hAnsi="Georgia"/>
          <w:color w:val="2C2C2C"/>
          <w:sz w:val="21"/>
          <w:szCs w:val="21"/>
        </w:rPr>
        <w:t xml:space="preserve">Metaphors are not decorative language. They are cognitive frameworks that shape how people understand abstract concepts. A finance ecosystem that talks about “building wealth” operates from a construction metaphor (foundations, blueprints, brick by brick). One that talks about “growing wealth” operates from an organic metaphor (planting seeds, nurturing, harvesting). These metaphors constrain which messages resonate and which feel wrong.</w:t>
      </w:r>
    </w:p>
    <w:p>
      <w:pPr>
        <w:pStyle w:val="ListParagraph"/>
        <w:numPr>
          <w:ilvl w:val="0"/>
          <w:numId w:val="3"/>
        </w:numPr>
        <w:spacing w:after="100" w:line="276"/>
      </w:pPr>
      <w:r>
        <w:rPr>
          <w:rFonts w:ascii="Georgia" w:cs="Georgia" w:eastAsia="Georgia" w:hAnsi="Georgia"/>
          <w:color w:val="2C2C2C"/>
          <w:sz w:val="21"/>
          <w:szCs w:val="21"/>
        </w:rPr>
        <w:t xml:space="preserve">Identify the 3–5 dominant metaphor families in the ecosystem.</w:t>
      </w:r>
    </w:p>
    <w:p>
      <w:pPr>
        <w:pStyle w:val="ListParagraph"/>
        <w:numPr>
          <w:ilvl w:val="0"/>
          <w:numId w:val="3"/>
        </w:numPr>
        <w:spacing w:after="100" w:line="276"/>
      </w:pPr>
      <w:r>
        <w:rPr>
          <w:rFonts w:ascii="Georgia" w:cs="Georgia" w:eastAsia="Georgia" w:hAnsi="Georgia"/>
          <w:color w:val="2C2C2C"/>
          <w:sz w:val="21"/>
          <w:szCs w:val="21"/>
        </w:rPr>
        <w:t xml:space="preserve">For each: what source domain does it draw from? What concepts does it illuminate? What does it obscure or de-emphasise?</w:t>
      </w:r>
    </w:p>
    <w:p>
      <w:pPr>
        <w:pStyle w:val="ListParagraph"/>
        <w:numPr>
          <w:ilvl w:val="0"/>
          <w:numId w:val="3"/>
        </w:numPr>
        <w:spacing w:after="100" w:line="276"/>
      </w:pPr>
      <w:r>
        <w:rPr>
          <w:rFonts w:ascii="Georgia" w:cs="Georgia" w:eastAsia="Georgia" w:hAnsi="Georgia"/>
          <w:color w:val="2C2C2C"/>
          <w:sz w:val="21"/>
          <w:szCs w:val="21"/>
        </w:rPr>
        <w:t xml:space="preserve">Note any competing metaphor systems across sub-tribes (T1, Section 7).</w:t>
      </w:r>
    </w:p>
    <w:p>
      <w:pPr>
        <w:pStyle w:val="ListParagraph"/>
        <w:numPr>
          <w:ilvl w:val="0"/>
          <w:numId w:val="3"/>
        </w:numPr>
        <w:spacing w:after="100" w:line="276"/>
      </w:pPr>
      <w:r>
        <w:rPr>
          <w:rFonts w:ascii="Georgia" w:cs="Georgia" w:eastAsia="Georgia" w:hAnsi="Georgia"/>
          <w:color w:val="2C2C2C"/>
          <w:sz w:val="21"/>
          <w:szCs w:val="21"/>
        </w:rPr>
        <w:t xml:space="preserve">Flag dead metaphors — once-powerful comparisons that have become clichés and now signal laziness rather than insight.</w:t>
      </w:r>
    </w:p>
    <w:p>
      <w:pPr>
        <w:spacing w:after="120" w:before="200"/>
      </w:pPr>
      <w:r>
        <w:rPr>
          <w:rFonts w:ascii="Georgia" w:cs="Georgia" w:eastAsia="Georgia" w:hAnsi="Georgia"/>
          <w:b/>
          <w:bCs/>
          <w:color w:val="1B2A4A"/>
          <w:sz w:val="22"/>
          <w:szCs w:val="22"/>
        </w:rPr>
        <w:t xml:space="preserve">Section 3: Emotional Register</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is the dominant emotional tone, and how does it vary across contexts?</w:t>
      </w:r>
    </w:p>
    <w:p>
      <w:pPr>
        <w:spacing w:after="160" w:line="276"/>
        <w:jc w:val="left"/>
      </w:pPr>
      <w:r>
        <w:rPr>
          <w:rFonts w:ascii="Georgia" w:cs="Georgia" w:eastAsia="Georgia" w:hAnsi="Georgia"/>
          <w:color w:val="2C2C2C"/>
          <w:sz w:val="21"/>
          <w:szCs w:val="21"/>
        </w:rPr>
        <w:t xml:space="preserve">Map the tonal spectrum of the ecosystem across the following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Dimension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Spectrum</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Where It Sits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Contextual Shifts</w:t>
            </w:r>
          </w:p>
        </w:tc>
      </w:tr>
      <w:tr>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Formality</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Casual ↔ Professional</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[Position this ecosystem]</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When does the register shift? (e.g., casual in social, formal in sponsored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Certainty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Tentative ↔ Assertive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[Position this ecosystem]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When does hedging appear vs. confidence?</w:t>
            </w:r>
          </w:p>
        </w:tc>
      </w:tr>
      <w:tr>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Emotion</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Analytical ↔ Passionate</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[Position this ecosystem]</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What topics provoke emotional vs. rational responses?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Accessibility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Specialist ↔ Populist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[Position this ecosystem]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When is jargon celebrated vs. when is plain language expected?</w:t>
            </w:r>
          </w:p>
        </w:tc>
      </w:tr>
      <w:tr>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Humour</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Serious ↔ Irreverent</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[Position this ecosystem]</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What subjects are open to humour and which are not?</w:t>
            </w:r>
          </w:p>
        </w:tc>
      </w:tr>
    </w:tbl>
    <w:p>
      <w:pPr>
        <w:spacing w:after="160" w:line="276"/>
        <w:jc w:val="left"/>
      </w:pPr>
      <w:r>
        <w:rPr>
          <w:rFonts w:ascii="Georgia" w:cs="Georgia" w:eastAsia="Georgia" w:hAnsi="Georgia"/>
          <w:color w:val="2C2C2C"/>
          <w:sz w:val="21"/>
          <w:szCs w:val="21"/>
        </w:rPr>
        <w:t xml:space="preserve"/>
      </w:r>
    </w:p>
    <w:p>
      <w:pPr>
        <w:spacing w:after="120" w:before="200"/>
      </w:pPr>
      <w:r>
        <w:rPr>
          <w:rFonts w:ascii="Georgia" w:cs="Georgia" w:eastAsia="Georgia" w:hAnsi="Georgia"/>
          <w:b/>
          <w:bCs/>
          <w:color w:val="1B2A4A"/>
          <w:sz w:val="22"/>
          <w:szCs w:val="22"/>
        </w:rPr>
        <w:t xml:space="preserve">Section 4: Platform-Specific Variations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How does the same community modulate its language across different platforms?</w:t>
      </w:r>
    </w:p>
    <w:p>
      <w:pPr>
        <w:spacing w:after="160" w:line="276"/>
        <w:jc w:val="left"/>
      </w:pPr>
      <w:r>
        <w:rPr>
          <w:rFonts w:ascii="Georgia" w:cs="Georgia" w:eastAsia="Georgia" w:hAnsi="Georgia"/>
          <w:color w:val="2C2C2C"/>
          <w:sz w:val="21"/>
          <w:szCs w:val="21"/>
        </w:rPr>
        <w:t xml:space="preserve">The same person speaks differently on TikTok than on LinkedIn. The same community uses different vocabulary in a Reddit thread than in a YouTube comment section. Document the platform-specific variations:</w:t>
      </w:r>
    </w:p>
    <w:p>
      <w:pPr>
        <w:pStyle w:val="ListParagraph"/>
        <w:numPr>
          <w:ilvl w:val="0"/>
          <w:numId w:val="3"/>
        </w:numPr>
        <w:spacing w:after="100" w:line="276"/>
      </w:pPr>
      <w:r>
        <w:rPr>
          <w:rFonts w:ascii="Georgia" w:cs="Georgia" w:eastAsia="Georgia" w:hAnsi="Georgia"/>
          <w:color w:val="2C2C2C"/>
          <w:sz w:val="21"/>
          <w:szCs w:val="21"/>
        </w:rPr>
        <w:t xml:space="preserve">For each major platform the ecosystem operates on: what is the format constraint? (Character limits, video vs. text, ephemeral vs. permanent.) How does the language adapt?</w:t>
      </w:r>
    </w:p>
    <w:p>
      <w:pPr>
        <w:pStyle w:val="ListParagraph"/>
        <w:numPr>
          <w:ilvl w:val="0"/>
          <w:numId w:val="3"/>
        </w:numPr>
        <w:spacing w:after="100" w:line="276"/>
      </w:pPr>
      <w:r>
        <w:rPr>
          <w:rFonts w:ascii="Georgia" w:cs="Georgia" w:eastAsia="Georgia" w:hAnsi="Georgia"/>
          <w:color w:val="2C2C2C"/>
          <w:sz w:val="21"/>
          <w:szCs w:val="21"/>
        </w:rPr>
        <w:t xml:space="preserve">Platform-specific vocabulary: terms or abbreviations that are native to one platform but would feel alien on another.</w:t>
      </w:r>
    </w:p>
    <w:p>
      <w:pPr>
        <w:pStyle w:val="ListParagraph"/>
        <w:numPr>
          <w:ilvl w:val="0"/>
          <w:numId w:val="3"/>
        </w:numPr>
        <w:spacing w:after="100" w:line="276"/>
      </w:pPr>
      <w:r>
        <w:rPr>
          <w:rFonts w:ascii="Georgia" w:cs="Georgia" w:eastAsia="Georgia" w:hAnsi="Georgia"/>
          <w:color w:val="2C2C2C"/>
          <w:sz w:val="21"/>
          <w:szCs w:val="21"/>
        </w:rPr>
        <w:t xml:space="preserve">Tonal shifts: is the community more formal on LinkedIn and more irreverent on TikTok? More supportive in Discord and more competitive on Twitter?</w:t>
      </w:r>
    </w:p>
    <w:p>
      <w:pPr>
        <w:spacing w:after="120" w:before="200"/>
      </w:pPr>
      <w:r>
        <w:rPr>
          <w:rFonts w:ascii="Georgia" w:cs="Georgia" w:eastAsia="Georgia" w:hAnsi="Georgia"/>
          <w:b/>
          <w:bCs/>
          <w:color w:val="1B2A4A"/>
          <w:sz w:val="22"/>
          <w:szCs w:val="22"/>
        </w:rPr>
        <w:t xml:space="preserve">Section 5: The Forbidden Lexicon</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words, phrases, and tonal patterns actively trigger distrust, cringe, or hostility?</w:t>
      </w:r>
    </w:p>
    <w:p>
      <w:pPr>
        <w:spacing w:after="160" w:line="276"/>
        <w:jc w:val="left"/>
      </w:pPr>
      <w:r>
        <w:rPr>
          <w:rFonts w:ascii="Georgia" w:cs="Georgia" w:eastAsia="Georgia" w:hAnsi="Georgia"/>
          <w:color w:val="2C2C2C"/>
          <w:sz w:val="21"/>
          <w:szCs w:val="21"/>
        </w:rPr>
        <w:t xml:space="preserve">This section is as important as the core lexicon. The fastest way to be rejected by a community is to use the wrong words.</w:t>
      </w:r>
    </w:p>
    <w:p>
      <w:pPr>
        <w:pStyle w:val="ListParagraph"/>
        <w:numPr>
          <w:ilvl w:val="0"/>
          <w:numId w:val="3"/>
        </w:numPr>
        <w:spacing w:after="100" w:line="276"/>
      </w:pPr>
      <w:r>
        <w:rPr>
          <w:rFonts w:ascii="Georgia" w:cs="Georgia" w:eastAsia="Georgia" w:hAnsi="Georgia"/>
          <w:color w:val="2C2C2C"/>
          <w:sz w:val="21"/>
          <w:szCs w:val="21"/>
        </w:rPr>
        <w:t xml:space="preserve">Corporate-speak that signals inauthenticity: identify specific phrases that the community associates with outsiders, marketers, or scammers.</w:t>
      </w:r>
    </w:p>
    <w:p>
      <w:pPr>
        <w:pStyle w:val="ListParagraph"/>
        <w:numPr>
          <w:ilvl w:val="0"/>
          <w:numId w:val="3"/>
        </w:numPr>
        <w:spacing w:after="100" w:line="276"/>
      </w:pPr>
      <w:r>
        <w:rPr>
          <w:rFonts w:ascii="Georgia" w:cs="Georgia" w:eastAsia="Georgia" w:hAnsi="Georgia"/>
          <w:color w:val="2C2C2C"/>
          <w:sz w:val="21"/>
          <w:szCs w:val="21"/>
        </w:rPr>
        <w:t xml:space="preserve">Outdated terminology: words that were once acceptable but now signal ignorance of the community’s evolution.</w:t>
      </w:r>
    </w:p>
    <w:p>
      <w:pPr>
        <w:pStyle w:val="ListParagraph"/>
        <w:numPr>
          <w:ilvl w:val="0"/>
          <w:numId w:val="3"/>
        </w:numPr>
        <w:spacing w:after="100" w:line="276"/>
      </w:pPr>
      <w:r>
        <w:rPr>
          <w:rFonts w:ascii="Georgia" w:cs="Georgia" w:eastAsia="Georgia" w:hAnsi="Georgia"/>
          <w:color w:val="2C2C2C"/>
          <w:sz w:val="21"/>
          <w:szCs w:val="21"/>
        </w:rPr>
        <w:t xml:space="preserve">Appropriated language: terms borrowed from the community by outside brands in ways that feel extractive rather than native.</w:t>
      </w:r>
    </w:p>
    <w:p>
      <w:pPr>
        <w:pStyle w:val="ListParagraph"/>
        <w:numPr>
          <w:ilvl w:val="0"/>
          <w:numId w:val="3"/>
        </w:numPr>
        <w:spacing w:after="100" w:line="276"/>
      </w:pPr>
      <w:r>
        <w:rPr>
          <w:rFonts w:ascii="Georgia" w:cs="Georgia" w:eastAsia="Georgia" w:hAnsi="Georgia"/>
          <w:color w:val="2C2C2C"/>
          <w:sz w:val="21"/>
          <w:szCs w:val="21"/>
        </w:rPr>
        <w:t xml:space="preserve">Toxic positivity markers: language patterns that the community perceives as dismissive of legitimate concerns.</w:t>
      </w:r>
    </w:p>
    <w:p>
      <w:pPr>
        <w:pStyle w:val="ListParagraph"/>
        <w:numPr>
          <w:ilvl w:val="0"/>
          <w:numId w:val="3"/>
        </w:numPr>
        <w:spacing w:after="100" w:line="276"/>
      </w:pPr>
      <w:r>
        <w:rPr>
          <w:rFonts w:ascii="Georgia" w:cs="Georgia" w:eastAsia="Georgia" w:hAnsi="Georgia"/>
          <w:color w:val="2C2C2C"/>
          <w:sz w:val="21"/>
          <w:szCs w:val="21"/>
        </w:rPr>
        <w:t xml:space="preserve">Overpromise language: specific claims or framings that trigger scepticism based on the community’s experience with bad actors.</w:t>
      </w:r>
    </w:p>
    <w:p>
      <w:pPr>
        <w:spacing w:after="120" w:before="200"/>
      </w:pPr>
      <w:r>
        <w:rPr>
          <w:rFonts w:ascii="Georgia" w:cs="Georgia" w:eastAsia="Georgia" w:hAnsi="Georgia"/>
          <w:b/>
          <w:bCs/>
          <w:color w:val="1B2A4A"/>
          <w:sz w:val="22"/>
          <w:szCs w:val="22"/>
        </w:rPr>
        <w:t xml:space="preserve">Section 6: Naming Conventions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patterns govern how things are named within the ecosystem, and what naming choices signal belonging?</w:t>
      </w:r>
    </w:p>
    <w:p>
      <w:pPr>
        <w:spacing w:after="160" w:line="276"/>
        <w:jc w:val="left"/>
      </w:pPr>
      <w:r>
        <w:rPr>
          <w:rFonts w:ascii="Georgia" w:cs="Georgia" w:eastAsia="Georgia" w:hAnsi="Georgia"/>
          <w:color w:val="2C2C2C"/>
          <w:sz w:val="21"/>
          <w:szCs w:val="21"/>
        </w:rPr>
        <w:t xml:space="preserve">Catalogue the naming conventions for products, features, content formats, and community roles. Does the ecosystem prefer technical names, playful names, metaphorical names, or functional names? Are there naming patterns that successful products in the space follow?</w:t>
      </w:r>
    </w:p>
    <w:p>
      <w:pPr>
        <w:pStyle w:val="ListParagraph"/>
        <w:numPr>
          <w:ilvl w:val="0"/>
          <w:numId w:val="3"/>
        </w:numPr>
        <w:spacing w:after="100" w:line="276"/>
      </w:pPr>
      <w:r>
        <w:rPr>
          <w:rFonts w:ascii="Georgia" w:cs="Georgia" w:eastAsia="Georgia" w:hAnsi="Georgia"/>
          <w:color w:val="2C2C2C"/>
          <w:sz w:val="21"/>
          <w:szCs w:val="21"/>
        </w:rPr>
        <w:t xml:space="preserve">Product naming patterns: what do successful tools in this space call themselves? What do failed ones call themselves?</w:t>
      </w:r>
    </w:p>
    <w:p>
      <w:pPr>
        <w:pStyle w:val="ListParagraph"/>
        <w:numPr>
          <w:ilvl w:val="0"/>
          <w:numId w:val="3"/>
        </w:numPr>
        <w:spacing w:after="100" w:line="276"/>
      </w:pPr>
      <w:r>
        <w:rPr>
          <w:rFonts w:ascii="Georgia" w:cs="Georgia" w:eastAsia="Georgia" w:hAnsi="Georgia"/>
          <w:color w:val="2C2C2C"/>
          <w:sz w:val="21"/>
          <w:szCs w:val="21"/>
        </w:rPr>
        <w:t xml:space="preserve">Feature naming: does the community respond better to descriptive labels (“Compliance Checker”) or evocative ones (“Shield”)?</w:t>
      </w:r>
    </w:p>
    <w:p>
      <w:pPr>
        <w:pStyle w:val="ListParagraph"/>
        <w:numPr>
          <w:ilvl w:val="0"/>
          <w:numId w:val="3"/>
        </w:numPr>
        <w:spacing w:after="100" w:line="276"/>
      </w:pPr>
      <w:r>
        <w:rPr>
          <w:rFonts w:ascii="Georgia" w:cs="Georgia" w:eastAsia="Georgia" w:hAnsi="Georgia"/>
          <w:color w:val="2C2C2C"/>
          <w:sz w:val="21"/>
          <w:szCs w:val="21"/>
        </w:rPr>
        <w:t xml:space="preserve">Community role names: how do participants refer to themselves and each other?</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core lexicon must contain a minimum of 30 terms. The forbidden lexicon must contain a minimum of 10 entries. Both must be sourced from primary community content, not inferred from industry reports.</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4.3 Length Calibration</w:t>
      </w:r>
    </w:p>
    <w:p>
      <w:pPr>
        <w:spacing w:after="160" w:line="276"/>
        <w:jc w:val="left"/>
      </w:pPr>
      <w:r>
        <w:rPr>
          <w:rFonts w:ascii="Georgia" w:cs="Georgia" w:eastAsia="Georgia" w:hAnsi="Georgia"/>
          <w:color w:val="2C2C2C"/>
          <w:sz w:val="21"/>
          <w:szCs w:val="21"/>
        </w:rPr>
        <w:t xml:space="preserve">Target: 3,000–4,500 words (excluding the lexicon table, which may be extensive). Maximum: 6,500 words.</w:t>
      </w:r>
    </w:p>
    <w:p>
      <w:r>
        <w:br w:type="page"/>
      </w:r>
    </w:p>
    <w:p>
      <w:pPr>
        <w:spacing w:after="60" w:before="120"/>
      </w:pPr>
      <w:r>
        <w:rPr>
          <w:rFonts w:ascii="Georgia" w:cs="Georgia" w:eastAsia="Georgia" w:hAnsi="Georgia"/>
          <w:b/>
          <w:bCs/>
          <w:color w:val="E07A5F"/>
          <w:spacing w:val="180"/>
          <w:sz w:val="16"/>
          <w:szCs w:val="16"/>
        </w:rPr>
        <w:t xml:space="preserve">TEMPLATE 5</w:t>
      </w:r>
    </w:p>
    <w:p>
      <w:pPr>
        <w:pBdr>
          <w:bottom w:val="single" w:color="E07A5F" w:sz="4" w:space="8"/>
        </w:pBdr>
        <w:spacing w:after="60"/>
      </w:pPr>
      <w:r>
        <w:rPr>
          <w:rFonts w:ascii="Georgia" w:cs="Georgia" w:eastAsia="Georgia" w:hAnsi="Georgia"/>
          <w:b/>
          <w:bCs/>
          <w:color w:val="1B2A4A"/>
          <w:sz w:val="36"/>
          <w:szCs w:val="36"/>
        </w:rPr>
        <w:t xml:space="preserve">Competitive Topology</w:t>
      </w:r>
    </w:p>
    <w:p>
      <w:pPr>
        <w:spacing w:after="80" w:before="120"/>
      </w:pPr>
      <w:r>
        <w:rPr>
          <w:rFonts w:ascii="Georgia" w:cs="Georgia" w:eastAsia="Georgia" w:hAnsi="Georgia"/>
          <w:i/>
          <w:iCs/>
          <w:color w:val="3D5A80"/>
          <w:sz w:val="22"/>
          <w:szCs w:val="22"/>
        </w:rPr>
        <w:t xml:space="preserve">The categorical landscape of existing solutions across ecosystem interfaces, identifying white space and saturation.</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Positioning, differentiation strategy, pricing boundaries, entry point selection.</w:t>
      </w:r>
    </w:p>
    <w:p>
      <w:pPr>
        <w:pStyle w:val="Heading2"/>
        <w:spacing w:after="160" w:before="280"/>
      </w:pPr>
      <w:r>
        <w:rPr>
          <w:rFonts w:ascii="Georgia" w:cs="Georgia" w:eastAsia="Georgia" w:hAnsi="Georgia"/>
          <w:b/>
          <w:bCs/>
          <w:color w:val="3D5A80"/>
          <w:sz w:val="26"/>
          <w:szCs w:val="26"/>
        </w:rPr>
        <w:t xml:space="preserve">5.1 Purpose</w:t>
      </w:r>
    </w:p>
    <w:p>
      <w:pPr>
        <w:spacing w:after="160" w:line="276"/>
        <w:jc w:val="left"/>
      </w:pPr>
      <w:r>
        <w:rPr>
          <w:rFonts w:ascii="Georgia" w:cs="Georgia" w:eastAsia="Georgia" w:hAnsi="Georgia"/>
          <w:color w:val="2C2C2C"/>
          <w:sz w:val="21"/>
          <w:szCs w:val="21"/>
        </w:rPr>
        <w:t xml:space="preserve">The Competitive Topology is not a competitor analysis. It does not profile individual companies. It maps the categories of solutions that currently exist at each ecosystem interface — and critically, the categories that do not exist. The output is a spatial model of where the market is crowded, where it is thin, and where it is entirely vacant.</w:t>
      </w:r>
    </w:p>
    <w:p>
      <w:pPr>
        <w:pBdr>
          <w:left w:val="single" w:color="E07A5F" w:sz="12" w:space="8"/>
        </w:pBdr>
        <w:spacing w:after="200" w:before="200"/>
        <w:ind w:left="360" w:right="360"/>
      </w:pPr>
      <w:r>
        <w:rPr>
          <w:rFonts w:ascii="Georgia" w:cs="Georgia" w:eastAsia="Georgia" w:hAnsi="Georgia"/>
          <w:i/>
          <w:iCs/>
          <w:color w:val="3D5A80"/>
          <w:sz w:val="21"/>
          <w:szCs w:val="21"/>
        </w:rPr>
        <w:t xml:space="preserve">A competitor analysis tells you who you are fighting. A Competitive Topology tells you where the fights are happening and where no one is standing. The most valuable insight is often the empty space.</w:t>
      </w:r>
    </w:p>
    <w:p>
      <w:pPr>
        <w:pStyle w:val="Heading2"/>
        <w:spacing w:after="160" w:before="280"/>
      </w:pPr>
      <w:r>
        <w:rPr>
          <w:rFonts w:ascii="Georgia" w:cs="Georgia" w:eastAsia="Georgia" w:hAnsi="Georgia"/>
          <w:b/>
          <w:bCs/>
          <w:color w:val="3D5A80"/>
          <w:sz w:val="26"/>
          <w:szCs w:val="26"/>
        </w:rPr>
        <w:t xml:space="preserve">5.2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Interface-Solution Mapping</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For each interface identified in the Ecosystem Analysis, what categories of solutions currently exist?</w:t>
      </w:r>
    </w:p>
    <w:p>
      <w:pPr>
        <w:spacing w:after="160" w:line="276"/>
        <w:jc w:val="left"/>
      </w:pPr>
      <w:r>
        <w:rPr>
          <w:rFonts w:ascii="Georgia" w:cs="Georgia" w:eastAsia="Georgia" w:hAnsi="Georgia"/>
          <w:color w:val="2C2C2C"/>
          <w:sz w:val="21"/>
          <w:szCs w:val="21"/>
        </w:rPr>
        <w:t xml:space="preserve">Take the ecosystem map from the Ecosystem Analysis (Section 6) and, for each interface, catalogue the solution categories that currently serve it. Note: this is categories, not individual products.</w:t>
      </w:r>
    </w:p>
    <w:p>
      <w:pPr>
        <w:spacing w:after="160" w:line="276"/>
        <w:jc w:val="left"/>
      </w:pPr>
      <w:r>
        <w:rPr>
          <w:rFonts w:ascii="Georgia" w:cs="Georgia" w:eastAsia="Georgia" w:hAnsi="Georgia"/>
          <w:color w:val="2C2C2C"/>
          <w:sz w:val="21"/>
          <w:szCs w:val="21"/>
        </w:rPr>
        <w:t xml:space="preserve">For each solution category at each interface:</w:t>
      </w:r>
    </w:p>
    <w:p>
      <w:pPr>
        <w:pStyle w:val="ListParagraph"/>
        <w:numPr>
          <w:ilvl w:val="0"/>
          <w:numId w:val="3"/>
        </w:numPr>
        <w:spacing w:after="100" w:line="276"/>
      </w:pPr>
      <w:r>
        <w:rPr>
          <w:rFonts w:ascii="Georgia" w:cs="Georgia" w:eastAsia="Georgia" w:hAnsi="Georgia"/>
          <w:color w:val="2C2C2C"/>
          <w:sz w:val="21"/>
          <w:szCs w:val="21"/>
        </w:rPr>
        <w:t xml:space="preserve">Category name: a descriptive label for the type of solution (e.g., “Content compliance scanners,” “Affiliate aggregation dashboards,” “Influencer supervision platforms”).</w:t>
      </w:r>
    </w:p>
    <w:p>
      <w:pPr>
        <w:pStyle w:val="ListParagraph"/>
        <w:numPr>
          <w:ilvl w:val="0"/>
          <w:numId w:val="3"/>
        </w:numPr>
        <w:spacing w:after="100" w:line="276"/>
      </w:pPr>
      <w:r>
        <w:rPr>
          <w:rFonts w:ascii="Georgia" w:cs="Georgia" w:eastAsia="Georgia" w:hAnsi="Georgia"/>
          <w:color w:val="2C2C2C"/>
          <w:sz w:val="21"/>
          <w:szCs w:val="21"/>
        </w:rPr>
        <w:t xml:space="preserve">Market tier served: enterprise, mid-market, SMB, individual, or multiple tiers.</w:t>
      </w:r>
    </w:p>
    <w:p>
      <w:pPr>
        <w:pStyle w:val="ListParagraph"/>
        <w:numPr>
          <w:ilvl w:val="0"/>
          <w:numId w:val="3"/>
        </w:numPr>
        <w:spacing w:after="100" w:line="276"/>
      </w:pPr>
      <w:r>
        <w:rPr>
          <w:rFonts w:ascii="Georgia" w:cs="Georgia" w:eastAsia="Georgia" w:hAnsi="Georgia"/>
          <w:color w:val="2C2C2C"/>
          <w:sz w:val="21"/>
          <w:szCs w:val="21"/>
        </w:rPr>
        <w:t xml:space="preserve">Price range: the approximate pricing band, from lowest to highest observed.</w:t>
      </w:r>
    </w:p>
    <w:p>
      <w:pPr>
        <w:pStyle w:val="ListParagraph"/>
        <w:numPr>
          <w:ilvl w:val="0"/>
          <w:numId w:val="3"/>
        </w:numPr>
        <w:spacing w:after="100" w:line="276"/>
      </w:pPr>
      <w:r>
        <w:rPr>
          <w:rFonts w:ascii="Georgia" w:cs="Georgia" w:eastAsia="Georgia" w:hAnsi="Georgia"/>
          <w:color w:val="2C2C2C"/>
          <w:sz w:val="21"/>
          <w:szCs w:val="21"/>
        </w:rPr>
        <w:t xml:space="preserve">Maturity: nascent (fewer than 5 identifiable players), growing (5–20 players), mature (20+ players), or consolidating (shrinking through M&amp;A).</w:t>
      </w:r>
    </w:p>
    <w:p>
      <w:pPr>
        <w:pStyle w:val="ListParagraph"/>
        <w:numPr>
          <w:ilvl w:val="0"/>
          <w:numId w:val="3"/>
        </w:numPr>
        <w:spacing w:after="100" w:line="276"/>
      </w:pPr>
      <w:r>
        <w:rPr>
          <w:rFonts w:ascii="Georgia" w:cs="Georgia" w:eastAsia="Georgia" w:hAnsi="Georgia"/>
          <w:color w:val="2C2C2C"/>
          <w:sz w:val="21"/>
          <w:szCs w:val="21"/>
        </w:rPr>
        <w:t xml:space="preserve">Participant satisfaction: based on available review data, community sentiment, or churn signals — is the current supply adequate, tolerable, or inadequate?</w:t>
      </w:r>
    </w:p>
    <w:p>
      <w:pPr>
        <w:spacing w:after="120" w:before="200"/>
      </w:pPr>
      <w:r>
        <w:rPr>
          <w:rFonts w:ascii="Georgia" w:cs="Georgia" w:eastAsia="Georgia" w:hAnsi="Georgia"/>
          <w:b/>
          <w:bCs/>
          <w:color w:val="1B2A4A"/>
          <w:sz w:val="22"/>
          <w:szCs w:val="22"/>
        </w:rPr>
        <w:t xml:space="preserve">Section 2: The White Space Map</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Where are the gaps — interfaces or market tiers with no solution category, or categories with no solution at a specific tier?</w:t>
      </w:r>
    </w:p>
    <w:p>
      <w:pPr>
        <w:spacing w:after="160" w:line="276"/>
        <w:jc w:val="left"/>
      </w:pPr>
      <w:r>
        <w:rPr>
          <w:rFonts w:ascii="Georgia" w:cs="Georgia" w:eastAsia="Georgia" w:hAnsi="Georgia"/>
          <w:color w:val="2C2C2C"/>
          <w:sz w:val="21"/>
          <w:szCs w:val="21"/>
        </w:rPr>
        <w:t xml:space="preserve">This is the highest-value section of the Competitive Topology. It identifies three types of white space:</w:t>
      </w:r>
    </w:p>
    <w:p>
      <w:pPr>
        <w:pStyle w:val="ListParagraph"/>
        <w:numPr>
          <w:ilvl w:val="0"/>
          <w:numId w:val="2"/>
        </w:numPr>
        <w:spacing w:after="120" w:line="276"/>
      </w:pPr>
      <w:r>
        <w:rPr>
          <w:rFonts w:ascii="Georgia" w:cs="Georgia" w:eastAsia="Georgia" w:hAnsi="Georgia"/>
          <w:b/>
          <w:bCs/>
          <w:color w:val="1B2A4A"/>
          <w:sz w:val="21"/>
          <w:szCs w:val="21"/>
        </w:rPr>
        <w:t xml:space="preserve">Category gaps: </w:t>
      </w:r>
      <w:r>
        <w:rPr>
          <w:rFonts w:ascii="Georgia" w:cs="Georgia" w:eastAsia="Georgia" w:hAnsi="Georgia"/>
          <w:color w:val="2C2C2C"/>
          <w:sz w:val="21"/>
          <w:szCs w:val="21"/>
        </w:rPr>
        <w:t xml:space="preserve">An ecosystem interface where no solution category exists at all. No one is solving this problem for anyone.</w:t>
      </w:r>
    </w:p>
    <w:p>
      <w:pPr>
        <w:pStyle w:val="ListParagraph"/>
        <w:numPr>
          <w:ilvl w:val="0"/>
          <w:numId w:val="2"/>
        </w:numPr>
        <w:spacing w:after="120" w:line="276"/>
      </w:pPr>
      <w:r>
        <w:rPr>
          <w:rFonts w:ascii="Georgia" w:cs="Georgia" w:eastAsia="Georgia" w:hAnsi="Georgia"/>
          <w:b/>
          <w:bCs/>
          <w:color w:val="1B2A4A"/>
          <w:sz w:val="21"/>
          <w:szCs w:val="21"/>
        </w:rPr>
        <w:t xml:space="preserve">Tier gaps: </w:t>
      </w:r>
      <w:r>
        <w:rPr>
          <w:rFonts w:ascii="Georgia" w:cs="Georgia" w:eastAsia="Georgia" w:hAnsi="Georgia"/>
          <w:color w:val="2C2C2C"/>
          <w:sz w:val="21"/>
          <w:szCs w:val="21"/>
        </w:rPr>
        <w:t xml:space="preserve">A solution category exists but only serves certain market tiers. Enterprise has tooling; mid-market and individuals have nothing. Or individuals have free tools; professional-grade tooling does not exist.</w:t>
      </w:r>
    </w:p>
    <w:p>
      <w:pPr>
        <w:pStyle w:val="ListParagraph"/>
        <w:numPr>
          <w:ilvl w:val="0"/>
          <w:numId w:val="2"/>
        </w:numPr>
        <w:spacing w:after="120" w:line="276"/>
      </w:pPr>
      <w:r>
        <w:rPr>
          <w:rFonts w:ascii="Georgia" w:cs="Georgia" w:eastAsia="Georgia" w:hAnsi="Georgia"/>
          <w:b/>
          <w:bCs/>
          <w:color w:val="1B2A4A"/>
          <w:sz w:val="21"/>
          <w:szCs w:val="21"/>
        </w:rPr>
        <w:t xml:space="preserve">Quality gaps: </w:t>
      </w:r>
      <w:r>
        <w:rPr>
          <w:rFonts w:ascii="Georgia" w:cs="Georgia" w:eastAsia="Georgia" w:hAnsi="Georgia"/>
          <w:color w:val="2C2C2C"/>
          <w:sz w:val="21"/>
          <w:szCs w:val="21"/>
        </w:rPr>
        <w:t xml:space="preserve">Solutions exist at the right tier but are widely perceived as inadequate. Evidence: consistent negative sentiment in reviews, high churn, community workarounds, spreadsheet-based alternatives.</w:t>
      </w:r>
    </w:p>
    <w:p>
      <w:pPr>
        <w:spacing w:after="160" w:line="276"/>
        <w:jc w:val="left"/>
      </w:pPr>
      <w:r>
        <w:rPr>
          <w:rFonts w:ascii="Georgia" w:cs="Georgia" w:eastAsia="Georgia" w:hAnsi="Georgia"/>
          <w:color w:val="2C2C2C"/>
          <w:sz w:val="21"/>
          <w:szCs w:val="21"/>
        </w:rPr>
        <w:t xml:space="preserve">Present the white space as a structured map. The recommended format is a matrix with interfaces as rows and market tiers as columns. Each cell contains: the solution category (if one exists), the maturity level, and a gap classification (Served, Underserved, or Vacant).</w:t>
      </w:r>
    </w:p>
    <w:p>
      <w:pPr>
        <w:spacing w:after="120" w:before="200"/>
      </w:pPr>
      <w:r>
        <w:rPr>
          <w:rFonts w:ascii="Georgia" w:cs="Georgia" w:eastAsia="Georgia" w:hAnsi="Georgia"/>
          <w:b/>
          <w:bCs/>
          <w:color w:val="1B2A4A"/>
          <w:sz w:val="22"/>
          <w:szCs w:val="22"/>
        </w:rPr>
        <w:t xml:space="preserve">Section 3: Price Boundary Analysis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What are the established price expectations at each interface and tier, and where are the pricing anomalies?</w:t>
      </w:r>
    </w:p>
    <w:p>
      <w:pPr>
        <w:pStyle w:val="ListParagraph"/>
        <w:numPr>
          <w:ilvl w:val="0"/>
          <w:numId w:val="3"/>
        </w:numPr>
        <w:spacing w:after="100" w:line="276"/>
      </w:pPr>
      <w:r>
        <w:rPr>
          <w:rFonts w:ascii="Georgia" w:cs="Georgia" w:eastAsia="Georgia" w:hAnsi="Georgia"/>
          <w:color w:val="2C2C2C"/>
          <w:sz w:val="21"/>
          <w:szCs w:val="21"/>
        </w:rPr>
        <w:t xml:space="preserve">For each solution category with observable pricing: document the price range (low, mid, high) and the dominant pricing model (subscription, per-seat, usage-based, percentage-of-revenue, one-time).</w:t>
      </w:r>
    </w:p>
    <w:p>
      <w:pPr>
        <w:pStyle w:val="ListParagraph"/>
        <w:numPr>
          <w:ilvl w:val="0"/>
          <w:numId w:val="3"/>
        </w:numPr>
        <w:spacing w:after="100" w:line="276"/>
      </w:pPr>
      <w:r>
        <w:rPr>
          <w:rFonts w:ascii="Georgia" w:cs="Georgia" w:eastAsia="Georgia" w:hAnsi="Georgia"/>
          <w:color w:val="2C2C2C"/>
          <w:sz w:val="21"/>
          <w:szCs w:val="21"/>
        </w:rPr>
        <w:t xml:space="preserve">Identify price anchors: which products or categories have established the reference price that participants use to judge value? These anchors constrain what new entrants can charge.</w:t>
      </w:r>
    </w:p>
    <w:p>
      <w:pPr>
        <w:pStyle w:val="ListParagraph"/>
        <w:numPr>
          <w:ilvl w:val="0"/>
          <w:numId w:val="3"/>
        </w:numPr>
        <w:spacing w:after="100" w:line="276"/>
      </w:pPr>
      <w:r>
        <w:rPr>
          <w:rFonts w:ascii="Georgia" w:cs="Georgia" w:eastAsia="Georgia" w:hAnsi="Georgia"/>
          <w:color w:val="2C2C2C"/>
          <w:sz w:val="21"/>
          <w:szCs w:val="21"/>
        </w:rPr>
        <w:t xml:space="preserve">Identify pricing anomalies: where are participants paying dramatically more or less than the value delivered would suggest? Over-priced categories represent disruption opportunities. Under-priced categories suggest margin constraints or unsustainable business models.</w:t>
      </w:r>
    </w:p>
    <w:p>
      <w:pPr>
        <w:pStyle w:val="ListParagraph"/>
        <w:numPr>
          <w:ilvl w:val="0"/>
          <w:numId w:val="3"/>
        </w:numPr>
        <w:spacing w:after="100" w:line="276"/>
      </w:pPr>
      <w:r>
        <w:rPr>
          <w:rFonts w:ascii="Georgia" w:cs="Georgia" w:eastAsia="Georgia" w:hAnsi="Georgia"/>
          <w:color w:val="2C2C2C"/>
          <w:sz w:val="21"/>
          <w:szCs w:val="21"/>
        </w:rPr>
        <w:t xml:space="preserve">Document willingness-to-pay signals: stated price sensitivity from community discussions, revealed preferences from actual purchasing behaviour, and the gap between them.</w:t>
      </w:r>
    </w:p>
    <w:p>
      <w:pPr>
        <w:spacing w:after="120" w:before="200"/>
      </w:pPr>
      <w:r>
        <w:rPr>
          <w:rFonts w:ascii="Georgia" w:cs="Georgia" w:eastAsia="Georgia" w:hAnsi="Georgia"/>
          <w:b/>
          <w:bCs/>
          <w:color w:val="1B2A4A"/>
          <w:sz w:val="22"/>
          <w:szCs w:val="22"/>
        </w:rPr>
        <w:t xml:space="preserve">Section 4: Solution Fragility Assessment</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Which existing solution categories are vulnerable to disruption, and why?</w:t>
      </w:r>
    </w:p>
    <w:p>
      <w:pPr>
        <w:spacing w:after="160" w:line="276"/>
        <w:jc w:val="left"/>
      </w:pPr>
      <w:r>
        <w:rPr>
          <w:rFonts w:ascii="Georgia" w:cs="Georgia" w:eastAsia="Georgia" w:hAnsi="Georgia"/>
          <w:color w:val="2C2C2C"/>
          <w:sz w:val="21"/>
          <w:szCs w:val="21"/>
        </w:rPr>
        <w:t xml:space="preserve">For each populated solution category, assess fragility across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Fragility Dimension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It Means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Signal to Look For</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Platform Dependency</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Solutions built on a single platform’s API are vulnerable to platform changes, rate limiting, or native feature development.</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Platform has announced or hinted at building the capability natively. API terms have become more restrictive.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Switching Cost Depth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Solutions with shallow switching costs (easy data export, no configuration lock-in) are vulnerable to better alternatives.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Users publicly discuss migrating. Multiple “how to switch from X” guides exist.</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Pricing Compression</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Categories where prices are falling or where free alternatives are emerging.</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New entrants competing on price. Open-source alternatives gaining 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Regulatory Misalignment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Solutions built before regulatory requirements changed, now out of compliance or inadequate for current standards.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Enforcement actions citing tools that were previously considered adequate.</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Founder Dependency</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Solutions where the primary value is the founder’s personal expertise or network, not a scalable product.</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Product quality degrades as the company grows. Knowledge is not systematised.</w:t>
            </w:r>
          </w:p>
        </w:tc>
      </w:tr>
    </w:tbl>
    <w:p>
      <w:pPr>
        <w:spacing w:after="160" w:line="276"/>
        <w:jc w:val="left"/>
      </w:pPr>
      <w:r>
        <w:rPr>
          <w:rFonts w:ascii="Georgia" w:cs="Georgia" w:eastAsia="Georgia" w:hAnsi="Georgia"/>
          <w:color w:val="2C2C2C"/>
          <w:sz w:val="21"/>
          <w:szCs w:val="21"/>
        </w:rPr>
        <w:t xml:space="preserve"/>
      </w:r>
    </w:p>
    <w:p>
      <w:pPr>
        <w:spacing w:after="120" w:before="200"/>
      </w:pPr>
      <w:r>
        <w:rPr>
          <w:rFonts w:ascii="Georgia" w:cs="Georgia" w:eastAsia="Georgia" w:hAnsi="Georgia"/>
          <w:b/>
          <w:bCs/>
          <w:color w:val="1B2A4A"/>
          <w:sz w:val="22"/>
          <w:szCs w:val="22"/>
        </w:rPr>
        <w:t xml:space="preserve">Section 5: Topology Synthesis</w:t>
      </w:r>
    </w:p>
    <w:p>
      <w:pPr>
        <w:pBdr>
          <w:left w:val="single" w:color="2A9D8F" w:sz="12" w:space="8"/>
        </w:pBdr>
        <w:spacing w:after="200" w:before="200"/>
        <w:ind w:left="360" w:right="360"/>
      </w:pPr>
      <w:r>
        <w:rPr>
          <w:rFonts w:ascii="Georgia" w:cs="Georgia" w:eastAsia="Georgia" w:hAnsi="Georgia"/>
          <w:i/>
          <w:iCs/>
          <w:color w:val="264653"/>
          <w:sz w:val="21"/>
          <w:szCs w:val="21"/>
        </w:rPr>
        <w:t xml:space="preserve">Governing question: Given the full topology, where are the highest-value entry points?</w:t>
      </w:r>
    </w:p>
    <w:p>
      <w:pPr>
        <w:spacing w:after="160" w:line="276"/>
        <w:jc w:val="left"/>
      </w:pPr>
      <w:r>
        <w:rPr>
          <w:rFonts w:ascii="Georgia" w:cs="Georgia" w:eastAsia="Georgia" w:hAnsi="Georgia"/>
          <w:color w:val="2C2C2C"/>
          <w:sz w:val="21"/>
          <w:szCs w:val="21"/>
        </w:rPr>
        <w:t xml:space="preserve">Synthesise the preceding sections into a ranked list of entry opportunities. Each opportunity is defined by three coordinates:</w:t>
      </w:r>
    </w:p>
    <w:p>
      <w:pPr>
        <w:pStyle w:val="ListParagraph"/>
        <w:numPr>
          <w:ilvl w:val="0"/>
          <w:numId w:val="3"/>
        </w:numPr>
        <w:spacing w:after="100" w:line="276"/>
      </w:pPr>
      <w:r>
        <w:rPr>
          <w:rFonts w:ascii="Georgia" w:cs="Georgia" w:eastAsia="Georgia" w:hAnsi="Georgia"/>
          <w:color w:val="2C2C2C"/>
          <w:sz w:val="21"/>
          <w:szCs w:val="21"/>
        </w:rPr>
        <w:t xml:space="preserve">The interface (from the Ecosystem Analysis).</w:t>
      </w:r>
    </w:p>
    <w:p>
      <w:pPr>
        <w:pStyle w:val="ListParagraph"/>
        <w:numPr>
          <w:ilvl w:val="0"/>
          <w:numId w:val="3"/>
        </w:numPr>
        <w:spacing w:after="100" w:line="276"/>
      </w:pPr>
      <w:r>
        <w:rPr>
          <w:rFonts w:ascii="Georgia" w:cs="Georgia" w:eastAsia="Georgia" w:hAnsi="Georgia"/>
          <w:color w:val="2C2C2C"/>
          <w:sz w:val="21"/>
          <w:szCs w:val="21"/>
        </w:rPr>
        <w:t xml:space="preserve">The market tier (from the White Space Map).</w:t>
      </w:r>
    </w:p>
    <w:p>
      <w:pPr>
        <w:pStyle w:val="ListParagraph"/>
        <w:numPr>
          <w:ilvl w:val="0"/>
          <w:numId w:val="3"/>
        </w:numPr>
        <w:spacing w:after="100" w:line="276"/>
      </w:pPr>
      <w:r>
        <w:rPr>
          <w:rFonts w:ascii="Georgia" w:cs="Georgia" w:eastAsia="Georgia" w:hAnsi="Georgia"/>
          <w:color w:val="2C2C2C"/>
          <w:sz w:val="21"/>
          <w:szCs w:val="21"/>
        </w:rPr>
        <w:t xml:space="preserve">The gap type (category gap, tier gap, or quality gap).</w:t>
      </w:r>
    </w:p>
    <w:p>
      <w:pPr>
        <w:spacing w:after="160" w:line="276"/>
        <w:jc w:val="left"/>
      </w:pPr>
      <w:r>
        <w:rPr>
          <w:rFonts w:ascii="Georgia" w:cs="Georgia" w:eastAsia="Georgia" w:hAnsi="Georgia"/>
          <w:color w:val="2C2C2C"/>
          <w:sz w:val="21"/>
          <w:szCs w:val="21"/>
        </w:rPr>
        <w:t xml:space="preserve">Rank opportunities using the Infrastructure Gap Matrix from the Ecosystem Analysis Standard (Part 4.4): plot each opportunity on the Willingness-to-Pay × Solution Exists matrix. Highlight Blue Ocean entries (high WTP + no solution at scale).</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White Space Map must cover every interface from the Ecosystem Analysis. No interface may be omitted. The Price Boundary Analysis must cite at least 5 observable price points from real products or services. The Synthesis must rank a minimum of 5 entry opportunities.</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5.3 Length Calibration</w:t>
      </w:r>
    </w:p>
    <w:p>
      <w:pPr>
        <w:spacing w:after="160" w:line="276"/>
        <w:jc w:val="left"/>
      </w:pPr>
      <w:r>
        <w:rPr>
          <w:rFonts w:ascii="Georgia" w:cs="Georgia" w:eastAsia="Georgia" w:hAnsi="Georgia"/>
          <w:color w:val="2C2C2C"/>
          <w:sz w:val="21"/>
          <w:szCs w:val="21"/>
        </w:rPr>
        <w:t xml:space="preserve">Target: 3,500–5,000 words. Maximum: 7,000 words. The Interface-Solution Mapping may be extensive for complex ecosystems — if it exceeds 3,000 words alone, consider presenting it as a structured appendix table rather than prose.</w:t>
      </w:r>
    </w:p>
    <w:p>
      <w:r>
        <w:br w:type="page"/>
      </w:r>
    </w:p>
    <w:p>
      <w:pPr>
        <w:pStyle w:val="Heading1"/>
        <w:spacing w:after="200" w:before="360"/>
      </w:pPr>
      <w:r>
        <w:rPr>
          <w:rFonts w:ascii="Georgia" w:cs="Georgia" w:eastAsia="Georgia" w:hAnsi="Georgia"/>
          <w:b/>
          <w:bCs/>
          <w:color w:val="1B2A4A"/>
          <w:sz w:val="32"/>
          <w:szCs w:val="32"/>
        </w:rPr>
        <w:t xml:space="preserve">Universal Quality Checklist</w:t>
      </w:r>
    </w:p>
    <w:p>
      <w:pPr>
        <w:spacing w:after="160" w:line="276"/>
        <w:jc w:val="left"/>
      </w:pPr>
      <w:r>
        <w:rPr>
          <w:rFonts w:ascii="Georgia" w:cs="Georgia" w:eastAsia="Georgia" w:hAnsi="Georgia"/>
          <w:color w:val="2C2C2C"/>
          <w:sz w:val="21"/>
          <w:szCs w:val="21"/>
        </w:rPr>
        <w:t xml:space="preserve">The following checklist applies to every template in the suite. Individual template-specific quality gates are embedded within each template’s specification above. This checklist covers cross-cutting standards.</w:t>
      </w:r>
    </w:p>
    <w:p>
      <w:pPr>
        <w:pStyle w:val="Heading2"/>
        <w:spacing w:after="160" w:before="280"/>
      </w:pPr>
      <w:r>
        <w:rPr>
          <w:rFonts w:ascii="Georgia" w:cs="Georgia" w:eastAsia="Georgia" w:hAnsi="Georgia"/>
          <w:b/>
          <w:bCs/>
          <w:color w:val="3D5A80"/>
          <w:sz w:val="26"/>
          <w:szCs w:val="26"/>
        </w:rPr>
        <w:t xml:space="preserve">Structural Integrity</w:t>
      </w:r>
    </w:p>
    <w:p>
      <w:pPr>
        <w:pStyle w:val="ListParagraph"/>
        <w:numPr>
          <w:ilvl w:val="0"/>
          <w:numId w:val="4"/>
        </w:numPr>
        <w:spacing w:after="100" w:line="276"/>
      </w:pPr>
      <w:r>
        <w:rPr>
          <w:rFonts w:ascii="Georgia" w:cs="Georgia" w:eastAsia="Georgia" w:hAnsi="Georgia"/>
          <w:color w:val="2C2C2C"/>
          <w:sz w:val="21"/>
          <w:szCs w:val="21"/>
        </w:rPr>
        <w:t xml:space="preserve">All mandatory sections for the selected template are present and in the correct order.</w:t>
      </w:r>
    </w:p>
    <w:p>
      <w:pPr>
        <w:pStyle w:val="ListParagraph"/>
        <w:numPr>
          <w:ilvl w:val="0"/>
          <w:numId w:val="4"/>
        </w:numPr>
        <w:spacing w:after="100" w:line="276"/>
      </w:pPr>
      <w:r>
        <w:rPr>
          <w:rFonts w:ascii="Georgia" w:cs="Georgia" w:eastAsia="Georgia" w:hAnsi="Georgia"/>
          <w:color w:val="2C2C2C"/>
          <w:sz w:val="21"/>
          <w:szCs w:val="21"/>
        </w:rPr>
        <w:t xml:space="preserve">The document is traceable: every claim can be traced to a specific section of the Ecosystem Analysis or to a cited source.</w:t>
      </w:r>
    </w:p>
    <w:p>
      <w:pPr>
        <w:pStyle w:val="ListParagraph"/>
        <w:numPr>
          <w:ilvl w:val="0"/>
          <w:numId w:val="4"/>
        </w:numPr>
        <w:spacing w:after="100" w:line="276"/>
      </w:pPr>
      <w:r>
        <w:rPr>
          <w:rFonts w:ascii="Georgia" w:cs="Georgia" w:eastAsia="Georgia" w:hAnsi="Georgia"/>
          <w:color w:val="2C2C2C"/>
          <w:sz w:val="21"/>
          <w:szCs w:val="21"/>
        </w:rPr>
        <w:t xml:space="preserve">No section introduces assumptions or forces not established in the Ecosystem Analysis or preceding templates in the dependency chain.</w:t>
      </w:r>
    </w:p>
    <w:p>
      <w:pPr>
        <w:pStyle w:val="ListParagraph"/>
        <w:numPr>
          <w:ilvl w:val="0"/>
          <w:numId w:val="4"/>
        </w:numPr>
        <w:spacing w:after="100" w:line="276"/>
      </w:pPr>
      <w:r>
        <w:rPr>
          <w:rFonts w:ascii="Georgia" w:cs="Georgia" w:eastAsia="Georgia" w:hAnsi="Georgia"/>
          <w:color w:val="2C2C2C"/>
          <w:sz w:val="21"/>
          <w:szCs w:val="21"/>
        </w:rPr>
        <w:t xml:space="preserve">Cross-template references use standard designations (T1, T2, etc.) and cite specific sections.</w:t>
      </w:r>
    </w:p>
    <w:p>
      <w:pPr>
        <w:pStyle w:val="Heading2"/>
        <w:spacing w:after="160" w:before="280"/>
      </w:pPr>
      <w:r>
        <w:rPr>
          <w:rFonts w:ascii="Georgia" w:cs="Georgia" w:eastAsia="Georgia" w:hAnsi="Georgia"/>
          <w:b/>
          <w:bCs/>
          <w:color w:val="3D5A80"/>
          <w:sz w:val="26"/>
          <w:szCs w:val="26"/>
        </w:rPr>
        <w:t xml:space="preserve">Evidence Standards</w:t>
      </w:r>
    </w:p>
    <w:p>
      <w:pPr>
        <w:pStyle w:val="ListParagraph"/>
        <w:numPr>
          <w:ilvl w:val="0"/>
          <w:numId w:val="4"/>
        </w:numPr>
        <w:spacing w:after="100" w:line="276"/>
      </w:pPr>
      <w:r>
        <w:rPr>
          <w:rFonts w:ascii="Georgia" w:cs="Georgia" w:eastAsia="Georgia" w:hAnsi="Georgia"/>
          <w:color w:val="2C2C2C"/>
          <w:sz w:val="21"/>
          <w:szCs w:val="21"/>
        </w:rPr>
        <w:t xml:space="preserve">All factual claims are attributed via footnotes with source, date, and methodology type.</w:t>
      </w:r>
    </w:p>
    <w:p>
      <w:pPr>
        <w:pStyle w:val="ListParagraph"/>
        <w:numPr>
          <w:ilvl w:val="0"/>
          <w:numId w:val="4"/>
        </w:numPr>
        <w:spacing w:after="100" w:line="276"/>
      </w:pPr>
      <w:r>
        <w:rPr>
          <w:rFonts w:ascii="Georgia" w:cs="Georgia" w:eastAsia="Georgia" w:hAnsi="Georgia"/>
          <w:color w:val="2C2C2C"/>
          <w:sz w:val="21"/>
          <w:szCs w:val="21"/>
        </w:rPr>
        <w:t xml:space="preserve">Primary community content (social media, forums, creator content) constitutes at least 40% of sourced observations in T1 (Culture) and T4 (Language).</w:t>
      </w:r>
    </w:p>
    <w:p>
      <w:pPr>
        <w:pStyle w:val="ListParagraph"/>
        <w:numPr>
          <w:ilvl w:val="0"/>
          <w:numId w:val="4"/>
        </w:numPr>
        <w:spacing w:after="100" w:line="276"/>
      </w:pPr>
      <w:r>
        <w:rPr>
          <w:rFonts w:ascii="Georgia" w:cs="Georgia" w:eastAsia="Georgia" w:hAnsi="Georgia"/>
          <w:color w:val="2C2C2C"/>
          <w:sz w:val="21"/>
          <w:szCs w:val="21"/>
        </w:rPr>
        <w:t xml:space="preserve">All unsubstantiated claims are explicitly flagged as assumptions requiring validation.</w:t>
      </w:r>
    </w:p>
    <w:p>
      <w:pPr>
        <w:pStyle w:val="ListParagraph"/>
        <w:numPr>
          <w:ilvl w:val="0"/>
          <w:numId w:val="4"/>
        </w:numPr>
        <w:spacing w:after="100" w:line="276"/>
      </w:pPr>
      <w:r>
        <w:rPr>
          <w:rFonts w:ascii="Georgia" w:cs="Georgia" w:eastAsia="Georgia" w:hAnsi="Georgia"/>
          <w:color w:val="2C2C2C"/>
          <w:sz w:val="21"/>
          <w:szCs w:val="21"/>
        </w:rPr>
        <w:t xml:space="preserve">Market pricing data in T5 (Competitive Topology) cites at least 5 observable price points.</w:t>
      </w:r>
    </w:p>
    <w:p>
      <w:pPr>
        <w:pStyle w:val="Heading2"/>
        <w:spacing w:after="160" w:before="280"/>
      </w:pPr>
      <w:r>
        <w:rPr>
          <w:rFonts w:ascii="Georgia" w:cs="Georgia" w:eastAsia="Georgia" w:hAnsi="Georgia"/>
          <w:b/>
          <w:bCs/>
          <w:color w:val="3D5A80"/>
          <w:sz w:val="26"/>
          <w:szCs w:val="26"/>
        </w:rPr>
        <w:t xml:space="preserve">Ecosystem Specificity</w:t>
      </w:r>
    </w:p>
    <w:p>
      <w:pPr>
        <w:pStyle w:val="ListParagraph"/>
        <w:numPr>
          <w:ilvl w:val="0"/>
          <w:numId w:val="4"/>
        </w:numPr>
        <w:spacing w:after="100" w:line="276"/>
      </w:pPr>
      <w:r>
        <w:rPr>
          <w:rFonts w:ascii="Georgia" w:cs="Georgia" w:eastAsia="Georgia" w:hAnsi="Georgia"/>
          <w:color w:val="2C2C2C"/>
          <w:sz w:val="21"/>
          <w:szCs w:val="21"/>
        </w:rPr>
        <w:t xml:space="preserve">Every observation is specific to the ecosystem under analysis. Generic statements applicable to any market have been removed or replaced.</w:t>
      </w:r>
    </w:p>
    <w:p>
      <w:pPr>
        <w:pStyle w:val="ListParagraph"/>
        <w:numPr>
          <w:ilvl w:val="0"/>
          <w:numId w:val="4"/>
        </w:numPr>
        <w:spacing w:after="100" w:line="276"/>
      </w:pPr>
      <w:r>
        <w:rPr>
          <w:rFonts w:ascii="Georgia" w:cs="Georgia" w:eastAsia="Georgia" w:hAnsi="Georgia"/>
          <w:color w:val="2C2C2C"/>
          <w:sz w:val="21"/>
          <w:szCs w:val="21"/>
        </w:rPr>
        <w:t xml:space="preserve">Cultural observations (T1) are sourced from the community’s self-expression, not external descriptions.</w:t>
      </w:r>
    </w:p>
    <w:p>
      <w:pPr>
        <w:pStyle w:val="ListParagraph"/>
        <w:numPr>
          <w:ilvl w:val="0"/>
          <w:numId w:val="4"/>
        </w:numPr>
        <w:spacing w:after="100" w:line="276"/>
      </w:pPr>
      <w:r>
        <w:rPr>
          <w:rFonts w:ascii="Georgia" w:cs="Georgia" w:eastAsia="Georgia" w:hAnsi="Georgia"/>
          <w:color w:val="2C2C2C"/>
          <w:sz w:val="21"/>
          <w:szCs w:val="21"/>
        </w:rPr>
        <w:t xml:space="preserve">Language observations (T4) use actual community vocabulary, not analyst paraphrases.</w:t>
      </w:r>
    </w:p>
    <w:p>
      <w:pPr>
        <w:pStyle w:val="ListParagraph"/>
        <w:numPr>
          <w:ilvl w:val="0"/>
          <w:numId w:val="4"/>
        </w:numPr>
        <w:spacing w:after="100" w:line="276"/>
      </w:pPr>
      <w:r>
        <w:rPr>
          <w:rFonts w:ascii="Georgia" w:cs="Georgia" w:eastAsia="Georgia" w:hAnsi="Georgia"/>
          <w:color w:val="2C2C2C"/>
          <w:sz w:val="21"/>
          <w:szCs w:val="21"/>
        </w:rPr>
        <w:t xml:space="preserve">Lever triggers (T2) are stated as specific observable events, not general conditions.</w:t>
      </w:r>
    </w:p>
    <w:p>
      <w:pPr>
        <w:pStyle w:val="Heading2"/>
        <w:spacing w:after="160" w:before="280"/>
      </w:pPr>
      <w:r>
        <w:rPr>
          <w:rFonts w:ascii="Georgia" w:cs="Georgia" w:eastAsia="Georgia" w:hAnsi="Georgia"/>
          <w:b/>
          <w:bCs/>
          <w:color w:val="3D5A80"/>
          <w:sz w:val="26"/>
          <w:szCs w:val="26"/>
        </w:rPr>
        <w:t xml:space="preserve">Product Agnosticism</w:t>
      </w:r>
    </w:p>
    <w:p>
      <w:pPr>
        <w:pStyle w:val="ListParagraph"/>
        <w:numPr>
          <w:ilvl w:val="0"/>
          <w:numId w:val="4"/>
        </w:numPr>
        <w:spacing w:after="100" w:line="276"/>
      </w:pPr>
      <w:r>
        <w:rPr>
          <w:rFonts w:ascii="Georgia" w:cs="Georgia" w:eastAsia="Georgia" w:hAnsi="Georgia"/>
          <w:color w:val="2C2C2C"/>
          <w:sz w:val="21"/>
          <w:szCs w:val="21"/>
        </w:rPr>
        <w:t xml:space="preserve">No product names, feature lists, pricing recommendations, or build plans appear anywhere in any template.</w:t>
      </w:r>
    </w:p>
    <w:p>
      <w:pPr>
        <w:pStyle w:val="ListParagraph"/>
        <w:numPr>
          <w:ilvl w:val="0"/>
          <w:numId w:val="4"/>
        </w:numPr>
        <w:spacing w:after="100" w:line="276"/>
      </w:pPr>
      <w:r>
        <w:rPr>
          <w:rFonts w:ascii="Georgia" w:cs="Georgia" w:eastAsia="Georgia" w:hAnsi="Georgia"/>
          <w:color w:val="2C2C2C"/>
          <w:sz w:val="21"/>
          <w:szCs w:val="21"/>
        </w:rPr>
        <w:t xml:space="preserve">No internal system names, codenames, brand names, or proprietary framework names appear.</w:t>
      </w:r>
    </w:p>
    <w:p>
      <w:pPr>
        <w:pStyle w:val="ListParagraph"/>
        <w:numPr>
          <w:ilvl w:val="0"/>
          <w:numId w:val="4"/>
        </w:numPr>
        <w:spacing w:after="100" w:line="276"/>
      </w:pPr>
      <w:r>
        <w:rPr>
          <w:rFonts w:ascii="Georgia" w:cs="Georgia" w:eastAsia="Georgia" w:hAnsi="Georgia"/>
          <w:color w:val="2C2C2C"/>
          <w:sz w:val="21"/>
          <w:szCs w:val="21"/>
        </w:rPr>
        <w:t xml:space="preserve">Gap descriptions use category language (“compliance infrastructure”), not product language (“a compliance app”).</w:t>
      </w:r>
    </w:p>
    <w:p>
      <w:pPr>
        <w:pStyle w:val="Heading2"/>
        <w:spacing w:after="160" w:before="280"/>
      </w:pPr>
      <w:r>
        <w:rPr>
          <w:rFonts w:ascii="Georgia" w:cs="Georgia" w:eastAsia="Georgia" w:hAnsi="Georgia"/>
          <w:b/>
          <w:bCs/>
          <w:color w:val="3D5A80"/>
          <w:sz w:val="26"/>
          <w:szCs w:val="26"/>
        </w:rPr>
        <w:t xml:space="preserve">Analytical Rigour</w:t>
      </w:r>
    </w:p>
    <w:p>
      <w:pPr>
        <w:pStyle w:val="ListParagraph"/>
        <w:numPr>
          <w:ilvl w:val="0"/>
          <w:numId w:val="4"/>
        </w:numPr>
        <w:spacing w:after="100" w:line="276"/>
      </w:pPr>
      <w:r>
        <w:rPr>
          <w:rFonts w:ascii="Georgia" w:cs="Georgia" w:eastAsia="Georgia" w:hAnsi="Georgia"/>
          <w:color w:val="2C2C2C"/>
          <w:sz w:val="21"/>
          <w:szCs w:val="21"/>
        </w:rPr>
        <w:t xml:space="preserve">T1 (Culture) sub-tribes are internally coherent: each has distinct beliefs and behaviours, not merely different demographics.</w:t>
      </w:r>
    </w:p>
    <w:p>
      <w:pPr>
        <w:pStyle w:val="ListParagraph"/>
        <w:numPr>
          <w:ilvl w:val="0"/>
          <w:numId w:val="4"/>
        </w:numPr>
        <w:spacing w:after="100" w:line="276"/>
      </w:pPr>
      <w:r>
        <w:rPr>
          <w:rFonts w:ascii="Georgia" w:cs="Georgia" w:eastAsia="Georgia" w:hAnsi="Georgia"/>
          <w:color w:val="2C2C2C"/>
          <w:sz w:val="21"/>
          <w:szCs w:val="21"/>
        </w:rPr>
        <w:t xml:space="preserve">T2 (Levers) triggers pass the specificity test: each is an observable event, not a condition.</w:t>
      </w:r>
    </w:p>
    <w:p>
      <w:pPr>
        <w:pStyle w:val="ListParagraph"/>
        <w:numPr>
          <w:ilvl w:val="0"/>
          <w:numId w:val="4"/>
        </w:numPr>
        <w:spacing w:after="100" w:line="276"/>
      </w:pPr>
      <w:r>
        <w:rPr>
          <w:rFonts w:ascii="Georgia" w:cs="Georgia" w:eastAsia="Georgia" w:hAnsi="Georgia"/>
          <w:color w:val="2C2C2C"/>
          <w:sz w:val="21"/>
          <w:szCs w:val="21"/>
        </w:rPr>
        <w:t xml:space="preserve">T3 (Decisions) objection catalogue distinguishes rational from emotional objections with explicit resolution paths.</w:t>
      </w:r>
    </w:p>
    <w:p>
      <w:pPr>
        <w:pStyle w:val="ListParagraph"/>
        <w:numPr>
          <w:ilvl w:val="0"/>
          <w:numId w:val="4"/>
        </w:numPr>
        <w:spacing w:after="100" w:line="276"/>
      </w:pPr>
      <w:r>
        <w:rPr>
          <w:rFonts w:ascii="Georgia" w:cs="Georgia" w:eastAsia="Georgia" w:hAnsi="Georgia"/>
          <w:color w:val="2C2C2C"/>
          <w:sz w:val="21"/>
          <w:szCs w:val="21"/>
        </w:rPr>
        <w:t xml:space="preserve">T4 (Language) core lexicon distinguishes literal from cultural meaning for every term.</w:t>
      </w:r>
    </w:p>
    <w:p>
      <w:pPr>
        <w:pStyle w:val="ListParagraph"/>
        <w:numPr>
          <w:ilvl w:val="0"/>
          <w:numId w:val="4"/>
        </w:numPr>
        <w:spacing w:after="100" w:line="276"/>
      </w:pPr>
      <w:r>
        <w:rPr>
          <w:rFonts w:ascii="Georgia" w:cs="Georgia" w:eastAsia="Georgia" w:hAnsi="Georgia"/>
          <w:color w:val="2C2C2C"/>
          <w:sz w:val="21"/>
          <w:szCs w:val="21"/>
        </w:rPr>
        <w:t xml:space="preserve">T5 (Topology) white space map covers every interface from the Ecosystem Analysis with no omissions.</w:t>
      </w:r>
    </w:p>
    <w:p>
      <w:pPr>
        <w:pBdr>
          <w:bottom w:val="single" w:color="E8E0D8" w:sz="4" w:space="4"/>
        </w:pBdr>
        <w:spacing w:after="160" w:before="160"/>
      </w:pPr>
      <w:r>
        <w:rPr>
          <w:sz w:val="8"/>
          <w:szCs w:val="8"/>
        </w:rPr>
        <w:t xml:space="preserve"/>
      </w:r>
    </w:p>
    <w:p>
      <w:pPr>
        <w:pBdr>
          <w:left w:val="single" w:color="E07A5F" w:sz="12" w:space="8"/>
        </w:pBdr>
        <w:spacing w:after="200" w:before="200"/>
        <w:ind w:left="360" w:right="360"/>
      </w:pPr>
      <w:r>
        <w:rPr>
          <w:rFonts w:ascii="Georgia" w:cs="Georgia" w:eastAsia="Georgia" w:hAnsi="Georgia"/>
          <w:i/>
          <w:iCs/>
          <w:color w:val="3D5A80"/>
          <w:sz w:val="21"/>
          <w:szCs w:val="21"/>
        </w:rPr>
        <w:t xml:space="preserve">These five templates, produced against a completed Ecosystem Analysis, provide the analytical foundation for every downstream strategic and tactical decision. They are the intelligence layer. What follows — products, brands, campaigns, launches — is the execution layer. The quality of execution is bounded by the quality of intelligence. Invest accordingly.</w:t>
      </w:r>
    </w:p>
    <w:p>
      <w:pPr>
        <w:spacing w:after="160" w:line="276"/>
        <w:jc w:val="left"/>
      </w:pPr>
      <w:r>
        <w:rPr>
          <w:rFonts w:ascii="Georgia" w:cs="Georgia" w:eastAsia="Georgia" w:hAnsi="Georgia"/>
          <w:color w:val="2C2C2C"/>
          <w:sz w:val="21"/>
          <w:szCs w:val="21"/>
        </w:rPr>
        <w:t xml:space="preserve"/>
      </w:r>
    </w:p>
    <w:p>
      <w:pPr>
        <w:spacing w:after="80"/>
        <w:jc w:val="center"/>
      </w:pPr>
      <w:r>
        <w:rPr>
          <w:rFonts w:ascii="Georgia" w:cs="Georgia" w:eastAsia="Georgia" w:hAnsi="Georgia"/>
          <w:i/>
          <w:iCs/>
          <w:color w:val="555555"/>
          <w:sz w:val="20"/>
          <w:szCs w:val="20"/>
        </w:rPr>
        <w:t xml:space="preserve">— End of Standard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2" w:space="4"/>
      </w:pBdr>
      <w:tabs>
        <w:tab w:val="right" w:pos="9026"/>
      </w:tabs>
      <w:spacing w:after="0"/>
    </w:pPr>
    <w:r>
      <w:rPr>
        <w:rFonts w:ascii="Georgia" w:cs="Georgia" w:eastAsia="Georgia" w:hAnsi="Georgia"/>
        <w:i/>
        <w:iCs/>
        <w:color w:val="555555"/>
        <w:sz w:val="16"/>
        <w:szCs w:val="16"/>
      </w:rPr>
      <w:t xml:space="preserve">Ecosystem Intelligence Suite — Template Standards v1.0</w:t>
    </w:r>
    <w:r>
      <w:rPr>
        <w:rFonts w:ascii="Georgia" w:cs="Georgia" w:eastAsia="Georgia" w:hAnsi="Georgia"/>
        <w:color w:val="555555"/>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2026-03-22T09:33:36.498Z</dcterms:created>
  <dcterms:modified xsi:type="dcterms:W3CDTF">2026-03-22T09:33:36.526Z</dcterms:modified>
</cp:coreProperties>
</file>

<file path=docProps/custom.xml><?xml version="1.0" encoding="utf-8"?>
<Properties xmlns="http://schemas.openxmlformats.org/officeDocument/2006/custom-properties" xmlns:vt="http://schemas.openxmlformats.org/officeDocument/2006/docPropsVTypes"/>
</file>