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3D5A80"/>
          <w:spacing w:val="200"/>
          <w:sz w:val="18"/>
          <w:szCs w:val="18"/>
        </w:rPr>
        <w:t xml:space="preserve">STRATEGIC TEMPLATE STANDARDS</w:t>
      </w:r>
    </w:p>
    <w:p>
      <w:pPr>
        <w:pBdr>
          <w:bottom w:val="single" w:color="E07A5F" w:sz="6" w:space="12"/>
        </w:pBdr>
        <w:spacing w:after="60"/>
        <w:jc w:val="center"/>
      </w:pPr>
      <w:r>
        <w:rPr>
          <w:rFonts w:ascii="Georgia" w:cs="Georgia" w:eastAsia="Georgia" w:hAnsi="Georgia"/>
          <w:b/>
          <w:bCs/>
          <w:color w:val="1B2A4A"/>
          <w:sz w:val="48"/>
          <w:szCs w:val="48"/>
        </w:rPr>
        <w:t xml:space="preserve">The Ecosystem Strategy Suite</w:t>
      </w:r>
    </w:p>
    <w:p>
      <w:pPr>
        <w:spacing w:before="240"/>
      </w:pPr>
    </w:p>
    <w:p>
      <w:pPr>
        <w:spacing w:after="60"/>
        <w:jc w:val="center"/>
      </w:pPr>
      <w:r>
        <w:rPr>
          <w:rFonts w:ascii="Georgia" w:cs="Georgia" w:eastAsia="Georgia" w:hAnsi="Georgia"/>
          <w:color w:val="3D5A80"/>
          <w:sz w:val="22"/>
          <w:szCs w:val="22"/>
        </w:rPr>
        <w:t xml:space="preserve">Five strategic templates that translate ecosystem intelligence</w:t>
      </w:r>
    </w:p>
    <w:p>
      <w:pPr>
        <w:spacing w:after="60"/>
        <w:jc w:val="center"/>
      </w:pPr>
      <w:r>
        <w:rPr>
          <w:rFonts w:ascii="Georgia" w:cs="Georgia" w:eastAsia="Georgia" w:hAnsi="Georgia"/>
          <w:color w:val="3D5A80"/>
          <w:sz w:val="22"/>
          <w:szCs w:val="22"/>
        </w:rPr>
        <w:t xml:space="preserve">into durable strategic positioning: Trust, Timing, Risk,</w:t>
      </w:r>
    </w:p>
    <w:p>
      <w:pPr>
        <w:spacing w:after="400"/>
        <w:jc w:val="center"/>
      </w:pPr>
      <w:r>
        <w:rPr>
          <w:rFonts w:ascii="Georgia" w:cs="Georgia" w:eastAsia="Georgia" w:hAnsi="Georgia"/>
          <w:color w:val="3D5A80"/>
          <w:sz w:val="22"/>
          <w:szCs w:val="22"/>
        </w:rPr>
        <w:t xml:space="preserve">Capital Flows, and Entry Vectors.</w:t>
      </w:r>
    </w:p>
    <w:p>
      <w:pPr>
        <w:spacing w:before="500"/>
        <w:jc w:val="center"/>
      </w:pPr>
      <w:r>
        <w:rPr>
          <w:rFonts w:ascii="Georgia" w:cs="Georgia" w:eastAsia="Georgia" w:hAnsi="Georgia"/>
          <w:color w:val="1B2A4A"/>
          <w:sz w:val="20"/>
          <w:szCs w:val="20"/>
        </w:rPr>
        <w:t xml:space="preserve">T6  Trust Architecture</w:t>
      </w:r>
    </w:p>
    <w:p>
      <w:pPr>
        <w:spacing w:after="40"/>
        <w:jc w:val="center"/>
      </w:pPr>
      <w:r>
        <w:rPr>
          <w:rFonts w:ascii="Georgia" w:cs="Georgia" w:eastAsia="Georgia" w:hAnsi="Georgia"/>
          <w:color w:val="1B2A4A"/>
          <w:sz w:val="20"/>
          <w:szCs w:val="20"/>
        </w:rPr>
        <w:t xml:space="preserve">T7  Temporal Rhythm Map</w:t>
      </w:r>
    </w:p>
    <w:p>
      <w:pPr>
        <w:spacing w:after="40"/>
        <w:jc w:val="center"/>
      </w:pPr>
      <w:r>
        <w:rPr>
          <w:rFonts w:ascii="Georgia" w:cs="Georgia" w:eastAsia="Georgia" w:hAnsi="Georgia"/>
          <w:color w:val="1B2A4A"/>
          <w:sz w:val="20"/>
          <w:szCs w:val="20"/>
        </w:rPr>
        <w:t xml:space="preserve">T8  Risk &amp; Fragility Map</w:t>
      </w:r>
    </w:p>
    <w:p>
      <w:pPr>
        <w:spacing w:after="40"/>
        <w:jc w:val="center"/>
      </w:pPr>
      <w:r>
        <w:rPr>
          <w:rFonts w:ascii="Georgia" w:cs="Georgia" w:eastAsia="Georgia" w:hAnsi="Georgia"/>
          <w:color w:val="1B2A4A"/>
          <w:sz w:val="20"/>
          <w:szCs w:val="20"/>
        </w:rPr>
        <w:t xml:space="preserve">T9  Capital Flow Atlas</w:t>
      </w:r>
    </w:p>
    <w:p>
      <w:pPr>
        <w:spacing w:after="200"/>
        <w:jc w:val="center"/>
      </w:pPr>
      <w:r>
        <w:rPr>
          <w:rFonts w:ascii="Georgia" w:cs="Georgia" w:eastAsia="Georgia" w:hAnsi="Georgia"/>
          <w:color w:val="1B2A4A"/>
          <w:sz w:val="20"/>
          <w:szCs w:val="20"/>
        </w:rPr>
        <w:t xml:space="preserve">T10 Entry Vector Analysis</w:t>
      </w:r>
    </w:p>
    <w:p>
      <w:pPr>
        <w:spacing w:before="1200"/>
      </w:pPr>
    </w:p>
    <w:p>
      <w:pPr>
        <w:jc w:val="center"/>
      </w:pPr>
      <w:r>
        <w:rPr>
          <w:rFonts w:ascii="Georgia" w:cs="Georgia" w:eastAsia="Georgia" w:hAnsi="Georgia"/>
          <w:b/>
          <w:bCs/>
          <w:color w:val="555555"/>
          <w:spacing w:val="160"/>
          <w:sz w:val="18"/>
          <w:szCs w:val="18"/>
        </w:rPr>
        <w:t xml:space="preserve">INTERNAL STANDARD</w:t>
      </w:r>
    </w:p>
    <w:p>
      <w:pPr>
        <w:spacing w:after="40"/>
        <w:jc w:val="center"/>
      </w:pPr>
      <w:r>
        <w:rPr>
          <w:rFonts w:ascii="Georgia" w:cs="Georgia" w:eastAsia="Georgia" w:hAnsi="Georgia"/>
          <w:color w:val="555555"/>
          <w:sz w:val="20"/>
          <w:szCs w:val="20"/>
        </w:rPr>
        <w:t xml:space="preserve">Version 1.0 — March 2026</w:t>
      </w:r>
    </w:p>
    <w:p>
      <w:pPr>
        <w:jc w:val="center"/>
      </w:pPr>
      <w:r>
        <w:rPr>
          <w:rFonts w:ascii="Georgia" w:cs="Georgia" w:eastAsia="Georgia" w:hAnsi="Georgia"/>
          <w:i/>
          <w:iCs/>
          <w:color w:val="555555"/>
          <w:sz w:val="18"/>
          <w:szCs w:val="18"/>
        </w:rPr>
        <w:t xml:space="preserve">Companion to: Ecosystem Analysis Standard v1.0 + Intelligence Suite v1.0 (T1–T5)</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2"/>
          <w:szCs w:val="32"/>
        </w:rPr>
        <w:t xml:space="preserve">Preamble: Suite Architecture and Cross-References</w:t>
      </w:r>
    </w:p>
    <w:p>
      <w:pPr>
        <w:pStyle w:val="Heading2"/>
        <w:spacing w:after="160" w:before="280"/>
      </w:pPr>
      <w:r>
        <w:rPr>
          <w:rFonts w:ascii="Georgia" w:cs="Georgia" w:eastAsia="Georgia" w:hAnsi="Georgia"/>
          <w:b/>
          <w:bCs/>
          <w:color w:val="3D5A80"/>
          <w:sz w:val="26"/>
          <w:szCs w:val="26"/>
        </w:rPr>
        <w:t xml:space="preserve">Position in the Analytical Stack</w:t>
      </w:r>
    </w:p>
    <w:p>
      <w:pPr>
        <w:spacing w:after="160" w:line="276"/>
        <w:jc w:val="left"/>
      </w:pPr>
      <w:r>
        <w:rPr>
          <w:rFonts w:ascii="Georgia" w:cs="Georgia" w:eastAsia="Georgia" w:hAnsi="Georgia"/>
          <w:color w:val="2C2C2C"/>
          <w:sz w:val="21"/>
          <w:szCs w:val="21"/>
        </w:rPr>
        <w:t xml:space="preserve">The complete analytical doctrine now spans three layers, each building on the one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Layer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Document(s)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Produces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Question It Answers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Layer 1: Terrain</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Ecosystem Analysis (EA)</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Structural forces, participant map, commercial mechanics, downstream outcomes, interface map</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is this market and why does it exist?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Layer 2: Intelligence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Intelligence Suite (T1–T5)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Culture, levers, decisions, language, competitive topology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does this market think, speak, decide, and compete?</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Layer 3: Strategy</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Strategy Suite (T6–T10)</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Trust dynamics, temporal rhythms, risk architecture, capital flows, entry vectors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do we position, time, protect, fund, and enter?</w:t>
            </w:r>
          </w:p>
        </w:tc>
      </w:tr>
    </w:tbl>
    <w:p>
      <w:pPr>
        <w:spacing w:after="160" w:line="276"/>
        <w:jc w:val="left"/>
      </w:pPr>
      <w:r>
        <w:rPr>
          <w:rFonts w:ascii="Georgia" w:cs="Georgia" w:eastAsia="Georgia" w:hAnsi="Georgia"/>
          <w:color w:val="2C2C2C"/>
          <w:sz w:val="21"/>
          <w:szCs w:val="21"/>
        </w:rPr>
        <w:t xml:space="preserve"/>
      </w:r>
    </w:p>
    <w:p>
      <w:pPr>
        <w:pBdr>
          <w:left w:val="single" w:color="E07A5F" w:sz="12" w:space="8"/>
        </w:pBdr>
        <w:spacing w:after="200" w:before="200"/>
        <w:ind w:left="360" w:right="360"/>
      </w:pPr>
      <w:r>
        <w:rPr>
          <w:rFonts w:ascii="Georgia" w:cs="Georgia" w:eastAsia="Georgia" w:hAnsi="Georgia"/>
          <w:i/>
          <w:iCs/>
          <w:color w:val="3D5A80"/>
          <w:sz w:val="21"/>
          <w:szCs w:val="21"/>
        </w:rPr>
        <w:t xml:space="preserve">Layer 1 tells you what the terrain is. Layer 2 tells you how the people on the terrain behave. Layer 3 tells you how to navigate the terrain given what you know about the people. Product decisions come after all three layers, not during them.</w:t>
      </w:r>
    </w:p>
    <w:p>
      <w:pPr>
        <w:pStyle w:val="Heading2"/>
        <w:spacing w:after="160" w:before="280"/>
      </w:pPr>
      <w:r>
        <w:rPr>
          <w:rFonts w:ascii="Georgia" w:cs="Georgia" w:eastAsia="Georgia" w:hAnsi="Georgia"/>
          <w:b/>
          <w:bCs/>
          <w:color w:val="3D5A80"/>
          <w:sz w:val="26"/>
          <w:szCs w:val="26"/>
        </w:rPr>
        <w:t xml:space="preserve">Full Template Dependency Map</w:t>
      </w:r>
    </w:p>
    <w:p>
      <w:pPr>
        <w:spacing w:after="160" w:line="276"/>
        <w:jc w:val="left"/>
      </w:pPr>
      <w:r>
        <w:rPr>
          <w:rFonts w:ascii="Georgia" w:cs="Georgia" w:eastAsia="Georgia" w:hAnsi="Georgia"/>
          <w:color w:val="2C2C2C"/>
          <w:sz w:val="21"/>
          <w:szCs w:val="21"/>
        </w:rPr>
        <w:t xml:space="preserve">This map shows every template in the system (T1–T10) and the Ecosystem Analysis (EA), with their primary dependencies. An arrow means “requires as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Template</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Requires</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Enhanced By</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Feeds Into</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T6: Trust Architecture</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§§1, §§3</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T1 (Culture), T3 (Decisions)</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T10 (Entry Vectors), partnership strategy, credibility design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T7: Temporal Rhythm</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EA §§2, §§4, §§5</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T2 (Levers)</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T10 (Entry Vectors), launch timing, campaign calendar</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T8: Risk &amp; Fragility</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§§2, §§5, §§6</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T5 (Topology), T6 (Trust)</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T10 (Entry Vectors), kill criteria, contingency planning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T9: Capital Flow Atlas</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EA §§4</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T2 (Levers), T5 (Topology)</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T10 (Entry Vectors), pricing strategy, business model selection</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T10: Entry Vector Analysis</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§§6 + T6 through T9</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All preceding templates</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Opportunity scoring, concept development, build prioritisation</w:t>
            </w:r>
          </w:p>
        </w:tc>
      </w:tr>
    </w:tbl>
    <w:p>
      <w:pPr>
        <w:spacing w:after="160" w:line="276"/>
        <w:jc w:val="left"/>
      </w:pPr>
      <w:r>
        <w:rPr>
          <w:rFonts w:ascii="Georgia" w:cs="Georgia" w:eastAsia="Georgia" w:hAnsi="Georgia"/>
          <w:color w:val="2C2C2C"/>
          <w:sz w:val="21"/>
          <w:szCs w:val="21"/>
        </w:rPr>
        <w:t xml:space="preserve"/>
      </w:r>
    </w:p>
    <w:p>
      <w:pPr>
        <w:pStyle w:val="Heading2"/>
        <w:spacing w:after="160" w:before="280"/>
      </w:pPr>
      <w:r>
        <w:rPr>
          <w:rFonts w:ascii="Georgia" w:cs="Georgia" w:eastAsia="Georgia" w:hAnsi="Georgia"/>
          <w:b/>
          <w:bCs/>
          <w:color w:val="3D5A80"/>
          <w:sz w:val="26"/>
          <w:szCs w:val="26"/>
        </w:rPr>
        <w:t xml:space="preserve">Sequencing</w:t>
      </w:r>
    </w:p>
    <w:p>
      <w:pPr>
        <w:spacing w:after="160" w:line="276"/>
        <w:jc w:val="left"/>
      </w:pPr>
      <w:r>
        <w:rPr>
          <w:rFonts w:ascii="Georgia" w:cs="Georgia" w:eastAsia="Georgia" w:hAnsi="Georgia"/>
          <w:color w:val="2C2C2C"/>
          <w:sz w:val="21"/>
          <w:szCs w:val="21"/>
        </w:rPr>
        <w:t xml:space="preserve">T6 through T9 can be produced in any order and in parallel. Each draws primarily from the Ecosystem Analysis with optional enrichment from Intelligence Suite templates. T10 (Entry Vector Analysis) must be produced last — it is the synthesis document that consumes all preceding templates as inputs.</w:t>
      </w:r>
    </w:p>
    <w:p>
      <w:pPr>
        <w:pBdr>
          <w:left w:val="single" w:color="1D6A4B" w:sz="12" w:space="8"/>
        </w:pBdr>
        <w:spacing w:after="200" w:before="200"/>
        <w:ind w:left="360" w:right="360"/>
      </w:pPr>
      <w:r>
        <w:rPr>
          <w:rFonts w:ascii="Georgia" w:cs="Georgia" w:eastAsia="Georgia" w:hAnsi="Georgia"/>
          <w:i/>
          <w:iCs/>
          <w:color w:val="14553B"/>
          <w:sz w:val="20"/>
          <w:szCs w:val="20"/>
        </w:rPr>
        <w:t xml:space="preserve">Cross-reference convention: References to other documents use the format [EA §3.2] for Ecosystem Analysis Section 3, subsection 2; [T1 §4] for Template 1, Section 4; [T5 §2.3] for Template 5, Section 2, subsection 3. This convention is mandatory throughout the Strategy Suite.</w:t>
      </w:r>
    </w:p>
    <w:p>
      <w:r>
        <w:br w:type="page"/>
      </w:r>
    </w:p>
    <w:p>
      <w:pPr>
        <w:spacing w:after="60" w:before="120"/>
      </w:pPr>
      <w:r>
        <w:rPr>
          <w:rFonts w:ascii="Georgia" w:cs="Georgia" w:eastAsia="Georgia" w:hAnsi="Georgia"/>
          <w:b/>
          <w:bCs/>
          <w:color w:val="E07A5F"/>
          <w:spacing w:val="180"/>
          <w:sz w:val="16"/>
          <w:szCs w:val="16"/>
        </w:rPr>
        <w:t xml:space="preserve">TEMPLATE 6</w:t>
      </w:r>
    </w:p>
    <w:p>
      <w:pPr>
        <w:pBdr>
          <w:bottom w:val="single" w:color="E07A5F" w:sz="4" w:space="8"/>
        </w:pBdr>
        <w:spacing w:after="60"/>
      </w:pPr>
      <w:r>
        <w:rPr>
          <w:rFonts w:ascii="Georgia" w:cs="Georgia" w:eastAsia="Georgia" w:hAnsi="Georgia"/>
          <w:b/>
          <w:bCs/>
          <w:color w:val="1B2A4A"/>
          <w:sz w:val="36"/>
          <w:szCs w:val="36"/>
        </w:rPr>
        <w:t xml:space="preserve">Trust Architecture</w:t>
      </w:r>
    </w:p>
    <w:p>
      <w:pPr>
        <w:spacing w:after="80" w:before="120"/>
      </w:pPr>
      <w:r>
        <w:rPr>
          <w:rFonts w:ascii="Georgia" w:cs="Georgia" w:eastAsia="Georgia" w:hAnsi="Georgia"/>
          <w:i/>
          <w:iCs/>
          <w:color w:val="3D5A80"/>
          <w:sz w:val="22"/>
          <w:szCs w:val="22"/>
        </w:rPr>
        <w:t xml:space="preserve">How trust is built, transferred, inherited, and destroyed across the ecosystem — and the mechanics that govern credibility.</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Partnership strategy, credibility building, social proof architecture, risk mitigation, brand trust design, T10 Entry Vector Analysis.</w:t>
      </w:r>
    </w:p>
    <w:p>
      <w:pPr>
        <w:pStyle w:val="Heading2"/>
        <w:spacing w:after="160" w:before="280"/>
      </w:pPr>
      <w:r>
        <w:rPr>
          <w:rFonts w:ascii="Georgia" w:cs="Georgia" w:eastAsia="Georgia" w:hAnsi="Georgia"/>
          <w:b/>
          <w:bCs/>
          <w:color w:val="3D5A80"/>
          <w:sz w:val="26"/>
          <w:szCs w:val="26"/>
        </w:rPr>
        <w:t xml:space="preserve">6.1 Purpose</w:t>
      </w:r>
    </w:p>
    <w:p>
      <w:pPr>
        <w:spacing w:after="160" w:line="276"/>
        <w:jc w:val="left"/>
      </w:pPr>
      <w:r>
        <w:rPr>
          <w:rFonts w:ascii="Georgia" w:cs="Georgia" w:eastAsia="Georgia" w:hAnsi="Georgia"/>
          <w:color w:val="2C2C2C"/>
          <w:sz w:val="21"/>
          <w:szCs w:val="21"/>
        </w:rPr>
        <w:t xml:space="preserve">Trust is not a feeling. It is an infrastructure. In every ecosystem, trust follows predictable pathways, accumulates through specific mechanisms, transfers along defined channels, and collapses under identifiable conditions. The Trust Architecture maps these mechanics so that any new entrant can design a credibility strategy grounded in how trust actually operates — not how they wish it operated.</w:t>
      </w:r>
    </w:p>
    <w:p>
      <w:pPr>
        <w:pBdr>
          <w:left w:val="single" w:color="E07A5F" w:sz="12" w:space="8"/>
        </w:pBdr>
        <w:spacing w:after="200" w:before="200"/>
        <w:ind w:left="360" w:right="360"/>
      </w:pPr>
      <w:r>
        <w:rPr>
          <w:rFonts w:ascii="Georgia" w:cs="Georgia" w:eastAsia="Georgia" w:hAnsi="Georgia"/>
          <w:i/>
          <w:iCs/>
          <w:color w:val="3D5A80"/>
          <w:sz w:val="21"/>
          <w:szCs w:val="21"/>
        </w:rPr>
        <w:t xml:space="preserve">In most ecosystems, the single largest barrier to adoption is not awareness, not price, and not features. It is trust. A product that is unknown to the ecosystem’s trust network is functionally invisible regardless of its quality. The Trust Architecture reveals the network.</w:t>
      </w:r>
    </w:p>
    <w:p>
      <w:pPr>
        <w:pStyle w:val="Heading2"/>
        <w:spacing w:after="160" w:before="280"/>
      </w:pPr>
      <w:r>
        <w:rPr>
          <w:rFonts w:ascii="Georgia" w:cs="Georgia" w:eastAsia="Georgia" w:hAnsi="Georgia"/>
          <w:b/>
          <w:bCs/>
          <w:color w:val="3D5A80"/>
          <w:sz w:val="26"/>
          <w:szCs w:val="26"/>
        </w:rPr>
        <w:t xml:space="preserve">6.2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The Trust Hierarchy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Who does this ecosystem trust, how much, and in what sequence?</w:t>
      </w:r>
    </w:p>
    <w:p>
      <w:pPr>
        <w:spacing w:after="160" w:line="276"/>
        <w:jc w:val="left"/>
      </w:pPr>
      <w:r>
        <w:rPr>
          <w:rFonts w:ascii="Georgia" w:cs="Georgia" w:eastAsia="Georgia" w:hAnsi="Georgia"/>
          <w:color w:val="2C2C2C"/>
          <w:sz w:val="21"/>
          <w:szCs w:val="21"/>
        </w:rPr>
        <w:t xml:space="preserve">Map the trust hierarchy as a ranked structure. Every ecosystem has tiers of trusted sources, and participants default to these tiers when making decisions under uncertainty. The hierarchy typically follows a pattern from most trusted to least, but the specific ranking is ecosystem-specific.</w:t>
      </w:r>
    </w:p>
    <w:p>
      <w:pPr>
        <w:spacing w:after="160" w:line="276"/>
        <w:jc w:val="left"/>
      </w:pPr>
      <w:r>
        <w:rPr>
          <w:rFonts w:ascii="Georgia" w:cs="Georgia" w:eastAsia="Georgia" w:hAnsi="Georgia"/>
          <w:color w:val="2C2C2C"/>
          <w:sz w:val="21"/>
          <w:szCs w:val="21"/>
        </w:rPr>
        <w:t xml:space="preserve">For each tier, document:</w:t>
      </w:r>
    </w:p>
    <w:p>
      <w:pPr>
        <w:pStyle w:val="ListParagraph"/>
        <w:numPr>
          <w:ilvl w:val="0"/>
          <w:numId w:val="2"/>
        </w:numPr>
        <w:spacing w:after="100" w:line="276"/>
      </w:pPr>
      <w:r>
        <w:rPr>
          <w:rFonts w:ascii="Georgia" w:cs="Georgia" w:eastAsia="Georgia" w:hAnsi="Georgia"/>
          <w:color w:val="2C2C2C"/>
          <w:sz w:val="21"/>
          <w:szCs w:val="21"/>
        </w:rPr>
        <w:t xml:space="preserve">The trust tier label and the participant types or entities that occupy it.</w:t>
      </w:r>
    </w:p>
    <w:p>
      <w:pPr>
        <w:pStyle w:val="ListParagraph"/>
        <w:numPr>
          <w:ilvl w:val="0"/>
          <w:numId w:val="2"/>
        </w:numPr>
        <w:spacing w:after="100" w:line="276"/>
      </w:pPr>
      <w:r>
        <w:rPr>
          <w:rFonts w:ascii="Georgia" w:cs="Georgia" w:eastAsia="Georgia" w:hAnsi="Georgia"/>
          <w:color w:val="2C2C2C"/>
          <w:sz w:val="21"/>
          <w:szCs w:val="21"/>
        </w:rPr>
        <w:t xml:space="preserve">The basis of trust: why does this tier command credibility? (Track record, credentials, peer endorsement, institutional backing, algorithmic promotion, personal relationship.)</w:t>
      </w:r>
    </w:p>
    <w:p>
      <w:pPr>
        <w:pStyle w:val="ListParagraph"/>
        <w:numPr>
          <w:ilvl w:val="0"/>
          <w:numId w:val="2"/>
        </w:numPr>
        <w:spacing w:after="100" w:line="276"/>
      </w:pPr>
      <w:r>
        <w:rPr>
          <w:rFonts w:ascii="Georgia" w:cs="Georgia" w:eastAsia="Georgia" w:hAnsi="Georgia"/>
          <w:color w:val="2C2C2C"/>
          <w:sz w:val="21"/>
          <w:szCs w:val="21"/>
        </w:rPr>
        <w:t xml:space="preserve">The trust scope: what topics or decision domains does this trust cover? (A finance creator trusted for budgeting advice may not be trusted for investment advice. A regulator trusted on compliance may not be trusted on product recommendations.)</w:t>
      </w:r>
    </w:p>
    <w:p>
      <w:pPr>
        <w:pStyle w:val="ListParagraph"/>
        <w:numPr>
          <w:ilvl w:val="0"/>
          <w:numId w:val="2"/>
        </w:numPr>
        <w:spacing w:after="100" w:line="276"/>
      </w:pPr>
      <w:r>
        <w:rPr>
          <w:rFonts w:ascii="Georgia" w:cs="Georgia" w:eastAsia="Georgia" w:hAnsi="Georgia"/>
          <w:color w:val="2C2C2C"/>
          <w:sz w:val="21"/>
          <w:szCs w:val="21"/>
        </w:rPr>
        <w:t xml:space="preserve">The trust durability: how resilient is this trust to negative events? Does a single failure eliminate it, or is there a reservoir of goodwill?</w:t>
      </w:r>
    </w:p>
    <w:p>
      <w:pPr>
        <w:spacing w:after="120" w:before="200"/>
      </w:pPr>
      <w:r>
        <w:rPr>
          <w:rFonts w:ascii="Georgia" w:cs="Georgia" w:eastAsia="Georgia" w:hAnsi="Georgia"/>
          <w:b/>
          <w:bCs/>
          <w:color w:val="1B2A4A"/>
          <w:sz w:val="22"/>
          <w:szCs w:val="22"/>
        </w:rPr>
        <w:t xml:space="preserve">Section 2: Trust Transfer Mechanics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does trust flow from one entity to another, and what governs the transfer rate?</w:t>
      </w:r>
    </w:p>
    <w:p>
      <w:pPr>
        <w:spacing w:after="160" w:line="276"/>
        <w:jc w:val="left"/>
      </w:pPr>
      <w:r>
        <w:rPr>
          <w:rFonts w:ascii="Georgia" w:cs="Georgia" w:eastAsia="Georgia" w:hAnsi="Georgia"/>
          <w:color w:val="2C2C2C"/>
          <w:sz w:val="21"/>
          <w:szCs w:val="21"/>
        </w:rPr>
        <w:t xml:space="preserve">Trust rarely originates with a new entrant. It is transferred — borrowed, inherited, or endorsed — from existing trusted entities. Map the transfer mechanics:</w:t>
      </w:r>
    </w:p>
    <w:p>
      <w:pPr>
        <w:pStyle w:val="ListParagraph"/>
        <w:numPr>
          <w:ilvl w:val="0"/>
          <w:numId w:val="3"/>
        </w:numPr>
        <w:spacing w:after="120" w:line="276"/>
      </w:pPr>
      <w:r>
        <w:rPr>
          <w:rFonts w:ascii="Georgia" w:cs="Georgia" w:eastAsia="Georgia" w:hAnsi="Georgia"/>
          <w:b/>
          <w:bCs/>
          <w:color w:val="1B2A4A"/>
          <w:sz w:val="21"/>
          <w:szCs w:val="21"/>
        </w:rPr>
        <w:t xml:space="preserve">Endorsement transfer: </w:t>
      </w:r>
      <w:r>
        <w:rPr>
          <w:rFonts w:ascii="Georgia" w:cs="Georgia" w:eastAsia="Georgia" w:hAnsi="Georgia"/>
          <w:color w:val="2C2C2C"/>
          <w:sz w:val="21"/>
          <w:szCs w:val="21"/>
        </w:rPr>
        <w:t xml:space="preserve">When a trusted entity publicly endorses a new entity, how much trust transfers? What are the conditions? (Explicit recommendation vs. passive association. Paid endorsement vs. organic mention. One-time reference vs. ongoing partnership.) Cross-reference [T1 §6] Social Hierarchy for status currency dynamics.</w:t>
      </w:r>
    </w:p>
    <w:p>
      <w:pPr>
        <w:pStyle w:val="ListParagraph"/>
        <w:numPr>
          <w:ilvl w:val="0"/>
          <w:numId w:val="3"/>
        </w:numPr>
        <w:spacing w:after="120" w:line="276"/>
      </w:pPr>
      <w:r>
        <w:rPr>
          <w:rFonts w:ascii="Georgia" w:cs="Georgia" w:eastAsia="Georgia" w:hAnsi="Georgia"/>
          <w:b/>
          <w:bCs/>
          <w:color w:val="1B2A4A"/>
          <w:sz w:val="21"/>
          <w:szCs w:val="21"/>
        </w:rPr>
        <w:t xml:space="preserve">Institutional transfer: </w:t>
      </w:r>
      <w:r>
        <w:rPr>
          <w:rFonts w:ascii="Georgia" w:cs="Georgia" w:eastAsia="Georgia" w:hAnsi="Georgia"/>
          <w:color w:val="2C2C2C"/>
          <w:sz w:val="21"/>
          <w:szCs w:val="21"/>
        </w:rPr>
        <w:t xml:space="preserve">When an institution (platform, regulatory body, professional association) validates a new entity (certification, marketplace listing, compliance approval), how much trust transfers? Is institutional trust stronger or weaker than peer trust in this ecosystem?</w:t>
      </w:r>
    </w:p>
    <w:p>
      <w:pPr>
        <w:pStyle w:val="ListParagraph"/>
        <w:numPr>
          <w:ilvl w:val="0"/>
          <w:numId w:val="3"/>
        </w:numPr>
        <w:spacing w:after="120" w:line="276"/>
      </w:pPr>
      <w:r>
        <w:rPr>
          <w:rFonts w:ascii="Georgia" w:cs="Georgia" w:eastAsia="Georgia" w:hAnsi="Georgia"/>
          <w:b/>
          <w:bCs/>
          <w:color w:val="1B2A4A"/>
          <w:sz w:val="21"/>
          <w:szCs w:val="21"/>
        </w:rPr>
        <w:t xml:space="preserve">Proximity transfer: </w:t>
      </w:r>
      <w:r>
        <w:rPr>
          <w:rFonts w:ascii="Georgia" w:cs="Georgia" w:eastAsia="Georgia" w:hAnsi="Georgia"/>
          <w:color w:val="2C2C2C"/>
          <w:sz w:val="21"/>
          <w:szCs w:val="21"/>
        </w:rPr>
        <w:t xml:space="preserve">Trust that flows from adjacent entities. If a product is used alongside a trusted tool, does proximity create implied trust? If a product is listed in the same marketplace as a trusted product, does category association transfer trust?</w:t>
      </w:r>
    </w:p>
    <w:p>
      <w:pPr>
        <w:pStyle w:val="ListParagraph"/>
        <w:numPr>
          <w:ilvl w:val="0"/>
          <w:numId w:val="3"/>
        </w:numPr>
        <w:spacing w:after="120" w:line="276"/>
      </w:pPr>
      <w:r>
        <w:rPr>
          <w:rFonts w:ascii="Georgia" w:cs="Georgia" w:eastAsia="Georgia" w:hAnsi="Georgia"/>
          <w:b/>
          <w:bCs/>
          <w:color w:val="1B2A4A"/>
          <w:sz w:val="21"/>
          <w:szCs w:val="21"/>
        </w:rPr>
        <w:t xml:space="preserve">Demonstrated-competence transfer: </w:t>
      </w:r>
      <w:r>
        <w:rPr>
          <w:rFonts w:ascii="Georgia" w:cs="Georgia" w:eastAsia="Georgia" w:hAnsi="Georgia"/>
          <w:color w:val="2C2C2C"/>
          <w:sz w:val="21"/>
          <w:szCs w:val="21"/>
        </w:rPr>
        <w:t xml:space="preserve">Trust earned through observable results rather than endorsement. Free content, open-source contributions, public case studies, audit results. How long does demonstrated competence take to convert to trusted status?</w:t>
      </w:r>
    </w:p>
    <w:p>
      <w:pPr>
        <w:spacing w:after="160" w:line="276"/>
        <w:jc w:val="left"/>
      </w:pPr>
      <w:r>
        <w:rPr>
          <w:rFonts w:ascii="Georgia" w:cs="Georgia" w:eastAsia="Georgia" w:hAnsi="Georgia"/>
          <w:color w:val="2C2C2C"/>
          <w:sz w:val="21"/>
          <w:szCs w:val="21"/>
        </w:rPr>
        <w:t xml:space="preserve">For each transfer mechanism: estimate the transfer efficiency (what percentage of the source’s trust transfers to the recipient), the transfer decay (how quickly does transferred trust fade without reinforcement), and the transfer prerequisites (what must be true for the transfer to occur).</w:t>
      </w:r>
    </w:p>
    <w:p>
      <w:pPr>
        <w:spacing w:after="120" w:before="200"/>
      </w:pPr>
      <w:r>
        <w:rPr>
          <w:rFonts w:ascii="Georgia" w:cs="Georgia" w:eastAsia="Georgia" w:hAnsi="Georgia"/>
          <w:b/>
          <w:bCs/>
          <w:color w:val="1B2A4A"/>
          <w:sz w:val="22"/>
          <w:szCs w:val="22"/>
        </w:rPr>
        <w:t xml:space="preserve">Section 3: Trust Accumulation Model</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does trust compound over time, and what are the milestones?</w:t>
      </w:r>
    </w:p>
    <w:p>
      <w:pPr>
        <w:pStyle w:val="ListParagraph"/>
        <w:numPr>
          <w:ilvl w:val="0"/>
          <w:numId w:val="2"/>
        </w:numPr>
        <w:spacing w:after="100" w:line="276"/>
      </w:pPr>
      <w:r>
        <w:rPr>
          <w:rFonts w:ascii="Georgia" w:cs="Georgia" w:eastAsia="Georgia" w:hAnsi="Georgia"/>
          <w:color w:val="2C2C2C"/>
          <w:sz w:val="21"/>
          <w:szCs w:val="21"/>
        </w:rPr>
        <w:t xml:space="preserve">Map the trust accumulation curve: is trust built linearly (steady growth), logarithmically (rapid early gains that plateau), or exponentially (slow start that accelerates)?</w:t>
      </w:r>
    </w:p>
    <w:p>
      <w:pPr>
        <w:pStyle w:val="ListParagraph"/>
        <w:numPr>
          <w:ilvl w:val="0"/>
          <w:numId w:val="2"/>
        </w:numPr>
        <w:spacing w:after="100" w:line="276"/>
      </w:pPr>
      <w:r>
        <w:rPr>
          <w:rFonts w:ascii="Georgia" w:cs="Georgia" w:eastAsia="Georgia" w:hAnsi="Georgia"/>
          <w:color w:val="2C2C2C"/>
          <w:sz w:val="21"/>
          <w:szCs w:val="21"/>
        </w:rPr>
        <w:t xml:space="preserve">Identify trust milestones: specific events or thresholds that produce step-function increases in trust. (First 100 users. First institutional partnership. First regulatory endorsement. First public case study with named metrics.)</w:t>
      </w:r>
    </w:p>
    <w:p>
      <w:pPr>
        <w:pStyle w:val="ListParagraph"/>
        <w:numPr>
          <w:ilvl w:val="0"/>
          <w:numId w:val="2"/>
        </w:numPr>
        <w:spacing w:after="100" w:line="276"/>
      </w:pPr>
      <w:r>
        <w:rPr>
          <w:rFonts w:ascii="Georgia" w:cs="Georgia" w:eastAsia="Georgia" w:hAnsi="Georgia"/>
          <w:color w:val="2C2C2C"/>
          <w:sz w:val="21"/>
          <w:szCs w:val="21"/>
        </w:rPr>
        <w:t xml:space="preserve">Identify the minimum viable trust: the lowest level of trust at which a participant will engage. Below this threshold, no amount of feature quality or pricing advantage overcomes the trust deficit. Cross-reference [T3 §1] Information Architecture for how participants evaluate trust signals.</w:t>
      </w:r>
    </w:p>
    <w:p>
      <w:pPr>
        <w:pStyle w:val="ListParagraph"/>
        <w:numPr>
          <w:ilvl w:val="0"/>
          <w:numId w:val="2"/>
        </w:numPr>
        <w:spacing w:after="100" w:line="276"/>
      </w:pPr>
      <w:r>
        <w:rPr>
          <w:rFonts w:ascii="Georgia" w:cs="Georgia" w:eastAsia="Georgia" w:hAnsi="Georgia"/>
          <w:color w:val="2C2C2C"/>
          <w:sz w:val="21"/>
          <w:szCs w:val="21"/>
        </w:rPr>
        <w:t xml:space="preserve">Document the trust maintenance cost: what ongoing investment is required to sustain trust once built? (Consistent content quality, responsive support, transparent communication, continuous compliance.)</w:t>
      </w:r>
    </w:p>
    <w:p>
      <w:pPr>
        <w:spacing w:after="120" w:before="200"/>
      </w:pPr>
      <w:r>
        <w:rPr>
          <w:rFonts w:ascii="Georgia" w:cs="Georgia" w:eastAsia="Georgia" w:hAnsi="Georgia"/>
          <w:b/>
          <w:bCs/>
          <w:color w:val="1B2A4A"/>
          <w:sz w:val="22"/>
          <w:szCs w:val="22"/>
        </w:rPr>
        <w:t xml:space="preserve">Section 4: Trust Destruction Taxonomy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events destroy trust, how quickly, and is recovery possible?</w:t>
      </w:r>
    </w:p>
    <w:p>
      <w:pPr>
        <w:spacing w:after="160" w:line="276"/>
        <w:jc w:val="left"/>
      </w:pPr>
      <w:r>
        <w:rPr>
          <w:rFonts w:ascii="Georgia" w:cs="Georgia" w:eastAsia="Georgia" w:hAnsi="Georgia"/>
          <w:color w:val="2C2C2C"/>
          <w:sz w:val="21"/>
          <w:szCs w:val="21"/>
        </w:rPr>
        <w:t xml:space="preserve">Trust is asymmetric: it takes months to build and moments to destroy. Catalogue the trust-destruction events specific to this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Destruction Event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Severity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Recovery Possibility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Signal Propagation</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Compliance failure</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[Rate: fatal / severe / moderate]</w:t>
            </w:r>
          </w:p>
        </w:tc>
        <w:tc>
          <w:tcPr>
            <w:tcW w:type="dxa" w:w="2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[Recoverable with X / permanent in this ecosystem]</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fast does news travel? What amplifies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Product failure at critical moment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[Rate severity]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[Recovery conditions]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[Propagation speed and channels]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Perceived inauthenticity</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[Rate severity]</w:t>
            </w:r>
          </w:p>
        </w:tc>
        <w:tc>
          <w:tcPr>
            <w:tcW w:type="dxa" w:w="2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[Recovery conditions]</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[Propagation speed and channels]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Association with bad actor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[Rate severity]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[Recovery conditions]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[Propagation speed and channels]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Data breach or privacy violation</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[Rate severity]</w:t>
            </w:r>
          </w:p>
        </w:tc>
        <w:tc>
          <w:tcPr>
            <w:tcW w:type="dxa" w:w="2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[Recovery conditions]</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[Propagation speed and channels]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Broken promise or over-claim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[Rate severity]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[Recovery conditions]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[Propagation speed and channels]</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For each destruction event: identify the specific ecosystem context that makes it more or less severe. A compliance failure in a lightly-regulated ecosystem is damaging. A compliance failure in a heavily-regulated ecosystem where trust is already fragile can be existential. Cross-reference [T1 §5] Sacred and Profane for cultural amplifiers.</w:t>
      </w:r>
    </w:p>
    <w:p>
      <w:pPr>
        <w:spacing w:after="120" w:before="200"/>
      </w:pPr>
      <w:r>
        <w:rPr>
          <w:rFonts w:ascii="Georgia" w:cs="Georgia" w:eastAsia="Georgia" w:hAnsi="Georgia"/>
          <w:b/>
          <w:bCs/>
          <w:color w:val="1B2A4A"/>
          <w:sz w:val="22"/>
          <w:szCs w:val="22"/>
        </w:rPr>
        <w:t xml:space="preserve">Section 5: Trust Network Topology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is the shape of the trust network, and where are the critical nodes?</w:t>
      </w:r>
    </w:p>
    <w:p>
      <w:pPr>
        <w:pStyle w:val="ListParagraph"/>
        <w:numPr>
          <w:ilvl w:val="0"/>
          <w:numId w:val="2"/>
        </w:numPr>
        <w:spacing w:after="100" w:line="276"/>
      </w:pPr>
      <w:r>
        <w:rPr>
          <w:rFonts w:ascii="Georgia" w:cs="Georgia" w:eastAsia="Georgia" w:hAnsi="Georgia"/>
          <w:color w:val="2C2C2C"/>
          <w:sz w:val="21"/>
          <w:szCs w:val="21"/>
        </w:rPr>
        <w:t xml:space="preserve">Map the trust network as a directed graph: who trusts whom, and through what mechanism. Identify hub nodes (entities trusted by many), bridge nodes (entities that connect otherwise separate trust clusters), and isolated nodes (entities outside the trust network entirely).</w:t>
      </w:r>
    </w:p>
    <w:p>
      <w:pPr>
        <w:pStyle w:val="ListParagraph"/>
        <w:numPr>
          <w:ilvl w:val="0"/>
          <w:numId w:val="2"/>
        </w:numPr>
        <w:spacing w:after="100" w:line="276"/>
      </w:pPr>
      <w:r>
        <w:rPr>
          <w:rFonts w:ascii="Georgia" w:cs="Georgia" w:eastAsia="Georgia" w:hAnsi="Georgia"/>
          <w:color w:val="2C2C2C"/>
          <w:sz w:val="21"/>
          <w:szCs w:val="21"/>
        </w:rPr>
        <w:t xml:space="preserve">Identify trust gatekeepers: entities whose endorsement is a prerequisite for ecosystem acceptance. If the network has hard gatekeepers, entry strategy must route through them.</w:t>
      </w:r>
    </w:p>
    <w:p>
      <w:pPr>
        <w:pStyle w:val="ListParagraph"/>
        <w:numPr>
          <w:ilvl w:val="0"/>
          <w:numId w:val="2"/>
        </w:numPr>
        <w:spacing w:after="100" w:line="276"/>
      </w:pPr>
      <w:r>
        <w:rPr>
          <w:rFonts w:ascii="Georgia" w:cs="Georgia" w:eastAsia="Georgia" w:hAnsi="Georgia"/>
          <w:color w:val="2C2C2C"/>
          <w:sz w:val="21"/>
          <w:szCs w:val="21"/>
        </w:rPr>
        <w:t xml:space="preserve">Identify trust amplifiers: entities whose endorsement cascades rapidly through the network. These are not necessarily the most trusted entities — they are the most connected.</w:t>
      </w:r>
    </w:p>
    <w:p>
      <w:pPr>
        <w:pStyle w:val="ListParagraph"/>
        <w:numPr>
          <w:ilvl w:val="0"/>
          <w:numId w:val="2"/>
        </w:numPr>
        <w:spacing w:after="100" w:line="276"/>
      </w:pPr>
      <w:r>
        <w:rPr>
          <w:rFonts w:ascii="Georgia" w:cs="Georgia" w:eastAsia="Georgia" w:hAnsi="Georgia"/>
          <w:color w:val="2C2C2C"/>
          <w:sz w:val="21"/>
          <w:szCs w:val="21"/>
        </w:rPr>
        <w:t xml:space="preserve">Identify trust vulnerabilities: nodes whose failure would fragment the network. If a single gatekeeper controls access to the majority of trust, their departure or failure creates systemic risk.</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Trust Architecture must identify a minimum of three distinct trust transfer mechanisms with estimated transfer efficiency. The Trust Destruction Taxonomy must contain a minimum of five ecosystem-specific destruction events. The Trust Network Topology must identify at least two gatekeeper nodes and two amplifier nodes.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6.3 Length Calibration</w:t>
      </w:r>
    </w:p>
    <w:p>
      <w:pPr>
        <w:spacing w:after="160" w:line="276"/>
        <w:jc w:val="left"/>
      </w:pPr>
      <w:r>
        <w:rPr>
          <w:rFonts w:ascii="Georgia" w:cs="Georgia" w:eastAsia="Georgia" w:hAnsi="Georgia"/>
          <w:color w:val="2C2C2C"/>
          <w:sz w:val="21"/>
          <w:szCs w:val="21"/>
        </w:rPr>
        <w:t xml:space="preserve">Target: 3,500–5,000 words. Maximum: 7,000 words.</w:t>
      </w:r>
    </w:p>
    <w:p>
      <w:r>
        <w:br w:type="page"/>
      </w:r>
    </w:p>
    <w:p>
      <w:pPr>
        <w:spacing w:after="60" w:before="120"/>
      </w:pPr>
      <w:r>
        <w:rPr>
          <w:rFonts w:ascii="Georgia" w:cs="Georgia" w:eastAsia="Georgia" w:hAnsi="Georgia"/>
          <w:b/>
          <w:bCs/>
          <w:color w:val="E07A5F"/>
          <w:spacing w:val="180"/>
          <w:sz w:val="16"/>
          <w:szCs w:val="16"/>
        </w:rPr>
        <w:t xml:space="preserve">TEMPLATE 7</w:t>
      </w:r>
    </w:p>
    <w:p>
      <w:pPr>
        <w:pBdr>
          <w:bottom w:val="single" w:color="E07A5F" w:sz="4" w:space="8"/>
        </w:pBdr>
        <w:spacing w:after="60"/>
      </w:pPr>
      <w:r>
        <w:rPr>
          <w:rFonts w:ascii="Georgia" w:cs="Georgia" w:eastAsia="Georgia" w:hAnsi="Georgia"/>
          <w:b/>
          <w:bCs/>
          <w:color w:val="1B2A4A"/>
          <w:sz w:val="36"/>
          <w:szCs w:val="36"/>
        </w:rPr>
        <w:t xml:space="preserve">Temporal Rhythm Map</w:t>
      </w:r>
    </w:p>
    <w:p>
      <w:pPr>
        <w:spacing w:after="80" w:before="120"/>
      </w:pPr>
      <w:r>
        <w:rPr>
          <w:rFonts w:ascii="Georgia" w:cs="Georgia" w:eastAsia="Georgia" w:hAnsi="Georgia"/>
          <w:i/>
          <w:iCs/>
          <w:color w:val="3D5A80"/>
          <w:sz w:val="22"/>
          <w:szCs w:val="22"/>
        </w:rPr>
        <w:t xml:space="preserve">The cadences, cycles, seasons, and timing windows that govern ecosystem activity — and the strategic implications of each.</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Launch timing, campaign planning, content calendar, feature release scheduling, resource allocation, T10 Entry Vector Analysis.</w:t>
      </w:r>
    </w:p>
    <w:p>
      <w:pPr>
        <w:pStyle w:val="Heading2"/>
        <w:spacing w:after="160" w:before="280"/>
      </w:pPr>
      <w:r>
        <w:rPr>
          <w:rFonts w:ascii="Georgia" w:cs="Georgia" w:eastAsia="Georgia" w:hAnsi="Georgia"/>
          <w:b/>
          <w:bCs/>
          <w:color w:val="3D5A80"/>
          <w:sz w:val="26"/>
          <w:szCs w:val="26"/>
        </w:rPr>
        <w:t xml:space="preserve">7.1 Purpose</w:t>
      </w:r>
    </w:p>
    <w:p>
      <w:pPr>
        <w:spacing w:after="160" w:line="276"/>
        <w:jc w:val="left"/>
      </w:pPr>
      <w:r>
        <w:rPr>
          <w:rFonts w:ascii="Georgia" w:cs="Georgia" w:eastAsia="Georgia" w:hAnsi="Georgia"/>
          <w:color w:val="2C2C2C"/>
          <w:sz w:val="21"/>
          <w:szCs w:val="21"/>
        </w:rPr>
        <w:t xml:space="preserve">Every ecosystem operates on multiple overlapping clocks. There are daily rhythms (when audiences engage), weekly rhythms (when content publishes), monthly rhythms (when budgets refresh), quarterly rhythms (when enterprises plan), annual rhythms (when regulations take effect), and irregular rhythms (when unpredictable events create temporary attention surges). The Temporal Rhythm Map catalogues all of these and identifies the windows where strategic action produces outsized results.</w:t>
      </w:r>
    </w:p>
    <w:p>
      <w:pPr>
        <w:pBdr>
          <w:left w:val="single" w:color="E07A5F" w:sz="12" w:space="8"/>
        </w:pBdr>
        <w:spacing w:after="200" w:before="200"/>
        <w:ind w:left="360" w:right="360"/>
      </w:pPr>
      <w:r>
        <w:rPr>
          <w:rFonts w:ascii="Georgia" w:cs="Georgia" w:eastAsia="Georgia" w:hAnsi="Georgia"/>
          <w:i/>
          <w:iCs/>
          <w:color w:val="3D5A80"/>
          <w:sz w:val="21"/>
          <w:szCs w:val="21"/>
        </w:rPr>
        <w:t xml:space="preserve">Timing is not a detail. It is a strategic variable. Launching into an ecosystem’s attention peak produces a fundamentally different outcome than launching during its dormant period. The Temporal Rhythm Map turns timing from instinct into data.</w:t>
      </w:r>
    </w:p>
    <w:p>
      <w:pPr>
        <w:pStyle w:val="Heading2"/>
        <w:spacing w:after="160" w:before="280"/>
      </w:pPr>
      <w:r>
        <w:rPr>
          <w:rFonts w:ascii="Georgia" w:cs="Georgia" w:eastAsia="Georgia" w:hAnsi="Georgia"/>
          <w:b/>
          <w:bCs/>
          <w:color w:val="3D5A80"/>
          <w:sz w:val="26"/>
          <w:szCs w:val="26"/>
        </w:rPr>
        <w:t xml:space="preserve">7.2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The Rhythm Stack</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are all the temporal cadences operating within this ecosystem, layered from shortest to longest?</w:t>
      </w:r>
    </w:p>
    <w:p>
      <w:pPr>
        <w:spacing w:after="160" w:line="276"/>
        <w:jc w:val="left"/>
      </w:pPr>
      <w:r>
        <w:rPr>
          <w:rFonts w:ascii="Georgia" w:cs="Georgia" w:eastAsia="Georgia" w:hAnsi="Georgia"/>
          <w:color w:val="2C2C2C"/>
          <w:sz w:val="21"/>
          <w:szCs w:val="21"/>
        </w:rPr>
        <w:t xml:space="preserve">Map every identifiable rhythm, organised into the following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Rhythm Layer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Typical Cycle</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to Map</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Cross-References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Micro-rhythms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Hours to days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Engagement peaks, posting cadences, notification patterns, content consumption windows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[T4 §4] Platform-specific variations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Weekly rhythms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7-day cycles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Content publishing schedules, community event cadences, work-week vs. weekend behaviour shifts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[T1 §4] Rituals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Monthly rhythms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30-day cycles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Budget refresh dates, reporting cycles, subscription renewal patterns, content series cadences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[T9 §2] Flow 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Quarterly rhythms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90-day cycles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Enterprise planning cycles, earnings seasons, regulatory filing deadlines, platform review periods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[T2 §2] Forcing functions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Annual rhythms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12-month cycles</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Regulatory effective dates, conference seasons, fiscal year boundaries, cultural moments (New Year resolutions, tax season)</w:t>
            </w:r>
          </w:p>
        </w:tc>
        <w:tc>
          <w:tcPr>
            <w:tcW w:type="dxa" w:w="25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§2] Structural forces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Irregular rhythms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Event-driven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Platform launches, regulatory announcements, viral events, market crashes, competitor moves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[T2 §1] Urgency triggers, [T8 §3] Shock events</w:t>
            </w:r>
          </w:p>
        </w:tc>
      </w:tr>
    </w:tbl>
    <w:p>
      <w:pPr>
        <w:spacing w:after="160" w:line="276"/>
        <w:jc w:val="left"/>
      </w:pPr>
      <w:r>
        <w:rPr>
          <w:rFonts w:ascii="Georgia" w:cs="Georgia" w:eastAsia="Georgia" w:hAnsi="Georgia"/>
          <w:color w:val="2C2C2C"/>
          <w:sz w:val="21"/>
          <w:szCs w:val="21"/>
        </w:rPr>
        <w:t xml:space="preserve"/>
      </w:r>
    </w:p>
    <w:p>
      <w:pPr>
        <w:spacing w:after="120" w:before="200"/>
      </w:pPr>
      <w:r>
        <w:rPr>
          <w:rFonts w:ascii="Georgia" w:cs="Georgia" w:eastAsia="Georgia" w:hAnsi="Georgia"/>
          <w:b/>
          <w:bCs/>
          <w:color w:val="1B2A4A"/>
          <w:sz w:val="22"/>
          <w:szCs w:val="22"/>
        </w:rPr>
        <w:t xml:space="preserve">Section 2: The Attention Calendar</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When is the ecosystem most receptive to new information, new products, and new entrants?</w:t>
      </w:r>
    </w:p>
    <w:p>
      <w:pPr>
        <w:spacing w:after="160" w:line="276"/>
        <w:jc w:val="left"/>
      </w:pPr>
      <w:r>
        <w:rPr>
          <w:rFonts w:ascii="Georgia" w:cs="Georgia" w:eastAsia="Georgia" w:hAnsi="Georgia"/>
          <w:color w:val="2C2C2C"/>
          <w:sz w:val="21"/>
          <w:szCs w:val="21"/>
        </w:rPr>
        <w:t xml:space="preserve">Construct a 12-month calendar that overlays the major rhythms identified in Section 1 and highlights:</w:t>
      </w:r>
    </w:p>
    <w:p>
      <w:pPr>
        <w:pStyle w:val="ListParagraph"/>
        <w:numPr>
          <w:ilvl w:val="0"/>
          <w:numId w:val="2"/>
        </w:numPr>
        <w:spacing w:after="100" w:line="276"/>
      </w:pPr>
      <w:r>
        <w:rPr>
          <w:rFonts w:ascii="Georgia" w:cs="Georgia" w:eastAsia="Georgia" w:hAnsi="Georgia"/>
          <w:b/>
          <w:bCs/>
          <w:color w:val="1B2A4A"/>
          <w:sz w:val="21"/>
          <w:szCs w:val="21"/>
        </w:rPr>
        <w:t xml:space="preserve">Peak attention windows: </w:t>
      </w:r>
      <w:r>
        <w:rPr>
          <w:rFonts w:ascii="Georgia" w:cs="Georgia" w:eastAsia="Georgia" w:hAnsi="Georgia"/>
          <w:color w:val="2C2C2C"/>
          <w:sz w:val="21"/>
          <w:szCs w:val="21"/>
        </w:rPr>
        <w:t xml:space="preserve">Periods when the ecosystem is most active, most engaged, and most receptive to new offerings. These are launch windows.</w:t>
      </w:r>
    </w:p>
    <w:p>
      <w:pPr>
        <w:pStyle w:val="ListParagraph"/>
        <w:numPr>
          <w:ilvl w:val="0"/>
          <w:numId w:val="2"/>
        </w:numPr>
        <w:spacing w:after="100" w:line="276"/>
      </w:pPr>
      <w:r>
        <w:rPr>
          <w:rFonts w:ascii="Georgia" w:cs="Georgia" w:eastAsia="Georgia" w:hAnsi="Georgia"/>
          <w:b/>
          <w:bCs/>
          <w:color w:val="1B2A4A"/>
          <w:sz w:val="21"/>
          <w:szCs w:val="21"/>
        </w:rPr>
        <w:t xml:space="preserve">Planning windows: </w:t>
      </w:r>
      <w:r>
        <w:rPr>
          <w:rFonts w:ascii="Georgia" w:cs="Georgia" w:eastAsia="Georgia" w:hAnsi="Georgia"/>
          <w:color w:val="2C2C2C"/>
          <w:sz w:val="21"/>
          <w:szCs w:val="21"/>
        </w:rPr>
        <w:t xml:space="preserve">Periods when participants are making forward-looking decisions (budget allocation, tool selection, strategy planning). These are pre-launch positioning windows.</w:t>
      </w:r>
    </w:p>
    <w:p>
      <w:pPr>
        <w:pStyle w:val="ListParagraph"/>
        <w:numPr>
          <w:ilvl w:val="0"/>
          <w:numId w:val="2"/>
        </w:numPr>
        <w:spacing w:after="100" w:line="276"/>
      </w:pPr>
      <w:r>
        <w:rPr>
          <w:rFonts w:ascii="Georgia" w:cs="Georgia" w:eastAsia="Georgia" w:hAnsi="Georgia"/>
          <w:b/>
          <w:bCs/>
          <w:color w:val="1B2A4A"/>
          <w:sz w:val="21"/>
          <w:szCs w:val="21"/>
        </w:rPr>
        <w:t xml:space="preserve">Recovery windows: </w:t>
      </w:r>
      <w:r>
        <w:rPr>
          <w:rFonts w:ascii="Georgia" w:cs="Georgia" w:eastAsia="Georgia" w:hAnsi="Georgia"/>
          <w:color w:val="2C2C2C"/>
          <w:sz w:val="21"/>
          <w:szCs w:val="21"/>
        </w:rPr>
        <w:t xml:space="preserve">Periods after major events (regulatory deadlines, conference seasons, market corrections) when participants are processing what happened and open to new approaches. These are post-event capture windows.</w:t>
      </w:r>
    </w:p>
    <w:p>
      <w:pPr>
        <w:pStyle w:val="ListParagraph"/>
        <w:numPr>
          <w:ilvl w:val="0"/>
          <w:numId w:val="2"/>
        </w:numPr>
        <w:spacing w:after="100" w:line="276"/>
      </w:pPr>
      <w:r>
        <w:rPr>
          <w:rFonts w:ascii="Georgia" w:cs="Georgia" w:eastAsia="Georgia" w:hAnsi="Georgia"/>
          <w:b/>
          <w:bCs/>
          <w:color w:val="1B2A4A"/>
          <w:sz w:val="21"/>
          <w:szCs w:val="21"/>
        </w:rPr>
        <w:t xml:space="preserve">Dormant periods: </w:t>
      </w:r>
      <w:r>
        <w:rPr>
          <w:rFonts w:ascii="Georgia" w:cs="Georgia" w:eastAsia="Georgia" w:hAnsi="Georgia"/>
          <w:color w:val="2C2C2C"/>
          <w:sz w:val="21"/>
          <w:szCs w:val="21"/>
        </w:rPr>
        <w:t xml:space="preserve">Periods of low engagement, low decision-making, and high noise-to-signal ratio. Avoid launching during these. Use them for building and preparation.</w:t>
      </w:r>
    </w:p>
    <w:p>
      <w:pPr>
        <w:spacing w:after="160" w:line="276"/>
        <w:jc w:val="left"/>
      </w:pPr>
      <w:r>
        <w:rPr>
          <w:rFonts w:ascii="Georgia" w:cs="Georgia" w:eastAsia="Georgia" w:hAnsi="Georgia"/>
          <w:color w:val="2C2C2C"/>
          <w:sz w:val="21"/>
          <w:szCs w:val="21"/>
        </w:rPr>
        <w:t xml:space="preserve">For each window: state the start and end dates (or approximate ranges), the driving rhythm(s), and the specific participant types most affected. Cross-reference [T2 §4] Lever Timing Windows for trigger-specific temporal data.</w:t>
      </w:r>
    </w:p>
    <w:p>
      <w:pPr>
        <w:spacing w:after="120" w:before="200"/>
      </w:pPr>
      <w:r>
        <w:rPr>
          <w:rFonts w:ascii="Georgia" w:cs="Georgia" w:eastAsia="Georgia" w:hAnsi="Georgia"/>
          <w:b/>
          <w:bCs/>
          <w:color w:val="1B2A4A"/>
          <w:sz w:val="22"/>
          <w:szCs w:val="22"/>
        </w:rPr>
        <w:t xml:space="preserve">Section 3: Competing Clock Analysis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Where do different participants’ rhythms conflict, and what opportunities emerge from the conflict?</w:t>
      </w:r>
    </w:p>
    <w:p>
      <w:pPr>
        <w:spacing w:after="160" w:line="276"/>
        <w:jc w:val="left"/>
      </w:pPr>
      <w:r>
        <w:rPr>
          <w:rFonts w:ascii="Georgia" w:cs="Georgia" w:eastAsia="Georgia" w:hAnsi="Georgia"/>
          <w:color w:val="2C2C2C"/>
          <w:sz w:val="21"/>
          <w:szCs w:val="21"/>
        </w:rPr>
        <w:t xml:space="preserve">Different participants operate on different clocks. Creators operate on content-cycle time (daily/weekly). Brands operate on campaign-cycle time (quarterly). Regulators operate on enforcement-cycle time (annual). Platforms operate on development-cycle time (sprint-based).</w:t>
      </w:r>
    </w:p>
    <w:p>
      <w:pPr>
        <w:pStyle w:val="ListParagraph"/>
        <w:numPr>
          <w:ilvl w:val="0"/>
          <w:numId w:val="2"/>
        </w:numPr>
        <w:spacing w:after="100" w:line="276"/>
      </w:pPr>
      <w:r>
        <w:rPr>
          <w:rFonts w:ascii="Georgia" w:cs="Georgia" w:eastAsia="Georgia" w:hAnsi="Georgia"/>
          <w:color w:val="2C2C2C"/>
          <w:sz w:val="21"/>
          <w:szCs w:val="21"/>
        </w:rPr>
        <w:t xml:space="preserve">Identify rhythm mismatches: where is one participant ready to act while another is not? These mismatches create friction — and friction creates infrastructure demand.</w:t>
      </w:r>
    </w:p>
    <w:p>
      <w:pPr>
        <w:pStyle w:val="ListParagraph"/>
        <w:numPr>
          <w:ilvl w:val="0"/>
          <w:numId w:val="2"/>
        </w:numPr>
        <w:spacing w:after="100" w:line="276"/>
      </w:pPr>
      <w:r>
        <w:rPr>
          <w:rFonts w:ascii="Georgia" w:cs="Georgia" w:eastAsia="Georgia" w:hAnsi="Georgia"/>
          <w:color w:val="2C2C2C"/>
          <w:sz w:val="21"/>
          <w:szCs w:val="21"/>
        </w:rPr>
        <w:t xml:space="preserve">Identify synchronisation moments: rare periods when multiple participant clocks align. These are the highest-leverage windows in the ecosystem. A regulatory deadline that coincides with a platform launch that coincides with a budgeting season creates a triple-rhythm convergence.</w:t>
      </w:r>
    </w:p>
    <w:p>
      <w:pPr>
        <w:pStyle w:val="ListParagraph"/>
        <w:numPr>
          <w:ilvl w:val="0"/>
          <w:numId w:val="2"/>
        </w:numPr>
        <w:spacing w:after="100" w:line="276"/>
      </w:pPr>
      <w:r>
        <w:rPr>
          <w:rFonts w:ascii="Georgia" w:cs="Georgia" w:eastAsia="Georgia" w:hAnsi="Georgia"/>
          <w:color w:val="2C2C2C"/>
          <w:sz w:val="21"/>
          <w:szCs w:val="21"/>
        </w:rPr>
        <w:t xml:space="preserve">Map the coordination gap: who needs to coordinate across different rhythms but lacks the infrastructure to do so? This gap is a commercial surface. Cross-reference [EA §6] Interface Map.</w:t>
      </w:r>
    </w:p>
    <w:p>
      <w:pPr>
        <w:spacing w:after="120" w:before="200"/>
      </w:pPr>
      <w:r>
        <w:rPr>
          <w:rFonts w:ascii="Georgia" w:cs="Georgia" w:eastAsia="Georgia" w:hAnsi="Georgia"/>
          <w:b/>
          <w:bCs/>
          <w:color w:val="1B2A4A"/>
          <w:sz w:val="22"/>
          <w:szCs w:val="22"/>
        </w:rPr>
        <w:t xml:space="preserve">Section 4: Velocity Assessment</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fast does this ecosystem move, and what implications does its speed have for strategic timing?</w:t>
      </w:r>
    </w:p>
    <w:p>
      <w:pPr>
        <w:pStyle w:val="ListParagraph"/>
        <w:numPr>
          <w:ilvl w:val="0"/>
          <w:numId w:val="2"/>
        </w:numPr>
        <w:spacing w:after="100" w:line="276"/>
      </w:pPr>
      <w:r>
        <w:rPr>
          <w:rFonts w:ascii="Georgia" w:cs="Georgia" w:eastAsia="Georgia" w:hAnsi="Georgia"/>
          <w:color w:val="2C2C2C"/>
          <w:sz w:val="21"/>
          <w:szCs w:val="21"/>
        </w:rPr>
        <w:t xml:space="preserve">Decision velocity: how long does the typical participant take from awareness to action? Cross-reference [T3 §3] Decision Timeline. Ecosystems with fast decision velocity require rapid deployment. Ecosystems with slow velocity require sustained presence.</w:t>
      </w:r>
    </w:p>
    <w:p>
      <w:pPr>
        <w:pStyle w:val="ListParagraph"/>
        <w:numPr>
          <w:ilvl w:val="0"/>
          <w:numId w:val="2"/>
        </w:numPr>
        <w:spacing w:after="100" w:line="276"/>
      </w:pPr>
      <w:r>
        <w:rPr>
          <w:rFonts w:ascii="Georgia" w:cs="Georgia" w:eastAsia="Georgia" w:hAnsi="Georgia"/>
          <w:color w:val="2C2C2C"/>
          <w:sz w:val="21"/>
          <w:szCs w:val="21"/>
        </w:rPr>
        <w:t xml:space="preserve">Content velocity: how quickly does content saturate? If a new piece of information reaches full ecosystem penetration in 24 hours, the first-mover window is measured in hours. If penetration takes weeks, the window is more forgiving.</w:t>
      </w:r>
    </w:p>
    <w:p>
      <w:pPr>
        <w:pStyle w:val="ListParagraph"/>
        <w:numPr>
          <w:ilvl w:val="0"/>
          <w:numId w:val="2"/>
        </w:numPr>
        <w:spacing w:after="100" w:line="276"/>
      </w:pPr>
      <w:r>
        <w:rPr>
          <w:rFonts w:ascii="Georgia" w:cs="Georgia" w:eastAsia="Georgia" w:hAnsi="Georgia"/>
          <w:color w:val="2C2C2C"/>
          <w:sz w:val="21"/>
          <w:szCs w:val="21"/>
        </w:rPr>
        <w:t xml:space="preserve">Competitive response velocity: how quickly do competitors react to new entrants? Cross-reference [T5 §4] Solution Fragility. Fast-response ecosystems require stronger moat design from day one.</w:t>
      </w:r>
    </w:p>
    <w:p>
      <w:pPr>
        <w:pStyle w:val="ListParagraph"/>
        <w:numPr>
          <w:ilvl w:val="0"/>
          <w:numId w:val="2"/>
        </w:numPr>
        <w:spacing w:after="100" w:line="276"/>
      </w:pPr>
      <w:r>
        <w:rPr>
          <w:rFonts w:ascii="Georgia" w:cs="Georgia" w:eastAsia="Georgia" w:hAnsi="Georgia"/>
          <w:color w:val="2C2C2C"/>
          <w:sz w:val="21"/>
          <w:szCs w:val="21"/>
        </w:rPr>
        <w:t xml:space="preserve">Regulatory velocity: how quickly do new regulations move from proposal to enforcement? This determines how far in advance compliance-driven products must be built. Cross-reference [EA §2] Regulatory Pressure.</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Attention Calendar must cover a full 12-month cycle with at least six specifically-dated or date-ranged windows identified. The Competing Clock Analysis must identify at least two rhythm mismatches and one synchronisation moment. The Velocity Assessment must provide a time estimate (hours, days, weeks, months) for each velocity dimension.</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7.3 Length Calibration</w:t>
      </w:r>
    </w:p>
    <w:p>
      <w:pPr>
        <w:spacing w:after="160" w:line="276"/>
        <w:jc w:val="left"/>
      </w:pPr>
      <w:r>
        <w:rPr>
          <w:rFonts w:ascii="Georgia" w:cs="Georgia" w:eastAsia="Georgia" w:hAnsi="Georgia"/>
          <w:color w:val="2C2C2C"/>
          <w:sz w:val="21"/>
          <w:szCs w:val="21"/>
        </w:rPr>
        <w:t xml:space="preserve">Target: 2,500–4,000 words. Maximum: 5,500 words. The Attention Calendar may be presented as a visual timeline or structured table appendix rather than prose if clarity is improved.</w:t>
      </w:r>
    </w:p>
    <w:p>
      <w:r>
        <w:br w:type="page"/>
      </w:r>
    </w:p>
    <w:p>
      <w:pPr>
        <w:spacing w:after="60" w:before="120"/>
      </w:pPr>
      <w:r>
        <w:rPr>
          <w:rFonts w:ascii="Georgia" w:cs="Georgia" w:eastAsia="Georgia" w:hAnsi="Georgia"/>
          <w:b/>
          <w:bCs/>
          <w:color w:val="E07A5F"/>
          <w:spacing w:val="180"/>
          <w:sz w:val="16"/>
          <w:szCs w:val="16"/>
        </w:rPr>
        <w:t xml:space="preserve">TEMPLATE 8</w:t>
      </w:r>
    </w:p>
    <w:p>
      <w:pPr>
        <w:pBdr>
          <w:bottom w:val="single" w:color="E07A5F" w:sz="4" w:space="8"/>
        </w:pBdr>
        <w:spacing w:after="60"/>
      </w:pPr>
      <w:r>
        <w:rPr>
          <w:rFonts w:ascii="Georgia" w:cs="Georgia" w:eastAsia="Georgia" w:hAnsi="Georgia"/>
          <w:b/>
          <w:bCs/>
          <w:color w:val="1B2A4A"/>
          <w:sz w:val="36"/>
          <w:szCs w:val="36"/>
        </w:rPr>
        <w:t xml:space="preserve">Risk &amp; Fragility Map</w:t>
      </w:r>
    </w:p>
    <w:p>
      <w:pPr>
        <w:spacing w:after="80" w:before="120"/>
      </w:pPr>
      <w:r>
        <w:rPr>
          <w:rFonts w:ascii="Georgia" w:cs="Georgia" w:eastAsia="Georgia" w:hAnsi="Georgia"/>
          <w:i/>
          <w:iCs/>
          <w:color w:val="3D5A80"/>
          <w:sz w:val="22"/>
          <w:szCs w:val="22"/>
        </w:rPr>
        <w:t xml:space="preserve">The vulnerabilities, breaking points, and systemic risks that could degrade or destroy the ecosystem — and the cascading consequences of each.</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Kill criteria, contingency planning, moat design, portfolio diversification, insurance strategy, T10 Entry Vector Analysis.</w:t>
      </w:r>
    </w:p>
    <w:p>
      <w:pPr>
        <w:pStyle w:val="Heading2"/>
        <w:spacing w:after="160" w:before="280"/>
      </w:pPr>
      <w:r>
        <w:rPr>
          <w:rFonts w:ascii="Georgia" w:cs="Georgia" w:eastAsia="Georgia" w:hAnsi="Georgia"/>
          <w:b/>
          <w:bCs/>
          <w:color w:val="3D5A80"/>
          <w:sz w:val="26"/>
          <w:szCs w:val="26"/>
        </w:rPr>
        <w:t xml:space="preserve">8.1 Purpose</w:t>
      </w:r>
    </w:p>
    <w:p>
      <w:pPr>
        <w:spacing w:after="160" w:line="276"/>
        <w:jc w:val="left"/>
      </w:pPr>
      <w:r>
        <w:rPr>
          <w:rFonts w:ascii="Georgia" w:cs="Georgia" w:eastAsia="Georgia" w:hAnsi="Georgia"/>
          <w:color w:val="2C2C2C"/>
          <w:sz w:val="21"/>
          <w:szCs w:val="21"/>
        </w:rPr>
        <w:t xml:space="preserve">The Ecosystem Analysis (Section 2) identifies structural forces and applies the Reversibility Test. The Risk &amp; Fragility Map goes further: it systematically catalogues every material risk, models the cascade consequences, assigns probability and severity ratings, identifies early-warning signals, and produces an explicit risk posture recommendation.</w:t>
      </w:r>
    </w:p>
    <w:p>
      <w:pPr>
        <w:pBdr>
          <w:left w:val="single" w:color="E07A5F" w:sz="12" w:space="8"/>
        </w:pBdr>
        <w:spacing w:after="200" w:before="200"/>
        <w:ind w:left="360" w:right="360"/>
      </w:pPr>
      <w:r>
        <w:rPr>
          <w:rFonts w:ascii="Georgia" w:cs="Georgia" w:eastAsia="Georgia" w:hAnsi="Georgia"/>
          <w:i/>
          <w:iCs/>
          <w:color w:val="3D5A80"/>
          <w:sz w:val="21"/>
          <w:szCs w:val="21"/>
        </w:rPr>
        <w:t xml:space="preserve">Optimism is a planning failure. Every ecosystem has breaking points. The question is not whether risks exist but whether they are mapped, monitored, and mitigated before they materialise. The Risk &amp; Fragility Map is the pre-mortem formalised.</w:t>
      </w:r>
    </w:p>
    <w:p>
      <w:pPr>
        <w:pStyle w:val="Heading2"/>
        <w:spacing w:after="160" w:before="280"/>
      </w:pPr>
      <w:r>
        <w:rPr>
          <w:rFonts w:ascii="Georgia" w:cs="Georgia" w:eastAsia="Georgia" w:hAnsi="Georgia"/>
          <w:b/>
          <w:bCs/>
          <w:color w:val="3D5A80"/>
          <w:sz w:val="26"/>
          <w:szCs w:val="26"/>
        </w:rPr>
        <w:t xml:space="preserve">8.2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Risk Taxonomy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are all the material risks to this ecosystem, classified by origin?</w:t>
      </w:r>
    </w:p>
    <w:p>
      <w:pPr>
        <w:spacing w:after="160" w:line="276"/>
        <w:jc w:val="left"/>
      </w:pPr>
      <w:r>
        <w:rPr>
          <w:rFonts w:ascii="Georgia" w:cs="Georgia" w:eastAsia="Georgia" w:hAnsi="Georgia"/>
          <w:color w:val="2C2C2C"/>
          <w:sz w:val="21"/>
          <w:szCs w:val="21"/>
        </w:rPr>
        <w:t xml:space="preserve">Catalogue every identifiable risk, classified into the following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Risk Category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Definition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Assessment Questions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Platform Risk</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ecosystem depends on one or more platforms whose decisions could restrict, reshape, or eliminate access.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Could the platform build this natively? Could it revoke API access? Could it change economics (revenue share, listing fees)? Could it be banned or regulated out of existence? [Ref: EA §2, T5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Regulatory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Existing or pending regulation could reshape participant behaviour, increase compliance costs, or criminalise current practices.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What legislation is pending? What enforcement trends are accelerating? Could a single ruling invalidate the ecosystem’s commercial model? [Ref: EA §2, T2 §2]</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Cultural Risk</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Public sentiment, media narrative, or community backlash could delegitimise the ecosystem or specific participant types.</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Is there a brewing backlash narrative? Are mainstream media covering the ecosystem negatively? Are internal community critics gaining traction? [Ref: T1 §8, T6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Technology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technology shift could render the ecosystem’s core value proposition obsolete or dramatically alter its dynamics.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Could AI replace the human participants? Could a new platform displace the current infrastructure? Could a technology failure (data breach, algorithm change) cascade systemically?</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Concentration Risk</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ecosystem depends disproportionately on a single platform, regulation, demographic, geography, or revenue stream.</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percentage of ecosystem activity flows through a single platform? A single demographic? A single revenue model? What happens if that concentration point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Economic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Macroeconomic conditions could contract the capital flowing through the ecosystem.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Is the ecosystem pro-cyclical (grows in bull markets, contracts in bear markets)? How sensitive are brand budgets to economic downturns? Do audience behaviours change under financial stress? [Ref: T9 §4]</w:t>
            </w:r>
          </w:p>
        </w:tc>
      </w:tr>
    </w:tbl>
    <w:p>
      <w:pPr>
        <w:spacing w:after="160" w:line="276"/>
        <w:jc w:val="left"/>
      </w:pPr>
      <w:r>
        <w:rPr>
          <w:rFonts w:ascii="Georgia" w:cs="Georgia" w:eastAsia="Georgia" w:hAnsi="Georgia"/>
          <w:color w:val="2C2C2C"/>
          <w:sz w:val="21"/>
          <w:szCs w:val="21"/>
        </w:rPr>
        <w:t xml:space="preserve"/>
      </w:r>
    </w:p>
    <w:p>
      <w:pPr>
        <w:spacing w:after="120" w:before="200"/>
      </w:pPr>
      <w:r>
        <w:rPr>
          <w:rFonts w:ascii="Georgia" w:cs="Georgia" w:eastAsia="Georgia" w:hAnsi="Georgia"/>
          <w:b/>
          <w:bCs/>
          <w:color w:val="1B2A4A"/>
          <w:sz w:val="22"/>
          <w:szCs w:val="22"/>
        </w:rPr>
        <w:t xml:space="preserve">Section 2: Risk Scoring Matrix</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For each identified risk, what is the probability and impact severity?</w:t>
      </w:r>
    </w:p>
    <w:p>
      <w:pPr>
        <w:spacing w:after="160" w:line="276"/>
        <w:jc w:val="left"/>
      </w:pPr>
      <w:r>
        <w:rPr>
          <w:rFonts w:ascii="Georgia" w:cs="Georgia" w:eastAsia="Georgia" w:hAnsi="Georgia"/>
          <w:color w:val="2C2C2C"/>
          <w:sz w:val="21"/>
          <w:szCs w:val="21"/>
        </w:rPr>
        <w:t xml:space="preserve">Score every risk from Section 1 on two dimensions:</w:t>
      </w:r>
    </w:p>
    <w:p>
      <w:pPr>
        <w:pStyle w:val="ListParagraph"/>
        <w:numPr>
          <w:ilvl w:val="0"/>
          <w:numId w:val="2"/>
        </w:numPr>
        <w:spacing w:after="100" w:line="276"/>
      </w:pPr>
      <w:r>
        <w:rPr>
          <w:rFonts w:ascii="Georgia" w:cs="Georgia" w:eastAsia="Georgia" w:hAnsi="Georgia"/>
          <w:b/>
          <w:bCs/>
          <w:color w:val="1B2A4A"/>
          <w:sz w:val="21"/>
          <w:szCs w:val="21"/>
        </w:rPr>
        <w:t xml:space="preserve">Probability: </w:t>
      </w:r>
      <w:r>
        <w:rPr>
          <w:rFonts w:ascii="Georgia" w:cs="Georgia" w:eastAsia="Georgia" w:hAnsi="Georgia"/>
          <w:color w:val="2C2C2C"/>
          <w:sz w:val="21"/>
          <w:szCs w:val="21"/>
        </w:rPr>
        <w:t xml:space="preserve">1 (remote, &lt;5% within 24 months), 2 (unlikely, 5–20%), 3 (possible, 20–50%), 4 (likely, 50–80%), 5 (near-certain, &gt;80%).</w:t>
      </w:r>
    </w:p>
    <w:p>
      <w:pPr>
        <w:pStyle w:val="ListParagraph"/>
        <w:numPr>
          <w:ilvl w:val="0"/>
          <w:numId w:val="2"/>
        </w:numPr>
        <w:spacing w:after="100" w:line="276"/>
      </w:pPr>
      <w:r>
        <w:rPr>
          <w:rFonts w:ascii="Georgia" w:cs="Georgia" w:eastAsia="Georgia" w:hAnsi="Georgia"/>
          <w:b/>
          <w:bCs/>
          <w:color w:val="1B2A4A"/>
          <w:sz w:val="21"/>
          <w:szCs w:val="21"/>
        </w:rPr>
        <w:t xml:space="preserve">Severity: </w:t>
      </w:r>
      <w:r>
        <w:rPr>
          <w:rFonts w:ascii="Georgia" w:cs="Georgia" w:eastAsia="Georgia" w:hAnsi="Georgia"/>
          <w:color w:val="2C2C2C"/>
          <w:sz w:val="21"/>
          <w:szCs w:val="21"/>
        </w:rPr>
        <w:t xml:space="preserve">1 (minor friction), 2 (moderate disruption, recoverable within 6 months), 3 (significant damage, recoverable within 12–24 months), 4 (severe, permanent structural change to the ecosystem), 5 (existential, ecosystem ceases to function in its current form).</w:t>
      </w:r>
    </w:p>
    <w:p>
      <w:pPr>
        <w:spacing w:after="160" w:line="276"/>
        <w:jc w:val="left"/>
      </w:pPr>
      <w:r>
        <w:rPr>
          <w:rFonts w:ascii="Georgia" w:cs="Georgia" w:eastAsia="Georgia" w:hAnsi="Georgia"/>
          <w:color w:val="2C2C2C"/>
          <w:sz w:val="21"/>
          <w:szCs w:val="21"/>
        </w:rPr>
        <w:t xml:space="preserve">Plot all risks on a Probability × Severity matrix. Risks scoring 12+ (Probability × Severity) are classified as Critical and require explicit mitigation strategies or kill-criteria integration. Risks scoring 8–11 are Elevated and require monitoring plans. Risks scoring below 8 are Noted and documented but do not require active mitigation.</w:t>
      </w:r>
    </w:p>
    <w:p>
      <w:pPr>
        <w:spacing w:after="120" w:before="200"/>
      </w:pPr>
      <w:r>
        <w:rPr>
          <w:rFonts w:ascii="Georgia" w:cs="Georgia" w:eastAsia="Georgia" w:hAnsi="Georgia"/>
          <w:b/>
          <w:bCs/>
          <w:color w:val="1B2A4A"/>
          <w:sz w:val="22"/>
          <w:szCs w:val="22"/>
        </w:rPr>
        <w:t xml:space="preserve">Section 3: Cascade Modelling</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When a risk materialises, what happens next? What secondary and tertiary consequences follow?</w:t>
      </w:r>
    </w:p>
    <w:p>
      <w:pPr>
        <w:spacing w:after="160" w:line="276"/>
        <w:jc w:val="left"/>
      </w:pPr>
      <w:r>
        <w:rPr>
          <w:rFonts w:ascii="Georgia" w:cs="Georgia" w:eastAsia="Georgia" w:hAnsi="Georgia"/>
          <w:color w:val="2C2C2C"/>
          <w:sz w:val="21"/>
          <w:szCs w:val="21"/>
        </w:rPr>
        <w:t xml:space="preserve">For every Critical and Elevated risk, map the cascade chain:</w:t>
      </w:r>
    </w:p>
    <w:p>
      <w:pPr>
        <w:pStyle w:val="ListParagraph"/>
        <w:numPr>
          <w:ilvl w:val="0"/>
          <w:numId w:val="2"/>
        </w:numPr>
        <w:spacing w:after="100" w:line="276"/>
      </w:pPr>
      <w:r>
        <w:rPr>
          <w:rFonts w:ascii="Georgia" w:cs="Georgia" w:eastAsia="Georgia" w:hAnsi="Georgia"/>
          <w:color w:val="2C2C2C"/>
          <w:sz w:val="21"/>
          <w:szCs w:val="21"/>
        </w:rPr>
        <w:t xml:space="preserve">First-order effect: the immediate consequence of the risk materialising. (e.g., Platform bans the app category → immediate loss of distribution channel.)</w:t>
      </w:r>
    </w:p>
    <w:p>
      <w:pPr>
        <w:pStyle w:val="ListParagraph"/>
        <w:numPr>
          <w:ilvl w:val="0"/>
          <w:numId w:val="2"/>
        </w:numPr>
        <w:spacing w:after="100" w:line="276"/>
      </w:pPr>
      <w:r>
        <w:rPr>
          <w:rFonts w:ascii="Georgia" w:cs="Georgia" w:eastAsia="Georgia" w:hAnsi="Georgia"/>
          <w:color w:val="2C2C2C"/>
          <w:sz w:val="21"/>
          <w:szCs w:val="21"/>
        </w:rPr>
        <w:t xml:space="preserve">Second-order effect: the consequence of the first-order effect on other participants or dynamics. (e.g., Loss of distribution → creators lose access to the tool → brands lose compliance infrastructure → enforcement risk increases for brands.)</w:t>
      </w:r>
    </w:p>
    <w:p>
      <w:pPr>
        <w:pStyle w:val="ListParagraph"/>
        <w:numPr>
          <w:ilvl w:val="0"/>
          <w:numId w:val="2"/>
        </w:numPr>
        <w:spacing w:after="100" w:line="276"/>
      </w:pPr>
      <w:r>
        <w:rPr>
          <w:rFonts w:ascii="Georgia" w:cs="Georgia" w:eastAsia="Georgia" w:hAnsi="Georgia"/>
          <w:color w:val="2C2C2C"/>
          <w:sz w:val="21"/>
          <w:szCs w:val="21"/>
        </w:rPr>
        <w:t xml:space="preserve">Third-order effect: the longer-term structural consequence. (e.g., Increased enforcement risk → brands withdraw from creator partnerships → creator revenue declines → ecosystem contracts.)</w:t>
      </w:r>
    </w:p>
    <w:p>
      <w:pPr>
        <w:pStyle w:val="ListParagraph"/>
        <w:numPr>
          <w:ilvl w:val="0"/>
          <w:numId w:val="2"/>
        </w:numPr>
        <w:spacing w:after="100" w:line="276"/>
      </w:pPr>
      <w:r>
        <w:rPr>
          <w:rFonts w:ascii="Georgia" w:cs="Georgia" w:eastAsia="Georgia" w:hAnsi="Georgia"/>
          <w:color w:val="2C2C2C"/>
          <w:sz w:val="21"/>
          <w:szCs w:val="21"/>
        </w:rPr>
        <w:t xml:space="preserve">Identify cascade breakers: points in the chain where the cascade can be interrupted by contingency action. These breakers become the basis for mitigation strategy.</w:t>
      </w:r>
    </w:p>
    <w:p>
      <w:pPr>
        <w:spacing w:after="120" w:before="200"/>
      </w:pPr>
      <w:r>
        <w:rPr>
          <w:rFonts w:ascii="Georgia" w:cs="Georgia" w:eastAsia="Georgia" w:hAnsi="Georgia"/>
          <w:b/>
          <w:bCs/>
          <w:color w:val="1B2A4A"/>
          <w:sz w:val="22"/>
          <w:szCs w:val="22"/>
        </w:rPr>
        <w:t xml:space="preserve">Section 4: Early Warning System</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observable signals indicate a risk is moving from theoretical to imminent?</w:t>
      </w:r>
    </w:p>
    <w:p>
      <w:pPr>
        <w:spacing w:after="160" w:line="276"/>
        <w:jc w:val="left"/>
      </w:pPr>
      <w:r>
        <w:rPr>
          <w:rFonts w:ascii="Georgia" w:cs="Georgia" w:eastAsia="Georgia" w:hAnsi="Georgia"/>
          <w:color w:val="2C2C2C"/>
          <w:sz w:val="21"/>
          <w:szCs w:val="21"/>
        </w:rPr>
        <w:t xml:space="preserve">For every Critical and Elevated risk, identify 2–4 leading indicators:</w:t>
      </w:r>
    </w:p>
    <w:p>
      <w:pPr>
        <w:pStyle w:val="ListParagraph"/>
        <w:numPr>
          <w:ilvl w:val="0"/>
          <w:numId w:val="2"/>
        </w:numPr>
        <w:spacing w:after="100" w:line="276"/>
      </w:pPr>
      <w:r>
        <w:rPr>
          <w:rFonts w:ascii="Georgia" w:cs="Georgia" w:eastAsia="Georgia" w:hAnsi="Georgia"/>
          <w:color w:val="2C2C2C"/>
          <w:sz w:val="21"/>
          <w:szCs w:val="21"/>
        </w:rPr>
        <w:t xml:space="preserve">What would you see in the ecosystem 3–6 months before this risk materialises?</w:t>
      </w:r>
    </w:p>
    <w:p>
      <w:pPr>
        <w:pStyle w:val="ListParagraph"/>
        <w:numPr>
          <w:ilvl w:val="0"/>
          <w:numId w:val="2"/>
        </w:numPr>
        <w:spacing w:after="100" w:line="276"/>
      </w:pPr>
      <w:r>
        <w:rPr>
          <w:rFonts w:ascii="Georgia" w:cs="Georgia" w:eastAsia="Georgia" w:hAnsi="Georgia"/>
          <w:color w:val="2C2C2C"/>
          <w:sz w:val="21"/>
          <w:szCs w:val="21"/>
        </w:rPr>
        <w:t xml:space="preserve">Where would the signal appear? (Platform changelog, regulatory docket, community sentiment, competitive activity, media coverage, financial data.)</w:t>
      </w:r>
    </w:p>
    <w:p>
      <w:pPr>
        <w:pStyle w:val="ListParagraph"/>
        <w:numPr>
          <w:ilvl w:val="0"/>
          <w:numId w:val="2"/>
        </w:numPr>
        <w:spacing w:after="100" w:line="276"/>
      </w:pPr>
      <w:r>
        <w:rPr>
          <w:rFonts w:ascii="Georgia" w:cs="Georgia" w:eastAsia="Georgia" w:hAnsi="Georgia"/>
          <w:color w:val="2C2C2C"/>
          <w:sz w:val="21"/>
          <w:szCs w:val="21"/>
        </w:rPr>
        <w:t xml:space="preserve">How frequently should this signal be monitored? (Daily, weekly, monthly, quarterly.) Cross-reference [T7 §1] Rhythm Stack for appropriate monitoring cadences.</w:t>
      </w:r>
    </w:p>
    <w:p>
      <w:pPr>
        <w:pStyle w:val="ListParagraph"/>
        <w:numPr>
          <w:ilvl w:val="0"/>
          <w:numId w:val="2"/>
        </w:numPr>
        <w:spacing w:after="100" w:line="276"/>
      </w:pPr>
      <w:r>
        <w:rPr>
          <w:rFonts w:ascii="Georgia" w:cs="Georgia" w:eastAsia="Georgia" w:hAnsi="Georgia"/>
          <w:color w:val="2C2C2C"/>
          <w:sz w:val="21"/>
          <w:szCs w:val="21"/>
        </w:rPr>
        <w:t xml:space="preserve">What threshold triggers escalation from monitoring to active response?</w:t>
      </w:r>
    </w:p>
    <w:p>
      <w:pPr>
        <w:spacing w:after="120" w:before="200"/>
      </w:pPr>
      <w:r>
        <w:rPr>
          <w:rFonts w:ascii="Georgia" w:cs="Georgia" w:eastAsia="Georgia" w:hAnsi="Georgia"/>
          <w:b/>
          <w:bCs/>
          <w:color w:val="1B2A4A"/>
          <w:sz w:val="22"/>
          <w:szCs w:val="22"/>
        </w:rPr>
        <w:t xml:space="preserve">Section 5: Risk Posture Recommendation</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Given the full risk profile, what is the recommended strategic posture?</w:t>
      </w:r>
    </w:p>
    <w:p>
      <w:pPr>
        <w:spacing w:after="160" w:line="276"/>
        <w:jc w:val="left"/>
      </w:pPr>
      <w:r>
        <w:rPr>
          <w:rFonts w:ascii="Georgia" w:cs="Georgia" w:eastAsia="Georgia" w:hAnsi="Georgia"/>
          <w:color w:val="2C2C2C"/>
          <w:sz w:val="21"/>
          <w:szCs w:val="21"/>
        </w:rPr>
        <w:t xml:space="preserve">Synthesise the preceding sections into one of four posture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Posture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Definition and Conditions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Aggressive</w:t>
            </w:r>
          </w:p>
        </w:tc>
        <w:tc>
          <w:tcPr>
            <w:tcW w:type="dxa" w:w="7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No Critical risks with probability &gt;3. The ecosystem’s structural forces are durable, the risk surface is manageable, and the upside substantially outweighs the downside. Proceed with full resource commitment.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Calculated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1–2 Critical risks exist but have identifiable cascade breakers and monitorable early warning signals. Proceed with resource commitment but build explicit contingency plans and monitoring cadences for each Critical risk.</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Cautious</w:t>
            </w:r>
          </w:p>
        </w:tc>
        <w:tc>
          <w:tcPr>
            <w:tcW w:type="dxa" w:w="7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3+ Critical risks exist, or a single risk scores 20+ (Probability × Severity). Proceed only with minimal resource commitment. Validate demand before significant build investment. Maintain ability to exit quickly.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Defensive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risk scoring 25 (Probability 5 × Severity 5) exists — a near-certain existential threat. Do not enter this ecosystem with primary resources. Monitor for risk reduction. Consider only if the opportunity survives the risk’s resolution.</w:t>
            </w:r>
          </w:p>
        </w:tc>
      </w:tr>
    </w:tbl>
    <w:p>
      <w:pPr>
        <w:spacing w:after="160" w:line="276"/>
        <w:jc w:val="left"/>
      </w:pPr>
      <w:r>
        <w:rPr>
          <w:rFonts w:ascii="Georgia" w:cs="Georgia" w:eastAsia="Georgia" w:hAnsi="Georgia"/>
          <w:color w:val="2C2C2C"/>
          <w:sz w:val="21"/>
          <w:szCs w:val="21"/>
        </w:rPr>
        <w:t xml:space="preserve"/>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Risk Taxonomy must identify a minimum of eight distinct risks across at least four categories. Every Critical risk must have a complete cascade model (3 orders) and an Early Warning System (2+ leading indicators). The Risk Posture Recommendation must be stated as one of the four defined postures with explicit reasoning.</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8.3 Length Calibration</w:t>
      </w:r>
    </w:p>
    <w:p>
      <w:pPr>
        <w:spacing w:after="160" w:line="276"/>
        <w:jc w:val="left"/>
      </w:pPr>
      <w:r>
        <w:rPr>
          <w:rFonts w:ascii="Georgia" w:cs="Georgia" w:eastAsia="Georgia" w:hAnsi="Georgia"/>
          <w:color w:val="2C2C2C"/>
          <w:sz w:val="21"/>
          <w:szCs w:val="21"/>
        </w:rPr>
        <w:t xml:space="preserve">Target: 3,500–5,500 words. Maximum: 7,500 words. Cascade models for Critical risks may be presented as structured diagrams or flow tables if clarity is improved.</w:t>
      </w:r>
    </w:p>
    <w:p>
      <w:r>
        <w:br w:type="page"/>
      </w:r>
    </w:p>
    <w:p>
      <w:pPr>
        <w:spacing w:after="60" w:before="120"/>
      </w:pPr>
      <w:r>
        <w:rPr>
          <w:rFonts w:ascii="Georgia" w:cs="Georgia" w:eastAsia="Georgia" w:hAnsi="Georgia"/>
          <w:b/>
          <w:bCs/>
          <w:color w:val="E07A5F"/>
          <w:spacing w:val="180"/>
          <w:sz w:val="16"/>
          <w:szCs w:val="16"/>
        </w:rPr>
        <w:t xml:space="preserve">TEMPLATE 9</w:t>
      </w:r>
    </w:p>
    <w:p>
      <w:pPr>
        <w:pBdr>
          <w:bottom w:val="single" w:color="E07A5F" w:sz="4" w:space="8"/>
        </w:pBdr>
        <w:spacing w:after="60"/>
      </w:pPr>
      <w:r>
        <w:rPr>
          <w:rFonts w:ascii="Georgia" w:cs="Georgia" w:eastAsia="Georgia" w:hAnsi="Georgia"/>
          <w:b/>
          <w:bCs/>
          <w:color w:val="1B2A4A"/>
          <w:sz w:val="36"/>
          <w:szCs w:val="36"/>
        </w:rPr>
        <w:t xml:space="preserve">Capital Flow Atlas</w:t>
      </w:r>
    </w:p>
    <w:p>
      <w:pPr>
        <w:spacing w:after="80" w:before="120"/>
      </w:pPr>
      <w:r>
        <w:rPr>
          <w:rFonts w:ascii="Georgia" w:cs="Georgia" w:eastAsia="Georgia" w:hAnsi="Georgia"/>
          <w:i/>
          <w:iCs/>
          <w:color w:val="3D5A80"/>
          <w:sz w:val="22"/>
          <w:szCs w:val="22"/>
        </w:rPr>
        <w:t xml:space="preserve">A granular map of how money enters, moves through, accumulates, and exits the ecosystem — and where margin concentrates.</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Business model selection, pricing strategy, revenue architecture, partnership economics, T10 Entry Vector Analysis.</w:t>
      </w:r>
    </w:p>
    <w:p>
      <w:pPr>
        <w:pStyle w:val="Heading2"/>
        <w:spacing w:after="160" w:before="280"/>
      </w:pPr>
      <w:r>
        <w:rPr>
          <w:rFonts w:ascii="Georgia" w:cs="Georgia" w:eastAsia="Georgia" w:hAnsi="Georgia"/>
          <w:b/>
          <w:bCs/>
          <w:color w:val="3D5A80"/>
          <w:sz w:val="26"/>
          <w:szCs w:val="26"/>
        </w:rPr>
        <w:t xml:space="preserve">9.1 Purpose</w:t>
      </w:r>
    </w:p>
    <w:p>
      <w:pPr>
        <w:spacing w:after="160" w:line="276"/>
        <w:jc w:val="left"/>
      </w:pPr>
      <w:r>
        <w:rPr>
          <w:rFonts w:ascii="Georgia" w:cs="Georgia" w:eastAsia="Georgia" w:hAnsi="Georgia"/>
          <w:color w:val="2C2C2C"/>
          <w:sz w:val="21"/>
          <w:szCs w:val="21"/>
        </w:rPr>
        <w:t xml:space="preserve">The Ecosystem Analysis (Section 4) identifies business levers at a structural level. The Capital Flow Atlas goes beneath the levers to trace every identifiable revenue stream, cost centre, margin pool, toll bridge, and capital leak within the ecosystem. The output is a financial anatomy that reveals not just where money is, but where it wants to go and what prevents it from getting there.</w:t>
      </w:r>
    </w:p>
    <w:p>
      <w:pPr>
        <w:pBdr>
          <w:left w:val="single" w:color="E07A5F" w:sz="12" w:space="8"/>
        </w:pBdr>
        <w:spacing w:after="200" w:before="200"/>
        <w:ind w:left="360" w:right="360"/>
      </w:pPr>
      <w:r>
        <w:rPr>
          <w:rFonts w:ascii="Georgia" w:cs="Georgia" w:eastAsia="Georgia" w:hAnsi="Georgia"/>
          <w:i/>
          <w:iCs/>
          <w:color w:val="3D5A80"/>
          <w:sz w:val="21"/>
          <w:szCs w:val="21"/>
        </w:rPr>
        <w:t xml:space="preserve">You do not create demand for infrastructure. You insert it into the path of existing capital flows. The Capital Flow Atlas shows you where the money is already moving — and where friction slows it down. The friction points are the commercial surface.</w:t>
      </w:r>
    </w:p>
    <w:p>
      <w:pPr>
        <w:pStyle w:val="Heading2"/>
        <w:spacing w:after="160" w:before="280"/>
      </w:pPr>
      <w:r>
        <w:rPr>
          <w:rFonts w:ascii="Georgia" w:cs="Georgia" w:eastAsia="Georgia" w:hAnsi="Georgia"/>
          <w:b/>
          <w:bCs/>
          <w:color w:val="3D5A80"/>
          <w:sz w:val="26"/>
          <w:szCs w:val="26"/>
        </w:rPr>
        <w:t xml:space="preserve">9.2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Capital Entry Points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Where does money enter the ecosystem, from whom, and in what form?</w:t>
      </w:r>
    </w:p>
    <w:p>
      <w:pPr>
        <w:spacing w:after="160" w:line="276"/>
        <w:jc w:val="left"/>
      </w:pPr>
      <w:r>
        <w:rPr>
          <w:rFonts w:ascii="Georgia" w:cs="Georgia" w:eastAsia="Georgia" w:hAnsi="Georgia"/>
          <w:color w:val="2C2C2C"/>
          <w:sz w:val="21"/>
          <w:szCs w:val="21"/>
        </w:rPr>
        <w:t xml:space="preserve">Catalogue every source of capital that enters the ecosystem. For each entry point:</w:t>
      </w:r>
    </w:p>
    <w:p>
      <w:pPr>
        <w:pStyle w:val="ListParagraph"/>
        <w:numPr>
          <w:ilvl w:val="0"/>
          <w:numId w:val="2"/>
        </w:numPr>
        <w:spacing w:after="100" w:line="276"/>
      </w:pPr>
      <w:r>
        <w:rPr>
          <w:rFonts w:ascii="Georgia" w:cs="Georgia" w:eastAsia="Georgia" w:hAnsi="Georgia"/>
          <w:color w:val="2C2C2C"/>
          <w:sz w:val="21"/>
          <w:szCs w:val="21"/>
        </w:rPr>
        <w:t xml:space="preserve">Source: who or what entity injects capital? (Brands, platforms, audiences, investors, advertisers, institutions.)</w:t>
      </w:r>
    </w:p>
    <w:p>
      <w:pPr>
        <w:pStyle w:val="ListParagraph"/>
        <w:numPr>
          <w:ilvl w:val="0"/>
          <w:numId w:val="2"/>
        </w:numPr>
        <w:spacing w:after="100" w:line="276"/>
      </w:pPr>
      <w:r>
        <w:rPr>
          <w:rFonts w:ascii="Georgia" w:cs="Georgia" w:eastAsia="Georgia" w:hAnsi="Georgia"/>
          <w:color w:val="2C2C2C"/>
          <w:sz w:val="21"/>
          <w:szCs w:val="21"/>
        </w:rPr>
        <w:t xml:space="preserve">Volume: estimated annual capital entering through this source. Use ranges where exact data is unavailable, and flag as assumption.</w:t>
      </w:r>
    </w:p>
    <w:p>
      <w:pPr>
        <w:pStyle w:val="ListParagraph"/>
        <w:numPr>
          <w:ilvl w:val="0"/>
          <w:numId w:val="2"/>
        </w:numPr>
        <w:spacing w:after="100" w:line="276"/>
      </w:pPr>
      <w:r>
        <w:rPr>
          <w:rFonts w:ascii="Georgia" w:cs="Georgia" w:eastAsia="Georgia" w:hAnsi="Georgia"/>
          <w:color w:val="2C2C2C"/>
          <w:sz w:val="21"/>
          <w:szCs w:val="21"/>
        </w:rPr>
        <w:t xml:space="preserve">Form: how does the capital arrive? (Direct sponsorship payments, affiliate commissions, subscription fees, advertising revenue share, course purchases, platform grants, venture funding.)</w:t>
      </w:r>
    </w:p>
    <w:p>
      <w:pPr>
        <w:pStyle w:val="ListParagraph"/>
        <w:numPr>
          <w:ilvl w:val="0"/>
          <w:numId w:val="2"/>
        </w:numPr>
        <w:spacing w:after="100" w:line="276"/>
      </w:pPr>
      <w:r>
        <w:rPr>
          <w:rFonts w:ascii="Georgia" w:cs="Georgia" w:eastAsia="Georgia" w:hAnsi="Georgia"/>
          <w:color w:val="2C2C2C"/>
          <w:sz w:val="21"/>
          <w:szCs w:val="21"/>
        </w:rPr>
        <w:t xml:space="preserve">Trajectory: is this entry point growing, stable, or contracting? At what rate? Cross-reference [EA §2] structural forces for underlying drivers.</w:t>
      </w:r>
    </w:p>
    <w:p>
      <w:pPr>
        <w:pStyle w:val="ListParagraph"/>
        <w:numPr>
          <w:ilvl w:val="0"/>
          <w:numId w:val="2"/>
        </w:numPr>
        <w:spacing w:after="100" w:line="276"/>
      </w:pPr>
      <w:r>
        <w:rPr>
          <w:rFonts w:ascii="Georgia" w:cs="Georgia" w:eastAsia="Georgia" w:hAnsi="Georgia"/>
          <w:color w:val="2C2C2C"/>
          <w:sz w:val="21"/>
          <w:szCs w:val="21"/>
        </w:rPr>
        <w:t xml:space="preserve">Conditionality: what must be true for this capital to continue flowing? (Brand budgets depend on ROI. Affiliate commissions depend on conversion rates. Platform revenue share depends on policy continuity.)</w:t>
      </w:r>
    </w:p>
    <w:p>
      <w:pPr>
        <w:spacing w:after="120" w:before="200"/>
      </w:pPr>
      <w:r>
        <w:rPr>
          <w:rFonts w:ascii="Georgia" w:cs="Georgia" w:eastAsia="Georgia" w:hAnsi="Georgia"/>
          <w:b/>
          <w:bCs/>
          <w:color w:val="1B2A4A"/>
          <w:sz w:val="22"/>
          <w:szCs w:val="22"/>
        </w:rPr>
        <w:t xml:space="preserve">Section 2: Flow Architecture</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does capital move between participants once it enters the ecosystem?</w:t>
      </w:r>
    </w:p>
    <w:p>
      <w:pPr>
        <w:spacing w:after="160" w:line="276"/>
        <w:jc w:val="left"/>
      </w:pPr>
      <w:r>
        <w:rPr>
          <w:rFonts w:ascii="Georgia" w:cs="Georgia" w:eastAsia="Georgia" w:hAnsi="Georgia"/>
          <w:color w:val="2C2C2C"/>
          <w:sz w:val="21"/>
          <w:szCs w:val="21"/>
        </w:rPr>
        <w:t xml:space="preserve">Map the capital flows as a directed network. For each flow:</w:t>
      </w:r>
    </w:p>
    <w:p>
      <w:pPr>
        <w:pStyle w:val="ListParagraph"/>
        <w:numPr>
          <w:ilvl w:val="0"/>
          <w:numId w:val="2"/>
        </w:numPr>
        <w:spacing w:after="100" w:line="276"/>
      </w:pPr>
      <w:r>
        <w:rPr>
          <w:rFonts w:ascii="Georgia" w:cs="Georgia" w:eastAsia="Georgia" w:hAnsi="Georgia"/>
          <w:color w:val="2C2C2C"/>
          <w:sz w:val="21"/>
          <w:szCs w:val="21"/>
        </w:rPr>
        <w:t xml:space="preserve">Source participant and destination participant.</w:t>
      </w:r>
    </w:p>
    <w:p>
      <w:pPr>
        <w:pStyle w:val="ListParagraph"/>
        <w:numPr>
          <w:ilvl w:val="0"/>
          <w:numId w:val="2"/>
        </w:numPr>
        <w:spacing w:after="100" w:line="276"/>
      </w:pPr>
      <w:r>
        <w:rPr>
          <w:rFonts w:ascii="Georgia" w:cs="Georgia" w:eastAsia="Georgia" w:hAnsi="Georgia"/>
          <w:color w:val="2C2C2C"/>
          <w:sz w:val="21"/>
          <w:szCs w:val="21"/>
        </w:rPr>
        <w:t xml:space="preserve">Flow mechanism: how does the money move? (Direct payment, revenue share, commission, subscription, transaction fee, ad revenue split.)</w:t>
      </w:r>
    </w:p>
    <w:p>
      <w:pPr>
        <w:pStyle w:val="ListParagraph"/>
        <w:numPr>
          <w:ilvl w:val="0"/>
          <w:numId w:val="2"/>
        </w:numPr>
        <w:spacing w:after="100" w:line="276"/>
      </w:pPr>
      <w:r>
        <w:rPr>
          <w:rFonts w:ascii="Georgia" w:cs="Georgia" w:eastAsia="Georgia" w:hAnsi="Georgia"/>
          <w:color w:val="2C2C2C"/>
          <w:sz w:val="21"/>
          <w:szCs w:val="21"/>
        </w:rPr>
        <w:t xml:space="preserve">Flow volume: estimated annual volume. Use ranges.</w:t>
      </w:r>
    </w:p>
    <w:p>
      <w:pPr>
        <w:pStyle w:val="ListParagraph"/>
        <w:numPr>
          <w:ilvl w:val="0"/>
          <w:numId w:val="2"/>
        </w:numPr>
        <w:spacing w:after="100" w:line="276"/>
      </w:pPr>
      <w:r>
        <w:rPr>
          <w:rFonts w:ascii="Georgia" w:cs="Georgia" w:eastAsia="Georgia" w:hAnsi="Georgia"/>
          <w:color w:val="2C2C2C"/>
          <w:sz w:val="21"/>
          <w:szCs w:val="21"/>
        </w:rPr>
        <w:t xml:space="preserve">Flow friction: what slows, taxes, or blocks the flow? (Platform take rates, payment processing fees, tax obligations, administrative overhead, attribution failures.)</w:t>
      </w:r>
    </w:p>
    <w:p>
      <w:pPr>
        <w:pStyle w:val="ListParagraph"/>
        <w:numPr>
          <w:ilvl w:val="0"/>
          <w:numId w:val="2"/>
        </w:numPr>
        <w:spacing w:after="100" w:line="276"/>
      </w:pPr>
      <w:r>
        <w:rPr>
          <w:rFonts w:ascii="Georgia" w:cs="Georgia" w:eastAsia="Georgia" w:hAnsi="Georgia"/>
          <w:color w:val="2C2C2C"/>
          <w:sz w:val="21"/>
          <w:szCs w:val="21"/>
        </w:rPr>
        <w:t xml:space="preserve">Flow dependencies: what infrastructure must exist for this flow to function? (Attribution tracking, payment processing, contract management, compliance verification.)</w:t>
      </w:r>
    </w:p>
    <w:p>
      <w:pPr>
        <w:spacing w:after="160" w:line="276"/>
        <w:jc w:val="left"/>
      </w:pPr>
      <w:r>
        <w:rPr>
          <w:rFonts w:ascii="Georgia" w:cs="Georgia" w:eastAsia="Georgia" w:hAnsi="Georgia"/>
          <w:color w:val="2C2C2C"/>
          <w:sz w:val="21"/>
          <w:szCs w:val="21"/>
        </w:rPr>
        <w:t xml:space="preserve">Identify the toll bridges: entities that extract a margin from capital as it passes through. Platforms taking 30% revenue share. Payment processors taking 2.9% + $0.30. Affiliate networks taking management fees. These toll bridges constrain the margin available to other participants.</w:t>
      </w:r>
    </w:p>
    <w:p>
      <w:pPr>
        <w:spacing w:after="120" w:before="200"/>
      </w:pPr>
      <w:r>
        <w:rPr>
          <w:rFonts w:ascii="Georgia" w:cs="Georgia" w:eastAsia="Georgia" w:hAnsi="Georgia"/>
          <w:b/>
          <w:bCs/>
          <w:color w:val="1B2A4A"/>
          <w:sz w:val="22"/>
          <w:szCs w:val="22"/>
        </w:rPr>
        <w:t xml:space="preserve">Section 3: Margin Pool Identification</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Where does capital accumulate, and who captures the highest margins?</w:t>
      </w:r>
    </w:p>
    <w:p>
      <w:pPr>
        <w:pStyle w:val="ListParagraph"/>
        <w:numPr>
          <w:ilvl w:val="0"/>
          <w:numId w:val="2"/>
        </w:numPr>
        <w:spacing w:after="100" w:line="276"/>
      </w:pPr>
      <w:r>
        <w:rPr>
          <w:rFonts w:ascii="Georgia" w:cs="Georgia" w:eastAsia="Georgia" w:hAnsi="Georgia"/>
          <w:color w:val="2C2C2C"/>
          <w:sz w:val="21"/>
          <w:szCs w:val="21"/>
        </w:rPr>
        <w:t xml:space="preserve">Identify the margin pools: points in the flow architecture where capital accumulates and margins are healthy. For each: who controls the pool, what is the estimated margin percentage, and what protects it? Cross-reference [T5 §3] Price Boundary Analysis for pricing data.</w:t>
      </w:r>
    </w:p>
    <w:p>
      <w:pPr>
        <w:pStyle w:val="ListParagraph"/>
        <w:numPr>
          <w:ilvl w:val="0"/>
          <w:numId w:val="2"/>
        </w:numPr>
        <w:spacing w:after="100" w:line="276"/>
      </w:pPr>
      <w:r>
        <w:rPr>
          <w:rFonts w:ascii="Georgia" w:cs="Georgia" w:eastAsia="Georgia" w:hAnsi="Georgia"/>
          <w:color w:val="2C2C2C"/>
          <w:sz w:val="21"/>
          <w:szCs w:val="21"/>
        </w:rPr>
        <w:t xml:space="preserve">Identify margin compression zones: areas where margins are being squeezed by competition, platform take-rate increases, or participant price sensitivity. These zones are vulnerable — and either represent opportunities for more efficient solutions or areas to avoid.</w:t>
      </w:r>
    </w:p>
    <w:p>
      <w:pPr>
        <w:pStyle w:val="ListParagraph"/>
        <w:numPr>
          <w:ilvl w:val="0"/>
          <w:numId w:val="2"/>
        </w:numPr>
        <w:spacing w:after="100" w:line="276"/>
      </w:pPr>
      <w:r>
        <w:rPr>
          <w:rFonts w:ascii="Georgia" w:cs="Georgia" w:eastAsia="Georgia" w:hAnsi="Georgia"/>
          <w:color w:val="2C2C2C"/>
          <w:sz w:val="21"/>
          <w:szCs w:val="21"/>
        </w:rPr>
        <w:t xml:space="preserve">Identify margin creation opportunities: flows where friction is so high that a significant portion of capital is lost to inefficiency. Reducing this friction captures a share of the recovered capital as margin. Cross-reference [EA §6] Interface Map for friction-interface overlap.</w:t>
      </w:r>
    </w:p>
    <w:p>
      <w:pPr>
        <w:spacing w:after="120" w:before="200"/>
      </w:pPr>
      <w:r>
        <w:rPr>
          <w:rFonts w:ascii="Georgia" w:cs="Georgia" w:eastAsia="Georgia" w:hAnsi="Georgia"/>
          <w:b/>
          <w:bCs/>
          <w:color w:val="1B2A4A"/>
          <w:sz w:val="22"/>
          <w:szCs w:val="22"/>
        </w:rPr>
        <w:t xml:space="preserve">Section 4: Capital Leak Analysis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Where is money being lost, wasted, or left uncaptured?</w:t>
      </w:r>
    </w:p>
    <w:p>
      <w:pPr>
        <w:spacing w:after="160" w:line="276"/>
        <w:jc w:val="left"/>
      </w:pPr>
      <w:r>
        <w:rPr>
          <w:rFonts w:ascii="Georgia" w:cs="Georgia" w:eastAsia="Georgia" w:hAnsi="Georgia"/>
          <w:color w:val="2C2C2C"/>
          <w:sz w:val="21"/>
          <w:szCs w:val="21"/>
        </w:rPr>
        <w:t xml:space="preserve">Every ecosystem leaks capital. Common leak patterns:</w:t>
      </w:r>
    </w:p>
    <w:p>
      <w:pPr>
        <w:pStyle w:val="ListParagraph"/>
        <w:numPr>
          <w:ilvl w:val="0"/>
          <w:numId w:val="2"/>
        </w:numPr>
        <w:spacing w:after="100" w:line="276"/>
      </w:pPr>
      <w:r>
        <w:rPr>
          <w:rFonts w:ascii="Georgia" w:cs="Georgia" w:eastAsia="Georgia" w:hAnsi="Georgia"/>
          <w:b/>
          <w:bCs/>
          <w:color w:val="1B2A4A"/>
          <w:sz w:val="21"/>
          <w:szCs w:val="21"/>
        </w:rPr>
        <w:t xml:space="preserve">Attribution leaks: </w:t>
      </w:r>
      <w:r>
        <w:rPr>
          <w:rFonts w:ascii="Georgia" w:cs="Georgia" w:eastAsia="Georgia" w:hAnsi="Georgia"/>
          <w:color w:val="2C2C2C"/>
          <w:sz w:val="21"/>
          <w:szCs w:val="21"/>
        </w:rPr>
        <w:t xml:space="preserve">Capital that should flow from brands to creators but does not because attribution is broken. The brand cannot verify which creator drove the conversion, so the commission is not paid or is paid to the wrong creator.</w:t>
      </w:r>
    </w:p>
    <w:p>
      <w:pPr>
        <w:pStyle w:val="ListParagraph"/>
        <w:numPr>
          <w:ilvl w:val="0"/>
          <w:numId w:val="2"/>
        </w:numPr>
        <w:spacing w:after="100" w:line="276"/>
      </w:pPr>
      <w:r>
        <w:rPr>
          <w:rFonts w:ascii="Georgia" w:cs="Georgia" w:eastAsia="Georgia" w:hAnsi="Georgia"/>
          <w:b/>
          <w:bCs/>
          <w:color w:val="1B2A4A"/>
          <w:sz w:val="21"/>
          <w:szCs w:val="21"/>
        </w:rPr>
        <w:t xml:space="preserve">Compliance leaks: </w:t>
      </w:r>
      <w:r>
        <w:rPr>
          <w:rFonts w:ascii="Georgia" w:cs="Georgia" w:eastAsia="Georgia" w:hAnsi="Georgia"/>
          <w:color w:val="2C2C2C"/>
          <w:sz w:val="21"/>
          <w:szCs w:val="21"/>
        </w:rPr>
        <w:t xml:space="preserve">Capital lost to regulatory penalties, legal fees, or campaign shutdowns due to compliance failures. These are entirely preventable costs.</w:t>
      </w:r>
    </w:p>
    <w:p>
      <w:pPr>
        <w:pStyle w:val="ListParagraph"/>
        <w:numPr>
          <w:ilvl w:val="0"/>
          <w:numId w:val="2"/>
        </w:numPr>
        <w:spacing w:after="100" w:line="276"/>
      </w:pPr>
      <w:r>
        <w:rPr>
          <w:rFonts w:ascii="Georgia" w:cs="Georgia" w:eastAsia="Georgia" w:hAnsi="Georgia"/>
          <w:b/>
          <w:bCs/>
          <w:color w:val="1B2A4A"/>
          <w:sz w:val="21"/>
          <w:szCs w:val="21"/>
        </w:rPr>
        <w:t xml:space="preserve">Fragmentation leaks: </w:t>
      </w:r>
      <w:r>
        <w:rPr>
          <w:rFonts w:ascii="Georgia" w:cs="Georgia" w:eastAsia="Georgia" w:hAnsi="Georgia"/>
          <w:color w:val="2C2C2C"/>
          <w:sz w:val="21"/>
          <w:szCs w:val="21"/>
        </w:rPr>
        <w:t xml:space="preserve">Revenue left uncaptured because the participant manages multiple disconnected revenue streams and cannot optimise across them. The effort cost of managing a low-performing affiliate relationship exceeds the revenue it generates, so it is abandoned.</w:t>
      </w:r>
    </w:p>
    <w:p>
      <w:pPr>
        <w:pStyle w:val="ListParagraph"/>
        <w:numPr>
          <w:ilvl w:val="0"/>
          <w:numId w:val="2"/>
        </w:numPr>
        <w:spacing w:after="100" w:line="276"/>
      </w:pPr>
      <w:r>
        <w:rPr>
          <w:rFonts w:ascii="Georgia" w:cs="Georgia" w:eastAsia="Georgia" w:hAnsi="Georgia"/>
          <w:b/>
          <w:bCs/>
          <w:color w:val="1B2A4A"/>
          <w:sz w:val="21"/>
          <w:szCs w:val="21"/>
        </w:rPr>
        <w:t xml:space="preserve">Timing leaks: </w:t>
      </w:r>
      <w:r>
        <w:rPr>
          <w:rFonts w:ascii="Georgia" w:cs="Georgia" w:eastAsia="Georgia" w:hAnsi="Georgia"/>
          <w:color w:val="2C2C2C"/>
          <w:sz w:val="21"/>
          <w:szCs w:val="21"/>
        </w:rPr>
        <w:t xml:space="preserve">Revenue lost because the participant acted at the wrong time — launched during a dormant period, priced during a budget freeze, expanded during a downturn. Cross-reference [T7 §2] Attention Calendar.</w:t>
      </w:r>
    </w:p>
    <w:p>
      <w:pPr>
        <w:pStyle w:val="ListParagraph"/>
        <w:numPr>
          <w:ilvl w:val="0"/>
          <w:numId w:val="2"/>
        </w:numPr>
        <w:spacing w:after="100" w:line="276"/>
      </w:pPr>
      <w:r>
        <w:rPr>
          <w:rFonts w:ascii="Georgia" w:cs="Georgia" w:eastAsia="Georgia" w:hAnsi="Georgia"/>
          <w:b/>
          <w:bCs/>
          <w:color w:val="1B2A4A"/>
          <w:sz w:val="21"/>
          <w:szCs w:val="21"/>
        </w:rPr>
        <w:t xml:space="preserve">Trust leaks: </w:t>
      </w:r>
      <w:r>
        <w:rPr>
          <w:rFonts w:ascii="Georgia" w:cs="Georgia" w:eastAsia="Georgia" w:hAnsi="Georgia"/>
          <w:color w:val="2C2C2C"/>
          <w:sz w:val="21"/>
          <w:szCs w:val="21"/>
        </w:rPr>
        <w:t xml:space="preserve">Conversions lost because trust was insufficient at the point of decision. The capital existed, the intent existed, but the trust infrastructure did not. Cross-reference [T6 §3] Minimum Viable Trust.</w:t>
      </w:r>
    </w:p>
    <w:p>
      <w:pPr>
        <w:spacing w:after="160" w:line="276"/>
        <w:jc w:val="left"/>
      </w:pPr>
      <w:r>
        <w:rPr>
          <w:rFonts w:ascii="Georgia" w:cs="Georgia" w:eastAsia="Georgia" w:hAnsi="Georgia"/>
          <w:color w:val="2C2C2C"/>
          <w:sz w:val="21"/>
          <w:szCs w:val="21"/>
        </w:rPr>
        <w:t xml:space="preserve">For each identified leak: estimate the annual capital lost, identify the root cause, and assess whether the leak is addressable (infrastructure can fix it) or structural (inherent to the ecosystem’s design).</w:t>
      </w:r>
    </w:p>
    <w:p>
      <w:pPr>
        <w:spacing w:after="120" w:before="200"/>
      </w:pPr>
      <w:r>
        <w:rPr>
          <w:rFonts w:ascii="Georgia" w:cs="Georgia" w:eastAsia="Georgia" w:hAnsi="Georgia"/>
          <w:b/>
          <w:bCs/>
          <w:color w:val="1B2A4A"/>
          <w:sz w:val="22"/>
          <w:szCs w:val="22"/>
        </w:rPr>
        <w:t xml:space="preserve">Section 5: Capital Flow Synthesis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Given the full capital anatomy, where should a new entrant position itself within the flow architecture?</w:t>
      </w:r>
    </w:p>
    <w:p>
      <w:pPr>
        <w:pStyle w:val="ListParagraph"/>
        <w:numPr>
          <w:ilvl w:val="0"/>
          <w:numId w:val="2"/>
        </w:numPr>
        <w:spacing w:after="100" w:line="276"/>
      </w:pPr>
      <w:r>
        <w:rPr>
          <w:rFonts w:ascii="Georgia" w:cs="Georgia" w:eastAsia="Georgia" w:hAnsi="Georgia"/>
          <w:color w:val="2C2C2C"/>
          <w:sz w:val="21"/>
          <w:szCs w:val="21"/>
        </w:rPr>
        <w:t xml:space="preserve">Identify the optimal insertion points: positions in the flow architecture where a new entity captures margin from existing capital movement without requiring new capital to enter the ecosystem.</w:t>
      </w:r>
    </w:p>
    <w:p>
      <w:pPr>
        <w:pStyle w:val="ListParagraph"/>
        <w:numPr>
          <w:ilvl w:val="0"/>
          <w:numId w:val="2"/>
        </w:numPr>
        <w:spacing w:after="100" w:line="276"/>
      </w:pPr>
      <w:r>
        <w:rPr>
          <w:rFonts w:ascii="Georgia" w:cs="Georgia" w:eastAsia="Georgia" w:hAnsi="Georgia"/>
          <w:color w:val="2C2C2C"/>
          <w:sz w:val="21"/>
          <w:szCs w:val="21"/>
        </w:rPr>
        <w:t xml:space="preserve">Rank insertion points by: volume of capital passing through, margin available, friction intensity (higher friction = higher value of reduction), and infrastructure vacancy (is anyone already serving this point?). Cross-reference [T5 §2] White Space Map.</w:t>
      </w:r>
    </w:p>
    <w:p>
      <w:pPr>
        <w:pStyle w:val="ListParagraph"/>
        <w:numPr>
          <w:ilvl w:val="0"/>
          <w:numId w:val="2"/>
        </w:numPr>
        <w:spacing w:after="100" w:line="276"/>
      </w:pPr>
      <w:r>
        <w:rPr>
          <w:rFonts w:ascii="Georgia" w:cs="Georgia" w:eastAsia="Georgia" w:hAnsi="Georgia"/>
          <w:color w:val="2C2C2C"/>
          <w:sz w:val="21"/>
          <w:szCs w:val="21"/>
        </w:rPr>
        <w:t xml:space="preserve">State the pricing implication for each insertion point: given the capital flow volume and existing toll bridges, what price range is sustainable?</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Capital Entry Points must identify a minimum of four distinct capital sources with estimated volumes. The Flow Architecture must trace at least six distinct flows. The Capital Leak Analysis must identify a minimum of three quantifiable leaks with estimated annual values. All volumes must be stated as ranges with assumption flags where data is incomplete.</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9.3 Length Calibration</w:t>
      </w:r>
    </w:p>
    <w:p>
      <w:pPr>
        <w:spacing w:after="160" w:line="276"/>
        <w:jc w:val="left"/>
      </w:pPr>
      <w:r>
        <w:rPr>
          <w:rFonts w:ascii="Georgia" w:cs="Georgia" w:eastAsia="Georgia" w:hAnsi="Georgia"/>
          <w:color w:val="2C2C2C"/>
          <w:sz w:val="21"/>
          <w:szCs w:val="21"/>
        </w:rPr>
        <w:t xml:space="preserve">Target: 3,500–5,500 words. Maximum: 7,500 words. The Flow Architecture may be accompanied by a visual flow diagram if clarity is improved, but the prose analysis is mandatory regardless.</w:t>
      </w:r>
    </w:p>
    <w:p>
      <w:r>
        <w:br w:type="page"/>
      </w:r>
    </w:p>
    <w:p>
      <w:pPr>
        <w:spacing w:after="60" w:before="120"/>
      </w:pPr>
      <w:r>
        <w:rPr>
          <w:rFonts w:ascii="Georgia" w:cs="Georgia" w:eastAsia="Georgia" w:hAnsi="Georgia"/>
          <w:b/>
          <w:bCs/>
          <w:color w:val="E07A5F"/>
          <w:spacing w:val="180"/>
          <w:sz w:val="16"/>
          <w:szCs w:val="16"/>
        </w:rPr>
        <w:t xml:space="preserve">TEMPLATE 10</w:t>
      </w:r>
    </w:p>
    <w:p>
      <w:pPr>
        <w:pBdr>
          <w:bottom w:val="single" w:color="E07A5F" w:sz="4" w:space="8"/>
        </w:pBdr>
        <w:spacing w:after="60"/>
      </w:pPr>
      <w:r>
        <w:rPr>
          <w:rFonts w:ascii="Georgia" w:cs="Georgia" w:eastAsia="Georgia" w:hAnsi="Georgia"/>
          <w:b/>
          <w:bCs/>
          <w:color w:val="1B2A4A"/>
          <w:sz w:val="36"/>
          <w:szCs w:val="36"/>
        </w:rPr>
        <w:t xml:space="preserve">Entry Vector Analysis</w:t>
      </w:r>
    </w:p>
    <w:p>
      <w:pPr>
        <w:spacing w:after="80" w:before="120"/>
      </w:pPr>
      <w:r>
        <w:rPr>
          <w:rFonts w:ascii="Georgia" w:cs="Georgia" w:eastAsia="Georgia" w:hAnsi="Georgia"/>
          <w:i/>
          <w:iCs/>
          <w:color w:val="3D5A80"/>
          <w:sz w:val="22"/>
          <w:szCs w:val="22"/>
        </w:rPr>
        <w:t xml:space="preserve">The bridge document that synthesises all preceding intelligence into viable strategic entry points — not products, but vectors.</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Opportunity scoring, concept development, build prioritisation. This is the final analytical step before product decisions begin.</w:t>
      </w:r>
    </w:p>
    <w:p>
      <w:pPr>
        <w:pStyle w:val="Heading2"/>
        <w:spacing w:after="160" w:before="280"/>
      </w:pPr>
      <w:r>
        <w:rPr>
          <w:rFonts w:ascii="Georgia" w:cs="Georgia" w:eastAsia="Georgia" w:hAnsi="Georgia"/>
          <w:b/>
          <w:bCs/>
          <w:color w:val="3D5A80"/>
          <w:sz w:val="26"/>
          <w:szCs w:val="26"/>
        </w:rPr>
        <w:t xml:space="preserve">10.1 Purpose</w:t>
      </w:r>
    </w:p>
    <w:p>
      <w:pPr>
        <w:spacing w:after="160" w:line="276"/>
        <w:jc w:val="left"/>
      </w:pPr>
      <w:r>
        <w:rPr>
          <w:rFonts w:ascii="Georgia" w:cs="Georgia" w:eastAsia="Georgia" w:hAnsi="Georgia"/>
          <w:color w:val="2C2C2C"/>
          <w:sz w:val="21"/>
          <w:szCs w:val="21"/>
        </w:rPr>
        <w:t xml:space="preserve">This is the capstone template. It consumes every preceding document — the Ecosystem Analysis and all nine templates — and produces a ranked set of entry vectors: specific, actionable strategic positions defined by interface, segment, timing, trust pathway, capital flow insertion, and risk posture. Each vector is a complete strategic hypothesis that can be evaluated, scored, and converted into a product brief.</w:t>
      </w:r>
    </w:p>
    <w:p>
      <w:pPr>
        <w:pBdr>
          <w:left w:val="single" w:color="E07A5F" w:sz="12" w:space="8"/>
        </w:pBdr>
        <w:spacing w:after="200" w:before="200"/>
        <w:ind w:left="360" w:right="360"/>
      </w:pPr>
      <w:r>
        <w:rPr>
          <w:rFonts w:ascii="Georgia" w:cs="Georgia" w:eastAsia="Georgia" w:hAnsi="Georgia"/>
          <w:i/>
          <w:iCs/>
          <w:color w:val="3D5A80"/>
          <w:sz w:val="21"/>
          <w:szCs w:val="21"/>
        </w:rPr>
        <w:t xml:space="preserve">An entry vector is not a product. It is a strategic position statement: “Enter at [interface] serving [participant segment] via [trust pathway] during [timing window] by inserting into [capital flow] at [price position] with [risk posture].” A single vector can generate multiple product concepts. A product concept divorced from a vector is a guess.</w:t>
      </w:r>
    </w:p>
    <w:p>
      <w:pPr>
        <w:pStyle w:val="Heading2"/>
        <w:spacing w:after="160" w:before="280"/>
      </w:pPr>
      <w:r>
        <w:rPr>
          <w:rFonts w:ascii="Georgia" w:cs="Georgia" w:eastAsia="Georgia" w:hAnsi="Georgia"/>
          <w:b/>
          <w:bCs/>
          <w:color w:val="3D5A80"/>
          <w:sz w:val="26"/>
          <w:szCs w:val="26"/>
        </w:rPr>
        <w:t xml:space="preserve">10.2 Mandatory Structure</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Vector Generation</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are all the viable entry positions, generated by combining insights from every preceding template?</w:t>
      </w:r>
    </w:p>
    <w:p>
      <w:pPr>
        <w:spacing w:after="160" w:line="276"/>
        <w:jc w:val="left"/>
      </w:pPr>
      <w:r>
        <w:rPr>
          <w:rFonts w:ascii="Georgia" w:cs="Georgia" w:eastAsia="Georgia" w:hAnsi="Georgia"/>
          <w:color w:val="2C2C2C"/>
          <w:sz w:val="21"/>
          <w:szCs w:val="21"/>
        </w:rPr>
        <w:t xml:space="preserve">Generate vectors by systematically combining the following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Source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Contributes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Interface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§6 (Ecosystem Map)</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Where in the ecosystem the vector operates — which participant friction point it addresses.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Segment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T3 (Decision Architecture)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Which specific participant type and sub-segment the vector serves, defined by their decision process.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Cultural Alignment</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T1 (Culture Map)</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Which cultural identity, creed elements, and tribal affiliations the vector aligns with.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Lever Activation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T2 (Lever Architecture)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Which specific triggers the vector capitalises on to generate action.</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Trust Pathway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T6 (Trust Architecture)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the vector will build credibility — which transfer mechanisms and trust milestones it will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Timing Window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T7 (Temporal Rhythm Map)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When the vector should be activated to maximise receptivity and minimise competition.</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Risk Exposure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T8 (Risk &amp; Fragility Map)</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risks the vector faces and what posture it 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Capital Insertion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T9 (Capital Flow Atlas)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Where in the money flow the vector sits and what pricing constraints it inherits.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Competitive Position</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T5 (Competitive Topology)</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What white space the vector occupies and what existing solutions it displaces or complements.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Language Fit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T4 (Language &amp; Semiotics)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the vector will be communicated in terms the ecosystem recognises and trusts.</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Not every dimension combination produces a viable vector. The generation process should produce 8–15 candidate vectors. The subsequent sections filter and rank them.</w:t>
      </w:r>
    </w:p>
    <w:p>
      <w:pPr>
        <w:spacing w:after="120" w:before="200"/>
      </w:pPr>
      <w:r>
        <w:rPr>
          <w:rFonts w:ascii="Georgia" w:cs="Georgia" w:eastAsia="Georgia" w:hAnsi="Georgia"/>
          <w:b/>
          <w:bCs/>
          <w:color w:val="1B2A4A"/>
          <w:sz w:val="22"/>
          <w:szCs w:val="22"/>
        </w:rPr>
        <w:t xml:space="preserve">Section 2: Vector Viability Filter</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Which candidate vectors survive basic viability screening?</w:t>
      </w:r>
    </w:p>
    <w:p>
      <w:pPr>
        <w:spacing w:after="160" w:line="276"/>
        <w:jc w:val="left"/>
      </w:pPr>
      <w:r>
        <w:rPr>
          <w:rFonts w:ascii="Georgia" w:cs="Georgia" w:eastAsia="Georgia" w:hAnsi="Georgia"/>
          <w:color w:val="2C2C2C"/>
          <w:sz w:val="21"/>
          <w:szCs w:val="21"/>
        </w:rPr>
        <w:t xml:space="preserve">Apply the following five binary filters to each candidate vector. A vector must pass all five to proceed to scoring:</w:t>
      </w:r>
    </w:p>
    <w:p>
      <w:pPr>
        <w:pStyle w:val="ListParagraph"/>
        <w:numPr>
          <w:ilvl w:val="0"/>
          <w:numId w:val="3"/>
        </w:numPr>
        <w:spacing w:after="120" w:line="276"/>
      </w:pPr>
      <w:r>
        <w:rPr>
          <w:rFonts w:ascii="Georgia" w:cs="Georgia" w:eastAsia="Georgia" w:hAnsi="Georgia"/>
          <w:b/>
          <w:bCs/>
          <w:color w:val="1B2A4A"/>
          <w:sz w:val="21"/>
          <w:szCs w:val="21"/>
        </w:rPr>
        <w:t xml:space="preserve">Capital flow reality: </w:t>
      </w:r>
      <w:r>
        <w:rPr>
          <w:rFonts w:ascii="Georgia" w:cs="Georgia" w:eastAsia="Georgia" w:hAnsi="Georgia"/>
          <w:color w:val="2C2C2C"/>
          <w:sz w:val="21"/>
          <w:szCs w:val="21"/>
        </w:rPr>
        <w:t xml:space="preserve">Does the vector insert into a documented capital flow from T9? If there is no existing money moving through the interface the vector targets, it requires capital creation rather than capture — a fundamentally harder proposition. Vectors requiring capital creation are flagged, not automatically killed, but must carry that flag into scoring.</w:t>
      </w:r>
    </w:p>
    <w:p>
      <w:pPr>
        <w:pStyle w:val="ListParagraph"/>
        <w:numPr>
          <w:ilvl w:val="0"/>
          <w:numId w:val="3"/>
        </w:numPr>
        <w:spacing w:after="120" w:line="276"/>
      </w:pPr>
      <w:r>
        <w:rPr>
          <w:rFonts w:ascii="Georgia" w:cs="Georgia" w:eastAsia="Georgia" w:hAnsi="Georgia"/>
          <w:b/>
          <w:bCs/>
          <w:color w:val="1B2A4A"/>
          <w:sz w:val="21"/>
          <w:szCs w:val="21"/>
        </w:rPr>
        <w:t xml:space="preserve">Trust pathway existence: </w:t>
      </w:r>
      <w:r>
        <w:rPr>
          <w:rFonts w:ascii="Georgia" w:cs="Georgia" w:eastAsia="Georgia" w:hAnsi="Georgia"/>
          <w:color w:val="2C2C2C"/>
          <w:sz w:val="21"/>
          <w:szCs w:val="21"/>
        </w:rPr>
        <w:t xml:space="preserve">Does the vector have an identifiable trust pathway from T6? If the vector requires trust that cannot be built or transferred through known mechanisms within 6 months, it may be strategically valid but tactically infeasible for current resources.</w:t>
      </w:r>
    </w:p>
    <w:p>
      <w:pPr>
        <w:pStyle w:val="ListParagraph"/>
        <w:numPr>
          <w:ilvl w:val="0"/>
          <w:numId w:val="3"/>
        </w:numPr>
        <w:spacing w:after="120" w:line="276"/>
      </w:pPr>
      <w:r>
        <w:rPr>
          <w:rFonts w:ascii="Georgia" w:cs="Georgia" w:eastAsia="Georgia" w:hAnsi="Georgia"/>
          <w:b/>
          <w:bCs/>
          <w:color w:val="1B2A4A"/>
          <w:sz w:val="21"/>
          <w:szCs w:val="21"/>
        </w:rPr>
        <w:t xml:space="preserve">Timing alignment: </w:t>
      </w:r>
      <w:r>
        <w:rPr>
          <w:rFonts w:ascii="Georgia" w:cs="Georgia" w:eastAsia="Georgia" w:hAnsi="Georgia"/>
          <w:color w:val="2C2C2C"/>
          <w:sz w:val="21"/>
          <w:szCs w:val="21"/>
        </w:rPr>
        <w:t xml:space="preserve">Does the vector have a viable timing window from T7 within the next 12 months? Vectors that require waiting 12+ months for activation may lose their white space to competitors in the interim.</w:t>
      </w:r>
    </w:p>
    <w:p>
      <w:pPr>
        <w:pStyle w:val="ListParagraph"/>
        <w:numPr>
          <w:ilvl w:val="0"/>
          <w:numId w:val="3"/>
        </w:numPr>
        <w:spacing w:after="120" w:line="276"/>
      </w:pPr>
      <w:r>
        <w:rPr>
          <w:rFonts w:ascii="Georgia" w:cs="Georgia" w:eastAsia="Georgia" w:hAnsi="Georgia"/>
          <w:b/>
          <w:bCs/>
          <w:color w:val="1B2A4A"/>
          <w:sz w:val="21"/>
          <w:szCs w:val="21"/>
        </w:rPr>
        <w:t xml:space="preserve">Risk tolerance: </w:t>
      </w:r>
      <w:r>
        <w:rPr>
          <w:rFonts w:ascii="Georgia" w:cs="Georgia" w:eastAsia="Georgia" w:hAnsi="Georgia"/>
          <w:color w:val="2C2C2C"/>
          <w:sz w:val="21"/>
          <w:szCs w:val="21"/>
        </w:rPr>
        <w:t xml:space="preserve">Does the vector’s risk exposure from T8 align with the builder’s risk posture? A vector in an ecosystem rated “Cautious” that requires aggressive resource commitment is misaligned.</w:t>
      </w:r>
    </w:p>
    <w:p>
      <w:pPr>
        <w:pStyle w:val="ListParagraph"/>
        <w:numPr>
          <w:ilvl w:val="0"/>
          <w:numId w:val="3"/>
        </w:numPr>
        <w:spacing w:after="120" w:line="276"/>
      </w:pPr>
      <w:r>
        <w:rPr>
          <w:rFonts w:ascii="Georgia" w:cs="Georgia" w:eastAsia="Georgia" w:hAnsi="Georgia"/>
          <w:b/>
          <w:bCs/>
          <w:color w:val="1B2A4A"/>
          <w:sz w:val="21"/>
          <w:szCs w:val="21"/>
        </w:rPr>
        <w:t xml:space="preserve">Cultural coherence: </w:t>
      </w:r>
      <w:r>
        <w:rPr>
          <w:rFonts w:ascii="Georgia" w:cs="Georgia" w:eastAsia="Georgia" w:hAnsi="Georgia"/>
          <w:color w:val="2C2C2C"/>
          <w:sz w:val="21"/>
          <w:szCs w:val="21"/>
        </w:rPr>
        <w:t xml:space="preserve">Can the vector be communicated authentically within the ecosystem’s cultural norms from T1 and language patterns from T4? A vector that requires messaging outside the ecosystem’s tonal register faces an adoption barrier that features cannot overcome.</w:t>
      </w:r>
    </w:p>
    <w:p>
      <w:pPr>
        <w:spacing w:after="120" w:before="200"/>
      </w:pPr>
      <w:r>
        <w:rPr>
          <w:rFonts w:ascii="Georgia" w:cs="Georgia" w:eastAsia="Georgia" w:hAnsi="Georgia"/>
          <w:b/>
          <w:bCs/>
          <w:color w:val="1B2A4A"/>
          <w:sz w:val="22"/>
          <w:szCs w:val="22"/>
        </w:rPr>
        <w:t xml:space="preserve">Section 3: Vector Scoring</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 the surviving vectors compare on strategic attractiveness?</w:t>
      </w:r>
    </w:p>
    <w:p>
      <w:pPr>
        <w:spacing w:after="160" w:line="276"/>
        <w:jc w:val="left"/>
      </w:pPr>
      <w:r>
        <w:rPr>
          <w:rFonts w:ascii="Georgia" w:cs="Georgia" w:eastAsia="Georgia" w:hAnsi="Georgia"/>
          <w:color w:val="2C2C2C"/>
          <w:sz w:val="21"/>
          <w:szCs w:val="21"/>
        </w:rPr>
        <w:t xml:space="preserve">Score each surviving vector across eight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Dimension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Weight</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Scoring Criteria (1–5)</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Capital Proximity</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15%</w:t>
            </w:r>
          </w:p>
        </w:tc>
        <w:tc>
          <w:tcPr>
            <w:tcW w:type="dxa" w:w="5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close is the vector to existing, high-volume capital flows? (5 = directly in the flow path; 1 = requires capital creation)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White Space 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vacant is the competitive position? (5 = category gap, no solution exists; 1 = saturated, mature competition) [Ref: T5 §2]</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Trust Feasibility</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15%</w:t>
            </w:r>
          </w:p>
        </w:tc>
        <w:tc>
          <w:tcPr>
            <w:tcW w:type="dxa" w:w="5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achievable is the required trust level within 6 months? (5 = trust pathway is clear with high-efficiency transfer; 1 = no pathway, must build from zero) [Ref: T6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Lever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12.5%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many action triggers activate demand for this vector? (5 = 4+ high-intensity triggers; 1 = single, low-frequency trigger) [Ref: T2 §5]</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Cultural Fit</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12.5%</w:t>
            </w:r>
          </w:p>
        </w:tc>
        <w:tc>
          <w:tcPr>
            <w:tcW w:type="dxa" w:w="5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naturally does the vector align with ecosystem culture and language? (5 = native; 1 = requires cultural translation) [Ref: T1, T4]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Timing Precision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well-defined is the entry window? (5 = specific dated window with triple-rhythm convergence; 1 = no timing advantage) [Ref: T7 §2]</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Risk Resilience</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10%</w:t>
            </w:r>
          </w:p>
        </w:tc>
        <w:tc>
          <w:tcPr>
            <w:tcW w:type="dxa" w:w="5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How insulated is the vector from Critical risks? (5 = no Critical risk exposure; 1 = directly exposed to 2+ Critical risks) [Ref: T8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Decision Simplicity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How simple is the participant’s decision to adopt this vector’s solution? (5 = impulse decision, low-friction; 1 = enterprise committee, multi-stakeholder) [Ref: T3 §3]</w:t>
            </w:r>
          </w:p>
        </w:tc>
      </w:tr>
    </w:tbl>
    <w:p>
      <w:pPr>
        <w:spacing w:after="160" w:line="276"/>
        <w:jc w:val="left"/>
      </w:pPr>
      <w:r>
        <w:rPr>
          <w:rFonts w:ascii="Georgia" w:cs="Georgia" w:eastAsia="Georgia" w:hAnsi="Georgia"/>
          <w:color w:val="2C2C2C"/>
          <w:sz w:val="21"/>
          <w:szCs w:val="21"/>
        </w:rPr>
        <w:t xml:space="preserve"/>
      </w:r>
    </w:p>
    <w:p>
      <w:pPr>
        <w:spacing w:after="160" w:line="276"/>
        <w:jc w:val="left"/>
      </w:pPr>
      <w:r>
        <w:rPr>
          <w:rFonts w:ascii="Georgia" w:cs="Georgia" w:eastAsia="Georgia" w:hAnsi="Georgia"/>
          <w:color w:val="2C2C2C"/>
          <w:sz w:val="21"/>
          <w:szCs w:val="21"/>
        </w:rPr>
        <w:t xml:space="preserve">Calculate the weighted score for each vector. Classify results using the following bands:</w:t>
      </w:r>
    </w:p>
    <w:p>
      <w:pPr>
        <w:pStyle w:val="ListParagraph"/>
        <w:numPr>
          <w:ilvl w:val="0"/>
          <w:numId w:val="2"/>
        </w:numPr>
        <w:spacing w:after="100" w:line="276"/>
      </w:pPr>
      <w:r>
        <w:rPr>
          <w:rFonts w:ascii="Georgia" w:cs="Georgia" w:eastAsia="Georgia" w:hAnsi="Georgia"/>
          <w:b/>
          <w:bCs/>
          <w:color w:val="1B2A4A"/>
          <w:sz w:val="21"/>
          <w:szCs w:val="21"/>
        </w:rPr>
        <w:t xml:space="preserve">4.0–5.0 — Prime Vector: </w:t>
      </w:r>
      <w:r>
        <w:rPr>
          <w:rFonts w:ascii="Georgia" w:cs="Georgia" w:eastAsia="Georgia" w:hAnsi="Georgia"/>
          <w:color w:val="2C2C2C"/>
          <w:sz w:val="21"/>
          <w:szCs w:val="21"/>
        </w:rPr>
        <w:t xml:space="preserve">Strongest strategic position. Pursue with full conviction pending product-level validation.</w:t>
      </w:r>
    </w:p>
    <w:p>
      <w:pPr>
        <w:pStyle w:val="ListParagraph"/>
        <w:numPr>
          <w:ilvl w:val="0"/>
          <w:numId w:val="2"/>
        </w:numPr>
        <w:spacing w:after="100" w:line="276"/>
      </w:pPr>
      <w:r>
        <w:rPr>
          <w:rFonts w:ascii="Georgia" w:cs="Georgia" w:eastAsia="Georgia" w:hAnsi="Georgia"/>
          <w:b/>
          <w:bCs/>
          <w:color w:val="1B2A4A"/>
          <w:sz w:val="21"/>
          <w:szCs w:val="21"/>
        </w:rPr>
        <w:t xml:space="preserve">3.0–3.9 — Viable Vector: </w:t>
      </w:r>
      <w:r>
        <w:rPr>
          <w:rFonts w:ascii="Georgia" w:cs="Georgia" w:eastAsia="Georgia" w:hAnsi="Georgia"/>
          <w:color w:val="2C2C2C"/>
          <w:sz w:val="21"/>
          <w:szCs w:val="21"/>
        </w:rPr>
        <w:t xml:space="preserve">Solid position with identifiable gaps or risks. Pursue if Prime Vectors are unavailable or as a portfolio diversification play.</w:t>
      </w:r>
    </w:p>
    <w:p>
      <w:pPr>
        <w:pStyle w:val="ListParagraph"/>
        <w:numPr>
          <w:ilvl w:val="0"/>
          <w:numId w:val="2"/>
        </w:numPr>
        <w:spacing w:after="100" w:line="276"/>
      </w:pPr>
      <w:r>
        <w:rPr>
          <w:rFonts w:ascii="Georgia" w:cs="Georgia" w:eastAsia="Georgia" w:hAnsi="Georgia"/>
          <w:b/>
          <w:bCs/>
          <w:color w:val="1B2A4A"/>
          <w:sz w:val="21"/>
          <w:szCs w:val="21"/>
        </w:rPr>
        <w:t xml:space="preserve">2.0–2.9 — Conditional Vector: </w:t>
      </w:r>
      <w:r>
        <w:rPr>
          <w:rFonts w:ascii="Georgia" w:cs="Georgia" w:eastAsia="Georgia" w:hAnsi="Georgia"/>
          <w:color w:val="2C2C2C"/>
          <w:sz w:val="21"/>
          <w:szCs w:val="21"/>
        </w:rPr>
        <w:t xml:space="preserve">Strategically sound but tactically challenging. Pursue only if specific conditions change (risk reduces, trust pathway opens, timing window aligns).</w:t>
      </w:r>
    </w:p>
    <w:p>
      <w:pPr>
        <w:pStyle w:val="ListParagraph"/>
        <w:numPr>
          <w:ilvl w:val="0"/>
          <w:numId w:val="2"/>
        </w:numPr>
        <w:spacing w:after="100" w:line="276"/>
      </w:pPr>
      <w:r>
        <w:rPr>
          <w:rFonts w:ascii="Georgia" w:cs="Georgia" w:eastAsia="Georgia" w:hAnsi="Georgia"/>
          <w:b/>
          <w:bCs/>
          <w:color w:val="1B2A4A"/>
          <w:sz w:val="21"/>
          <w:szCs w:val="21"/>
        </w:rPr>
        <w:t xml:space="preserve">Below 2.0 — Archived: </w:t>
      </w:r>
      <w:r>
        <w:rPr>
          <w:rFonts w:ascii="Georgia" w:cs="Georgia" w:eastAsia="Georgia" w:hAnsi="Georgia"/>
          <w:color w:val="2C2C2C"/>
          <w:sz w:val="21"/>
          <w:szCs w:val="21"/>
        </w:rPr>
        <w:t xml:space="preserve">Document the vector for future reference but do not pursue under current conditions.</w:t>
      </w:r>
    </w:p>
    <w:p>
      <w:pPr>
        <w:spacing w:after="120" w:before="200"/>
      </w:pPr>
      <w:r>
        <w:rPr>
          <w:rFonts w:ascii="Georgia" w:cs="Georgia" w:eastAsia="Georgia" w:hAnsi="Georgia"/>
          <w:b/>
          <w:bCs/>
          <w:color w:val="1B2A4A"/>
          <w:sz w:val="22"/>
          <w:szCs w:val="22"/>
        </w:rPr>
        <w:t xml:space="preserve">Section 4: Vector Profiles</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For each Prime and Viable vector, what is the complete strategic profile?</w:t>
      </w:r>
    </w:p>
    <w:p>
      <w:pPr>
        <w:spacing w:after="160" w:line="276"/>
        <w:jc w:val="left"/>
      </w:pPr>
      <w:r>
        <w:rPr>
          <w:rFonts w:ascii="Georgia" w:cs="Georgia" w:eastAsia="Georgia" w:hAnsi="Georgia"/>
          <w:color w:val="2C2C2C"/>
          <w:sz w:val="21"/>
          <w:szCs w:val="21"/>
        </w:rPr>
        <w:t xml:space="preserve">Produce a one-page profile for each vector scoring 3.0 or above. The profile must contain:</w:t>
      </w:r>
    </w:p>
    <w:p>
      <w:pPr>
        <w:pStyle w:val="ListParagraph"/>
        <w:numPr>
          <w:ilvl w:val="0"/>
          <w:numId w:val="2"/>
        </w:numPr>
        <w:spacing w:after="100" w:line="276"/>
      </w:pPr>
      <w:r>
        <w:rPr>
          <w:rFonts w:ascii="Georgia" w:cs="Georgia" w:eastAsia="Georgia" w:hAnsi="Georgia"/>
          <w:color w:val="2C2C2C"/>
          <w:sz w:val="21"/>
          <w:szCs w:val="21"/>
        </w:rPr>
        <w:t xml:space="preserve">Vector statement: the full entry position in one sentence (interface + segment + trust pathway + timing + capital insertion + competitive position).</w:t>
      </w:r>
    </w:p>
    <w:p>
      <w:pPr>
        <w:pStyle w:val="ListParagraph"/>
        <w:numPr>
          <w:ilvl w:val="0"/>
          <w:numId w:val="2"/>
        </w:numPr>
        <w:spacing w:after="100" w:line="276"/>
      </w:pPr>
      <w:r>
        <w:rPr>
          <w:rFonts w:ascii="Georgia" w:cs="Georgia" w:eastAsia="Georgia" w:hAnsi="Georgia"/>
          <w:color w:val="2C2C2C"/>
          <w:sz w:val="21"/>
          <w:szCs w:val="21"/>
        </w:rPr>
        <w:t xml:space="preserve">Weighted score and dimension breakdown.</w:t>
      </w:r>
    </w:p>
    <w:p>
      <w:pPr>
        <w:pStyle w:val="ListParagraph"/>
        <w:numPr>
          <w:ilvl w:val="0"/>
          <w:numId w:val="2"/>
        </w:numPr>
        <w:spacing w:after="100" w:line="276"/>
      </w:pPr>
      <w:r>
        <w:rPr>
          <w:rFonts w:ascii="Georgia" w:cs="Georgia" w:eastAsia="Georgia" w:hAnsi="Georgia"/>
          <w:color w:val="2C2C2C"/>
          <w:sz w:val="21"/>
          <w:szCs w:val="21"/>
        </w:rPr>
        <w:t xml:space="preserve">The single strongest advantage: the one dimension where this vector is most compelling.</w:t>
      </w:r>
    </w:p>
    <w:p>
      <w:pPr>
        <w:pStyle w:val="ListParagraph"/>
        <w:numPr>
          <w:ilvl w:val="0"/>
          <w:numId w:val="2"/>
        </w:numPr>
        <w:spacing w:after="100" w:line="276"/>
      </w:pPr>
      <w:r>
        <w:rPr>
          <w:rFonts w:ascii="Georgia" w:cs="Georgia" w:eastAsia="Georgia" w:hAnsi="Georgia"/>
          <w:color w:val="2C2C2C"/>
          <w:sz w:val="21"/>
          <w:szCs w:val="21"/>
        </w:rPr>
        <w:t xml:space="preserve">The single greatest risk: the one dimension where this vector is most vulnerable, with the specific mitigation from T8.</w:t>
      </w:r>
    </w:p>
    <w:p>
      <w:pPr>
        <w:pStyle w:val="ListParagraph"/>
        <w:numPr>
          <w:ilvl w:val="0"/>
          <w:numId w:val="2"/>
        </w:numPr>
        <w:spacing w:after="100" w:line="276"/>
      </w:pPr>
      <w:r>
        <w:rPr>
          <w:rFonts w:ascii="Georgia" w:cs="Georgia" w:eastAsia="Georgia" w:hAnsi="Georgia"/>
          <w:color w:val="2C2C2C"/>
          <w:sz w:val="21"/>
          <w:szCs w:val="21"/>
        </w:rPr>
        <w:t xml:space="preserve">Trust entry plan: the specific first three trust-building actions, sourced from T6. Cross-reference [T6 §2] Transfer Mechanics.</w:t>
      </w:r>
    </w:p>
    <w:p>
      <w:pPr>
        <w:pStyle w:val="ListParagraph"/>
        <w:numPr>
          <w:ilvl w:val="0"/>
          <w:numId w:val="2"/>
        </w:numPr>
        <w:spacing w:after="100" w:line="276"/>
      </w:pPr>
      <w:r>
        <w:rPr>
          <w:rFonts w:ascii="Georgia" w:cs="Georgia" w:eastAsia="Georgia" w:hAnsi="Georgia"/>
          <w:color w:val="2C2C2C"/>
          <w:sz w:val="21"/>
          <w:szCs w:val="21"/>
        </w:rPr>
        <w:t xml:space="preserve">Timing recommendation: the specific launch window, sourced from T7. Cross-reference [T7 §2] Attention Calendar.</w:t>
      </w:r>
    </w:p>
    <w:p>
      <w:pPr>
        <w:pStyle w:val="ListParagraph"/>
        <w:numPr>
          <w:ilvl w:val="0"/>
          <w:numId w:val="2"/>
        </w:numPr>
        <w:spacing w:after="100" w:line="276"/>
      </w:pPr>
      <w:r>
        <w:rPr>
          <w:rFonts w:ascii="Georgia" w:cs="Georgia" w:eastAsia="Georgia" w:hAnsi="Georgia"/>
          <w:color w:val="2C2C2C"/>
          <w:sz w:val="21"/>
          <w:szCs w:val="21"/>
        </w:rPr>
        <w:t xml:space="preserve">Capital insertion description: exactly where in the flow architecture this vector sits, sourced from T9. Cross-reference [T9 §2] Flow Architecture.</w:t>
      </w:r>
    </w:p>
    <w:p>
      <w:pPr>
        <w:pStyle w:val="ListParagraph"/>
        <w:numPr>
          <w:ilvl w:val="0"/>
          <w:numId w:val="2"/>
        </w:numPr>
        <w:spacing w:after="100" w:line="276"/>
      </w:pPr>
      <w:r>
        <w:rPr>
          <w:rFonts w:ascii="Georgia" w:cs="Georgia" w:eastAsia="Georgia" w:hAnsi="Georgia"/>
          <w:color w:val="2C2C2C"/>
          <w:sz w:val="21"/>
          <w:szCs w:val="21"/>
        </w:rPr>
        <w:t xml:space="preserve">Language brief: 5–10 terms from T4 that must appear in any communication about this vector’s eventual product. 3–5 terms from T4 §5 (Forbidden Lexicon) that must be avoided.</w:t>
      </w:r>
    </w:p>
    <w:p>
      <w:pPr>
        <w:pStyle w:val="ListParagraph"/>
        <w:numPr>
          <w:ilvl w:val="0"/>
          <w:numId w:val="2"/>
        </w:numPr>
        <w:spacing w:after="100" w:line="276"/>
      </w:pPr>
      <w:r>
        <w:rPr>
          <w:rFonts w:ascii="Georgia" w:cs="Georgia" w:eastAsia="Georgia" w:hAnsi="Georgia"/>
          <w:color w:val="2C2C2C"/>
          <w:sz w:val="21"/>
          <w:szCs w:val="21"/>
        </w:rPr>
        <w:t xml:space="preserve">Cultural alignment notes: which creed elements (T1 §2) and rituals (T1 §4) the vector reinforces or participates in.</w:t>
      </w:r>
    </w:p>
    <w:p>
      <w:pPr>
        <w:spacing w:after="120" w:before="200"/>
      </w:pPr>
      <w:r>
        <w:rPr>
          <w:rFonts w:ascii="Georgia" w:cs="Georgia" w:eastAsia="Georgia" w:hAnsi="Georgia"/>
          <w:b/>
          <w:bCs/>
          <w:color w:val="1B2A4A"/>
          <w:sz w:val="22"/>
          <w:szCs w:val="22"/>
        </w:rPr>
        <w:t xml:space="preserve">Section 5: Portfolio View</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 the top vectors relate to each other, and what does the optimal portfolio look like?</w:t>
      </w:r>
    </w:p>
    <w:p>
      <w:pPr>
        <w:spacing w:after="160" w:line="276"/>
        <w:jc w:val="left"/>
      </w:pPr>
      <w:r>
        <w:rPr>
          <w:rFonts w:ascii="Georgia" w:cs="Georgia" w:eastAsia="Georgia" w:hAnsi="Georgia"/>
          <w:color w:val="2C2C2C"/>
          <w:sz w:val="21"/>
          <w:szCs w:val="21"/>
        </w:rPr>
        <w:t xml:space="preserve">If multiple vectors score 3.0+, assess the portfolio dynamics:</w:t>
      </w:r>
    </w:p>
    <w:p>
      <w:pPr>
        <w:pStyle w:val="ListParagraph"/>
        <w:numPr>
          <w:ilvl w:val="0"/>
          <w:numId w:val="2"/>
        </w:numPr>
        <w:spacing w:after="100" w:line="276"/>
      </w:pPr>
      <w:r>
        <w:rPr>
          <w:rFonts w:ascii="Georgia" w:cs="Georgia" w:eastAsia="Georgia" w:hAnsi="Georgia"/>
          <w:color w:val="2C2C2C"/>
          <w:sz w:val="21"/>
          <w:szCs w:val="21"/>
        </w:rPr>
        <w:t xml:space="preserve">Complementarity: do the vectors reinforce each other? (Shared trust pathways, shared capital flows, shared cultural alignment.) Complementary vectors are more valuable as a portfolio than individually.</w:t>
      </w:r>
    </w:p>
    <w:p>
      <w:pPr>
        <w:pStyle w:val="ListParagraph"/>
        <w:numPr>
          <w:ilvl w:val="0"/>
          <w:numId w:val="2"/>
        </w:numPr>
        <w:spacing w:after="100" w:line="276"/>
      </w:pPr>
      <w:r>
        <w:rPr>
          <w:rFonts w:ascii="Georgia" w:cs="Georgia" w:eastAsia="Georgia" w:hAnsi="Georgia"/>
          <w:color w:val="2C2C2C"/>
          <w:sz w:val="21"/>
          <w:szCs w:val="21"/>
        </w:rPr>
        <w:t xml:space="preserve">Conflict: do any vectors compete for the same trust relationships, capital flows, or attention windows? Conflicting vectors should not be pursued simultaneously.</w:t>
      </w:r>
    </w:p>
    <w:p>
      <w:pPr>
        <w:pStyle w:val="ListParagraph"/>
        <w:numPr>
          <w:ilvl w:val="0"/>
          <w:numId w:val="2"/>
        </w:numPr>
        <w:spacing w:after="100" w:line="276"/>
      </w:pPr>
      <w:r>
        <w:rPr>
          <w:rFonts w:ascii="Georgia" w:cs="Georgia" w:eastAsia="Georgia" w:hAnsi="Georgia"/>
          <w:color w:val="2C2C2C"/>
          <w:sz w:val="21"/>
          <w:szCs w:val="21"/>
        </w:rPr>
        <w:t xml:space="preserve">Sequencing: is there a natural order? Does pursuing Vector A first create trust or infrastructure that makes Vector B easier? Cross-reference [T6 §3] Trust Accumulation for compounding trust dynamics.</w:t>
      </w:r>
    </w:p>
    <w:p>
      <w:pPr>
        <w:pStyle w:val="ListParagraph"/>
        <w:numPr>
          <w:ilvl w:val="0"/>
          <w:numId w:val="2"/>
        </w:numPr>
        <w:spacing w:after="100" w:line="276"/>
      </w:pPr>
      <w:r>
        <w:rPr>
          <w:rFonts w:ascii="Georgia" w:cs="Georgia" w:eastAsia="Georgia" w:hAnsi="Georgia"/>
          <w:color w:val="2C2C2C"/>
          <w:sz w:val="21"/>
          <w:szCs w:val="21"/>
        </w:rPr>
        <w:t xml:space="preserve">Diversification: does the portfolio spread risk across different interfaces, participant types, and timing windows? Cross-reference [T8 §5] Risk Posture.</w:t>
      </w:r>
    </w:p>
    <w:p>
      <w:pPr>
        <w:spacing w:after="160" w:line="276"/>
        <w:jc w:val="left"/>
      </w:pPr>
      <w:r>
        <w:rPr>
          <w:rFonts w:ascii="Georgia" w:cs="Georgia" w:eastAsia="Georgia" w:hAnsi="Georgia"/>
          <w:color w:val="2C2C2C"/>
          <w:sz w:val="21"/>
          <w:szCs w:val="21"/>
        </w:rPr>
        <w:t xml:space="preserve">Produce a final recommended sequence: which vector first, which second, and under what conditions subsequent vectors are activated.</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Vector Generation must produce a minimum of 8 candidate vectors. The Viability Filter must evaluate every candidate against all five binary tests. The Vector Scoring must use the full eight-dimension weighted rubric. At least one vector must score 3.0+ to justify continued pursuit of this ecosystem; if none do, the analysis must explicitly state that the ecosystem does not currently support viable entry and recommend either waiting (with specific conditions to monitor) or redirecting to a different ecosystem.</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10.3 Length Calibration</w:t>
      </w:r>
    </w:p>
    <w:p>
      <w:pPr>
        <w:spacing w:after="160" w:line="276"/>
        <w:jc w:val="left"/>
      </w:pPr>
      <w:r>
        <w:rPr>
          <w:rFonts w:ascii="Georgia" w:cs="Georgia" w:eastAsia="Georgia" w:hAnsi="Georgia"/>
          <w:color w:val="2C2C2C"/>
          <w:sz w:val="21"/>
          <w:szCs w:val="21"/>
        </w:rPr>
        <w:t xml:space="preserve">Target: 4,000–6,500 words (excluding vector profiles, which add approximately 400–600 words each). Maximum: 10,000 words total including profiles. The Vector Profiles section scales with the number of qualifying vectors.</w:t>
      </w:r>
    </w:p>
    <w:p>
      <w:r>
        <w:br w:type="page"/>
      </w:r>
    </w:p>
    <w:p>
      <w:pPr>
        <w:pStyle w:val="Heading1"/>
        <w:spacing w:after="200" w:before="360"/>
      </w:pPr>
      <w:r>
        <w:rPr>
          <w:rFonts w:ascii="Georgia" w:cs="Georgia" w:eastAsia="Georgia" w:hAnsi="Georgia"/>
          <w:b/>
          <w:bCs/>
          <w:color w:val="1B2A4A"/>
          <w:sz w:val="32"/>
          <w:szCs w:val="32"/>
        </w:rPr>
        <w:t xml:space="preserve">Universal Quality Checklist: Strategy Suite</w:t>
      </w:r>
    </w:p>
    <w:p>
      <w:pPr>
        <w:spacing w:after="160" w:line="276"/>
        <w:jc w:val="left"/>
      </w:pPr>
      <w:r>
        <w:rPr>
          <w:rFonts w:ascii="Georgia" w:cs="Georgia" w:eastAsia="Georgia" w:hAnsi="Georgia"/>
          <w:color w:val="2C2C2C"/>
          <w:sz w:val="21"/>
          <w:szCs w:val="21"/>
        </w:rPr>
        <w:t xml:space="preserve">This checklist covers cross-cutting standards for T6–T10. Template-specific quality gates are embedded within each template’s specification above.</w:t>
      </w:r>
    </w:p>
    <w:p>
      <w:pPr>
        <w:pStyle w:val="Heading2"/>
        <w:spacing w:after="160" w:before="280"/>
      </w:pPr>
      <w:r>
        <w:rPr>
          <w:rFonts w:ascii="Georgia" w:cs="Georgia" w:eastAsia="Georgia" w:hAnsi="Georgia"/>
          <w:b/>
          <w:bCs/>
          <w:color w:val="3D5A80"/>
          <w:sz w:val="26"/>
          <w:szCs w:val="26"/>
        </w:rPr>
        <w:t xml:space="preserve">Cross-Reference Integrity</w:t>
      </w:r>
    </w:p>
    <w:p>
      <w:pPr>
        <w:pStyle w:val="ListParagraph"/>
        <w:numPr>
          <w:ilvl w:val="0"/>
          <w:numId w:val="4"/>
        </w:numPr>
        <w:spacing w:after="100" w:line="276"/>
      </w:pPr>
      <w:r>
        <w:rPr>
          <w:rFonts w:ascii="Georgia" w:cs="Georgia" w:eastAsia="Georgia" w:hAnsi="Georgia"/>
          <w:color w:val="2C2C2C"/>
          <w:sz w:val="21"/>
          <w:szCs w:val="21"/>
        </w:rPr>
        <w:t xml:space="preserve">Every cross-reference uses the standard format: [EA §X.Y], [T1 §X], etc.</w:t>
      </w:r>
    </w:p>
    <w:p>
      <w:pPr>
        <w:pStyle w:val="ListParagraph"/>
        <w:numPr>
          <w:ilvl w:val="0"/>
          <w:numId w:val="4"/>
        </w:numPr>
        <w:spacing w:after="100" w:line="276"/>
      </w:pPr>
      <w:r>
        <w:rPr>
          <w:rFonts w:ascii="Georgia" w:cs="Georgia" w:eastAsia="Georgia" w:hAnsi="Georgia"/>
          <w:color w:val="2C2C2C"/>
          <w:sz w:val="21"/>
          <w:szCs w:val="21"/>
        </w:rPr>
        <w:t xml:space="preserve">Every cross-reference points to a section that actually exists in the referenced document.</w:t>
      </w:r>
    </w:p>
    <w:p>
      <w:pPr>
        <w:pStyle w:val="ListParagraph"/>
        <w:numPr>
          <w:ilvl w:val="0"/>
          <w:numId w:val="4"/>
        </w:numPr>
        <w:spacing w:after="100" w:line="276"/>
      </w:pPr>
      <w:r>
        <w:rPr>
          <w:rFonts w:ascii="Georgia" w:cs="Georgia" w:eastAsia="Georgia" w:hAnsi="Georgia"/>
          <w:color w:val="2C2C2C"/>
          <w:sz w:val="21"/>
          <w:szCs w:val="21"/>
        </w:rPr>
        <w:t xml:space="preserve">No section introduces claims or frameworks not traceable to either the Ecosystem Analysis, a preceding template, or a cited external source.</w:t>
      </w:r>
    </w:p>
    <w:p>
      <w:pPr>
        <w:pStyle w:val="ListParagraph"/>
        <w:numPr>
          <w:ilvl w:val="0"/>
          <w:numId w:val="4"/>
        </w:numPr>
        <w:spacing w:after="100" w:line="276"/>
      </w:pPr>
      <w:r>
        <w:rPr>
          <w:rFonts w:ascii="Georgia" w:cs="Georgia" w:eastAsia="Georgia" w:hAnsi="Georgia"/>
          <w:color w:val="2C2C2C"/>
          <w:sz w:val="21"/>
          <w:szCs w:val="21"/>
        </w:rPr>
        <w:t xml:space="preserve">T10 (Entry Vector Analysis) references all nine preceding templates (T1–T9) and the Ecosystem Analysis. Missing references indicate incomplete synthesis.</w:t>
      </w:r>
    </w:p>
    <w:p>
      <w:pPr>
        <w:pStyle w:val="Heading2"/>
        <w:spacing w:after="160" w:before="280"/>
      </w:pPr>
      <w:r>
        <w:rPr>
          <w:rFonts w:ascii="Georgia" w:cs="Georgia" w:eastAsia="Georgia" w:hAnsi="Georgia"/>
          <w:b/>
          <w:bCs/>
          <w:color w:val="3D5A80"/>
          <w:sz w:val="26"/>
          <w:szCs w:val="26"/>
        </w:rPr>
        <w:t xml:space="preserve">Quantitative Standards</w:t>
      </w:r>
    </w:p>
    <w:p>
      <w:pPr>
        <w:pStyle w:val="ListParagraph"/>
        <w:numPr>
          <w:ilvl w:val="0"/>
          <w:numId w:val="4"/>
        </w:numPr>
        <w:spacing w:after="100" w:line="276"/>
      </w:pPr>
      <w:r>
        <w:rPr>
          <w:rFonts w:ascii="Georgia" w:cs="Georgia" w:eastAsia="Georgia" w:hAnsi="Georgia"/>
          <w:color w:val="2C2C2C"/>
          <w:sz w:val="21"/>
          <w:szCs w:val="21"/>
        </w:rPr>
        <w:t xml:space="preserve">T8 (Risk &amp; Fragility) probability and severity scores use the defined 1–5 scales. No scores outside this range.</w:t>
      </w:r>
    </w:p>
    <w:p>
      <w:pPr>
        <w:pStyle w:val="ListParagraph"/>
        <w:numPr>
          <w:ilvl w:val="0"/>
          <w:numId w:val="4"/>
        </w:numPr>
        <w:spacing w:after="100" w:line="276"/>
      </w:pPr>
      <w:r>
        <w:rPr>
          <w:rFonts w:ascii="Georgia" w:cs="Georgia" w:eastAsia="Georgia" w:hAnsi="Georgia"/>
          <w:color w:val="2C2C2C"/>
          <w:sz w:val="21"/>
          <w:szCs w:val="21"/>
        </w:rPr>
        <w:t xml:space="preserve">T9 (Capital Flow Atlas) capital volumes are stated as ranges with assumption flags. No false precision.</w:t>
      </w:r>
    </w:p>
    <w:p>
      <w:pPr>
        <w:pStyle w:val="ListParagraph"/>
        <w:numPr>
          <w:ilvl w:val="0"/>
          <w:numId w:val="4"/>
        </w:numPr>
        <w:spacing w:after="100" w:line="276"/>
      </w:pPr>
      <w:r>
        <w:rPr>
          <w:rFonts w:ascii="Georgia" w:cs="Georgia" w:eastAsia="Georgia" w:hAnsi="Georgia"/>
          <w:color w:val="2C2C2C"/>
          <w:sz w:val="21"/>
          <w:szCs w:val="21"/>
        </w:rPr>
        <w:t xml:space="preserve">T10 (Entry Vector Analysis) weighted scores are calculated using the defined weight allocation. Weights sum to 100%.</w:t>
      </w:r>
    </w:p>
    <w:p>
      <w:pPr>
        <w:pStyle w:val="ListParagraph"/>
        <w:numPr>
          <w:ilvl w:val="0"/>
          <w:numId w:val="4"/>
        </w:numPr>
        <w:spacing w:after="100" w:line="276"/>
      </w:pPr>
      <w:r>
        <w:rPr>
          <w:rFonts w:ascii="Georgia" w:cs="Georgia" w:eastAsia="Georgia" w:hAnsi="Georgia"/>
          <w:color w:val="2C2C2C"/>
          <w:sz w:val="21"/>
          <w:szCs w:val="21"/>
        </w:rPr>
        <w:t xml:space="preserve">All scoring matrices use the defined classifications (Prime, Viable, Conditional, Archived for T10; Aggressive, Calculated, Cautious, Defensive for T8).</w:t>
      </w:r>
    </w:p>
    <w:p>
      <w:pPr>
        <w:pStyle w:val="Heading2"/>
        <w:spacing w:after="160" w:before="280"/>
      </w:pPr>
      <w:r>
        <w:rPr>
          <w:rFonts w:ascii="Georgia" w:cs="Georgia" w:eastAsia="Georgia" w:hAnsi="Georgia"/>
          <w:b/>
          <w:bCs/>
          <w:color w:val="3D5A80"/>
          <w:sz w:val="26"/>
          <w:szCs w:val="26"/>
        </w:rPr>
        <w:t xml:space="preserve">Dependency Compliance</w:t>
      </w:r>
    </w:p>
    <w:p>
      <w:pPr>
        <w:pStyle w:val="ListParagraph"/>
        <w:numPr>
          <w:ilvl w:val="0"/>
          <w:numId w:val="4"/>
        </w:numPr>
        <w:spacing w:after="100" w:line="276"/>
      </w:pPr>
      <w:r>
        <w:rPr>
          <w:rFonts w:ascii="Georgia" w:cs="Georgia" w:eastAsia="Georgia" w:hAnsi="Georgia"/>
          <w:color w:val="2C2C2C"/>
          <w:sz w:val="21"/>
          <w:szCs w:val="21"/>
        </w:rPr>
        <w:t xml:space="preserve">T6 (Trust) references T1 (Culture) for cultural amplifiers of trust destruction events.</w:t>
      </w:r>
    </w:p>
    <w:p>
      <w:pPr>
        <w:pStyle w:val="ListParagraph"/>
        <w:numPr>
          <w:ilvl w:val="0"/>
          <w:numId w:val="4"/>
        </w:numPr>
        <w:spacing w:after="100" w:line="276"/>
      </w:pPr>
      <w:r>
        <w:rPr>
          <w:rFonts w:ascii="Georgia" w:cs="Georgia" w:eastAsia="Georgia" w:hAnsi="Georgia"/>
          <w:color w:val="2C2C2C"/>
          <w:sz w:val="21"/>
          <w:szCs w:val="21"/>
        </w:rPr>
        <w:t xml:space="preserve">T7 (Temporal) references T2 (Levers) for trigger-timing alignment.</w:t>
      </w:r>
    </w:p>
    <w:p>
      <w:pPr>
        <w:pStyle w:val="ListParagraph"/>
        <w:numPr>
          <w:ilvl w:val="0"/>
          <w:numId w:val="4"/>
        </w:numPr>
        <w:spacing w:after="100" w:line="276"/>
      </w:pPr>
      <w:r>
        <w:rPr>
          <w:rFonts w:ascii="Georgia" w:cs="Georgia" w:eastAsia="Georgia" w:hAnsi="Georgia"/>
          <w:color w:val="2C2C2C"/>
          <w:sz w:val="21"/>
          <w:szCs w:val="21"/>
        </w:rPr>
        <w:t xml:space="preserve">T8 (Risk) references EA §2 for structural force durability.</w:t>
      </w:r>
    </w:p>
    <w:p>
      <w:pPr>
        <w:pStyle w:val="ListParagraph"/>
        <w:numPr>
          <w:ilvl w:val="0"/>
          <w:numId w:val="4"/>
        </w:numPr>
        <w:spacing w:after="100" w:line="276"/>
      </w:pPr>
      <w:r>
        <w:rPr>
          <w:rFonts w:ascii="Georgia" w:cs="Georgia" w:eastAsia="Georgia" w:hAnsi="Georgia"/>
          <w:color w:val="2C2C2C"/>
          <w:sz w:val="21"/>
          <w:szCs w:val="21"/>
        </w:rPr>
        <w:t xml:space="preserve">T9 (Capital) references T5 (Topology) for price boundary constraints.</w:t>
      </w:r>
    </w:p>
    <w:p>
      <w:pPr>
        <w:pStyle w:val="ListParagraph"/>
        <w:numPr>
          <w:ilvl w:val="0"/>
          <w:numId w:val="4"/>
        </w:numPr>
        <w:spacing w:after="100" w:line="276"/>
      </w:pPr>
      <w:r>
        <w:rPr>
          <w:rFonts w:ascii="Georgia" w:cs="Georgia" w:eastAsia="Georgia" w:hAnsi="Georgia"/>
          <w:color w:val="2C2C2C"/>
          <w:sz w:val="21"/>
          <w:szCs w:val="21"/>
        </w:rPr>
        <w:t xml:space="preserve">T10 (Entry Vectors) draws from all preceding documents. Each vector profile cites at least six distinct template references.</w:t>
      </w:r>
    </w:p>
    <w:p>
      <w:pPr>
        <w:pStyle w:val="Heading2"/>
        <w:spacing w:after="160" w:before="280"/>
      </w:pPr>
      <w:r>
        <w:rPr>
          <w:rFonts w:ascii="Georgia" w:cs="Georgia" w:eastAsia="Georgia" w:hAnsi="Georgia"/>
          <w:b/>
          <w:bCs/>
          <w:color w:val="3D5A80"/>
          <w:sz w:val="26"/>
          <w:szCs w:val="26"/>
        </w:rPr>
        <w:t xml:space="preserve">Strategic Coherence</w:t>
      </w:r>
    </w:p>
    <w:p>
      <w:pPr>
        <w:pStyle w:val="ListParagraph"/>
        <w:numPr>
          <w:ilvl w:val="0"/>
          <w:numId w:val="4"/>
        </w:numPr>
        <w:spacing w:after="100" w:line="276"/>
      </w:pPr>
      <w:r>
        <w:rPr>
          <w:rFonts w:ascii="Georgia" w:cs="Georgia" w:eastAsia="Georgia" w:hAnsi="Georgia"/>
          <w:color w:val="2C2C2C"/>
          <w:sz w:val="21"/>
          <w:szCs w:val="21"/>
        </w:rPr>
        <w:t xml:space="preserve">T8 Risk Posture recommendation is consistent with T10 vector risk exposure scores. A “Cautious” ecosystem should not produce vectors scored as if the posture were “Aggressive.”</w:t>
      </w:r>
    </w:p>
    <w:p>
      <w:pPr>
        <w:pStyle w:val="ListParagraph"/>
        <w:numPr>
          <w:ilvl w:val="0"/>
          <w:numId w:val="4"/>
        </w:numPr>
        <w:spacing w:after="100" w:line="276"/>
      </w:pPr>
      <w:r>
        <w:rPr>
          <w:rFonts w:ascii="Georgia" w:cs="Georgia" w:eastAsia="Georgia" w:hAnsi="Georgia"/>
          <w:color w:val="2C2C2C"/>
          <w:sz w:val="21"/>
          <w:szCs w:val="21"/>
        </w:rPr>
        <w:t xml:space="preserve">T9 Capital insertion points align with T5 White Space entries. A vector cannot insert into a capital flow at a position that T5 classifies as saturated without explicit justification.</w:t>
      </w:r>
    </w:p>
    <w:p>
      <w:pPr>
        <w:pStyle w:val="ListParagraph"/>
        <w:numPr>
          <w:ilvl w:val="0"/>
          <w:numId w:val="4"/>
        </w:numPr>
        <w:spacing w:after="100" w:line="276"/>
      </w:pPr>
      <w:r>
        <w:rPr>
          <w:rFonts w:ascii="Georgia" w:cs="Georgia" w:eastAsia="Georgia" w:hAnsi="Georgia"/>
          <w:color w:val="2C2C2C"/>
          <w:sz w:val="21"/>
          <w:szCs w:val="21"/>
        </w:rPr>
        <w:t xml:space="preserve">T7 Timing windows align with T2 Lever timing. A vector’s launch window must coincide with the activation period of its primary lever.</w:t>
      </w:r>
    </w:p>
    <w:p>
      <w:pPr>
        <w:pStyle w:val="ListParagraph"/>
        <w:numPr>
          <w:ilvl w:val="0"/>
          <w:numId w:val="4"/>
        </w:numPr>
        <w:spacing w:after="100" w:line="276"/>
      </w:pPr>
      <w:r>
        <w:rPr>
          <w:rFonts w:ascii="Georgia" w:cs="Georgia" w:eastAsia="Georgia" w:hAnsi="Georgia"/>
          <w:color w:val="2C2C2C"/>
          <w:sz w:val="21"/>
          <w:szCs w:val="21"/>
        </w:rPr>
        <w:t xml:space="preserve">T6 Trust pathway durations are realistic given T7 timing constraints. A vector cannot require 12 months of trust-building and a 3-month launch window.</w:t>
      </w:r>
    </w:p>
    <w:p>
      <w:pPr>
        <w:pStyle w:val="Heading2"/>
        <w:spacing w:after="160" w:before="280"/>
      </w:pPr>
      <w:r>
        <w:rPr>
          <w:rFonts w:ascii="Georgia" w:cs="Georgia" w:eastAsia="Georgia" w:hAnsi="Georgia"/>
          <w:b/>
          <w:bCs/>
          <w:color w:val="3D5A80"/>
          <w:sz w:val="26"/>
          <w:szCs w:val="26"/>
        </w:rPr>
        <w:t xml:space="preserve">Product Agnosticism</w:t>
      </w:r>
    </w:p>
    <w:p>
      <w:pPr>
        <w:pStyle w:val="ListParagraph"/>
        <w:numPr>
          <w:ilvl w:val="0"/>
          <w:numId w:val="4"/>
        </w:numPr>
        <w:spacing w:after="100" w:line="276"/>
      </w:pPr>
      <w:r>
        <w:rPr>
          <w:rFonts w:ascii="Georgia" w:cs="Georgia" w:eastAsia="Georgia" w:hAnsi="Georgia"/>
          <w:color w:val="2C2C2C"/>
          <w:sz w:val="21"/>
          <w:szCs w:val="21"/>
        </w:rPr>
        <w:t xml:space="preserve">No product names, feature lists, pricing recommendations, or build plans appear in T6–T9.</w:t>
      </w:r>
    </w:p>
    <w:p>
      <w:pPr>
        <w:pStyle w:val="ListParagraph"/>
        <w:numPr>
          <w:ilvl w:val="0"/>
          <w:numId w:val="4"/>
        </w:numPr>
        <w:spacing w:after="100" w:line="276"/>
      </w:pPr>
      <w:r>
        <w:rPr>
          <w:rFonts w:ascii="Georgia" w:cs="Georgia" w:eastAsia="Georgia" w:hAnsi="Georgia"/>
          <w:color w:val="2C2C2C"/>
          <w:sz w:val="21"/>
          <w:szCs w:val="21"/>
        </w:rPr>
        <w:t xml:space="preserve">T10 Entry Vectors are stated as strategic positions, not product descriptions. The vector statement uses interface/segment/pathway language, not feature/benefit language.</w:t>
      </w:r>
    </w:p>
    <w:p>
      <w:pPr>
        <w:pStyle w:val="ListParagraph"/>
        <w:numPr>
          <w:ilvl w:val="0"/>
          <w:numId w:val="4"/>
        </w:numPr>
        <w:spacing w:after="100" w:line="276"/>
      </w:pPr>
      <w:r>
        <w:rPr>
          <w:rFonts w:ascii="Georgia" w:cs="Georgia" w:eastAsia="Georgia" w:hAnsi="Georgia"/>
          <w:color w:val="2C2C2C"/>
          <w:sz w:val="21"/>
          <w:szCs w:val="21"/>
        </w:rPr>
        <w:t xml:space="preserve">No internal system names, codenames, brand names, or proprietary framework references appear anywhere.</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The Complete Analytical Stack</w:t>
      </w:r>
    </w:p>
    <w:p>
      <w:pPr>
        <w:spacing w:after="160" w:line="276"/>
        <w:jc w:val="left"/>
      </w:pPr>
      <w:r>
        <w:rPr>
          <w:rFonts w:ascii="Georgia" w:cs="Georgia" w:eastAsia="Georgia" w:hAnsi="Georgia"/>
          <w:color w:val="2C2C2C"/>
          <w:sz w:val="21"/>
          <w:szCs w:val="21"/>
        </w:rPr>
        <w:t xml:space="preserve">With the Strategy Suite complete, the full analytical doctrine comprises: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Ref</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Document</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Primary Output</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EA</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Ecosystem Analysis</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Terrain map: forces, participants, mechanics, outcomes, interfaces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Culture Map</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Tribal identity: creation story, creed, rituals, hierarchy, sub-tribes</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T2</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Lever Architecture</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Action triggers: buying, switching, urgency, forcing functions, cascades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Participant Decision Architecture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Decision processes: information, influence, timeline, objections, heuristics</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T4</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Language &amp; Semiotics Map</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Communication layer: lexicon, metaphors, register, platform variations, taboos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Competitive Topology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Solution landscape: categories, white space, price boundaries, fragility</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T6</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Trust Architecture</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Credibility system: hierarchy, transfer mechanics, accumulation, destruction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Temporal Rhythm Map</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Timing intelligence: rhythm stack, attention calendar, velocity, convergences</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T8</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Risk &amp; Fragility Map</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Vulnerability profile: risk taxonomy, cascade models, early warnings, posture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T9</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Capital Flow Atlas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Financial anatomy: entry points, flows, margin pools, leaks, insertion points</w:t>
            </w:r>
          </w:p>
        </w:tc>
      </w:tr>
      <w:tr>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T10</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Entry Vector Analysis</w:t>
            </w:r>
          </w:p>
        </w:tc>
        <w:tc>
          <w:tcPr>
            <w:tcW w:type="dxa" w:w="40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Strategic positions: generated, filtered, scored, and profiled entry vectors</w:t>
            </w:r>
          </w:p>
        </w:tc>
      </w:tr>
    </w:tbl>
    <w:p>
      <w:pPr>
        <w:spacing w:after="160" w:line="276"/>
        <w:jc w:val="left"/>
      </w:pPr>
      <w:r>
        <w:rPr>
          <w:rFonts w:ascii="Georgia" w:cs="Georgia" w:eastAsia="Georgia" w:hAnsi="Georgia"/>
          <w:color w:val="2C2C2C"/>
          <w:sz w:val="21"/>
          <w:szCs w:val="21"/>
        </w:rPr>
        <w:t xml:space="preserve"/>
      </w:r>
    </w:p>
    <w:p>
      <w:pPr>
        <w:pBdr>
          <w:left w:val="single" w:color="E07A5F" w:sz="12" w:space="8"/>
        </w:pBdr>
        <w:spacing w:after="200" w:before="200"/>
        <w:ind w:left="360" w:right="360"/>
      </w:pPr>
      <w:r>
        <w:rPr>
          <w:rFonts w:ascii="Georgia" w:cs="Georgia" w:eastAsia="Georgia" w:hAnsi="Georgia"/>
          <w:i/>
          <w:iCs/>
          <w:color w:val="3D5A80"/>
          <w:sz w:val="21"/>
          <w:szCs w:val="21"/>
        </w:rPr>
        <w:t xml:space="preserve">Eleven documents. One analytical system. The Ecosystem Analysis provides the foundation. Templates T1–T5 provide intelligence. Templates T6–T9 provide strategic context. Template T10 synthesises everything into actionable entry positions. What follows T10 is product design, not analysis. The analytical work is complete.</w:t>
      </w:r>
    </w:p>
    <w:p>
      <w:pPr>
        <w:spacing w:after="160" w:line="276"/>
        <w:jc w:val="left"/>
      </w:pPr>
      <w:r>
        <w:rPr>
          <w:rFonts w:ascii="Georgia" w:cs="Georgia" w:eastAsia="Georgia" w:hAnsi="Georgia"/>
          <w:color w:val="2C2C2C"/>
          <w:sz w:val="21"/>
          <w:szCs w:val="21"/>
        </w:rPr>
        <w:t xml:space="preserve"/>
      </w:r>
    </w:p>
    <w:p>
      <w:pPr>
        <w:spacing w:after="80"/>
        <w:jc w:val="center"/>
      </w:pPr>
      <w:r>
        <w:rPr>
          <w:rFonts w:ascii="Georgia" w:cs="Georgia" w:eastAsia="Georgia" w:hAnsi="Georgia"/>
          <w:i/>
          <w:iCs/>
          <w:color w:val="555555"/>
          <w:sz w:val="20"/>
          <w:szCs w:val="20"/>
        </w:rPr>
        <w:t xml:space="preserve">— End of Standard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2" w:space="4"/>
      </w:pBdr>
      <w:tabs>
        <w:tab w:val="right" w:pos="9026"/>
      </w:tabs>
      <w:spacing w:after="0"/>
    </w:pPr>
    <w:r>
      <w:rPr>
        <w:rFonts w:ascii="Georgia" w:cs="Georgia" w:eastAsia="Georgia" w:hAnsi="Georgia"/>
        <w:i/>
        <w:iCs/>
        <w:color w:val="555555"/>
        <w:sz w:val="16"/>
        <w:szCs w:val="16"/>
      </w:rPr>
      <w:t xml:space="preserve">Ecosystem Strategy Suite — Template Standards v1.0</w:t>
    </w:r>
    <w:r>
      <w:rPr>
        <w:rFonts w:ascii="Georgia" w:cs="Georgia" w:eastAsia="Georgia" w:hAnsi="Georgia"/>
        <w:color w:val="55555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2026-03-22T10:01:18.569Z</dcterms:created>
  <dcterms:modified xsi:type="dcterms:W3CDTF">2026-03-22T10:01:18.570Z</dcterms:modified>
</cp:coreProperties>
</file>

<file path=docProps/custom.xml><?xml version="1.0" encoding="utf-8"?>
<Properties xmlns="http://schemas.openxmlformats.org/officeDocument/2006/custom-properties" xmlns:vt="http://schemas.openxmlformats.org/officeDocument/2006/docPropsVTypes"/>
</file>