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3D5A80"/>
          <w:spacing w:val="200"/>
          <w:sz w:val="18"/>
          <w:szCs w:val="18"/>
        </w:rPr>
        <w:t xml:space="preserve">DISTRIBUTION DOCTRINE</w:t>
      </w:r>
    </w:p>
    <w:p>
      <w:pPr>
        <w:pBdr>
          <w:bottom w:val="single" w:color="E07A5F" w:sz="6" w:space="12"/>
        </w:pBdr>
        <w:spacing w:after="60"/>
        <w:jc w:val="center"/>
      </w:pPr>
      <w:r>
        <w:rPr>
          <w:rFonts w:ascii="Georgia" w:cs="Georgia" w:eastAsia="Georgia" w:hAnsi="Georgia"/>
          <w:b/>
          <w:bCs/>
          <w:color w:val="1B2A4A"/>
          <w:sz w:val="56"/>
          <w:szCs w:val="56"/>
        </w:rPr>
        <w:t xml:space="preserve">Micro-Virality</w:t>
      </w:r>
    </w:p>
    <w:p>
      <w:pPr>
        <w:spacing w:before="240"/>
      </w:pPr>
    </w:p>
    <w:p>
      <w:pPr>
        <w:spacing w:after="60"/>
        <w:jc w:val="center"/>
      </w:pPr>
      <w:r>
        <w:rPr>
          <w:rFonts w:ascii="Georgia" w:cs="Georgia" w:eastAsia="Georgia" w:hAnsi="Georgia"/>
          <w:color w:val="3D5A80"/>
          <w:sz w:val="24"/>
          <w:szCs w:val="24"/>
        </w:rPr>
        <w:t xml:space="preserve">How products become defaults within niche ecosystems</w:t>
      </w:r>
    </w:p>
    <w:p>
      <w:pPr>
        <w:spacing w:after="60"/>
        <w:jc w:val="center"/>
      </w:pPr>
      <w:r>
        <w:rPr>
          <w:rFonts w:ascii="Georgia" w:cs="Georgia" w:eastAsia="Georgia" w:hAnsi="Georgia"/>
          <w:color w:val="3D5A80"/>
          <w:sz w:val="24"/>
          <w:szCs w:val="24"/>
        </w:rPr>
        <w:t xml:space="preserve">without mass reach, paid acquisition, or algorithmic lottery.</w:t>
      </w:r>
    </w:p>
    <w:p>
      <w:pPr>
        <w:spacing w:before="400"/>
      </w:pPr>
    </w:p>
    <w:p>
      <w:pPr>
        <w:jc w:val="center"/>
      </w:pPr>
      <w:r>
        <w:rPr>
          <w:rFonts w:ascii="Georgia" w:cs="Georgia" w:eastAsia="Georgia" w:hAnsi="Georgia"/>
          <w:color w:val="1B2A4A"/>
          <w:sz w:val="20"/>
          <w:szCs w:val="20"/>
        </w:rPr>
        <w:t xml:space="preserve">Part I — The Doctrine</w:t>
      </w:r>
    </w:p>
    <w:p>
      <w:pPr>
        <w:spacing w:after="40"/>
        <w:jc w:val="center"/>
      </w:pPr>
      <w:r>
        <w:rPr>
          <w:rFonts w:ascii="Georgia" w:cs="Georgia" w:eastAsia="Georgia" w:hAnsi="Georgia"/>
          <w:color w:val="1B2A4A"/>
          <w:sz w:val="20"/>
          <w:szCs w:val="20"/>
        </w:rPr>
        <w:t xml:space="preserve">Part II — The Product Design Framework</w:t>
      </w:r>
    </w:p>
    <w:p>
      <w:pPr>
        <w:spacing w:after="40"/>
        <w:jc w:val="center"/>
      </w:pPr>
      <w:r>
        <w:rPr>
          <w:rFonts w:ascii="Georgia" w:cs="Georgia" w:eastAsia="Georgia" w:hAnsi="Georgia"/>
          <w:color w:val="1B2A4A"/>
          <w:sz w:val="20"/>
          <w:szCs w:val="20"/>
        </w:rPr>
        <w:t xml:space="preserve">Part III — The Ecosystem Distribution Playbook</w:t>
      </w:r>
    </w:p>
    <w:p>
      <w:pPr>
        <w:spacing w:after="200"/>
        <w:jc w:val="center"/>
      </w:pPr>
      <w:r>
        <w:rPr>
          <w:rFonts w:ascii="Georgia" w:cs="Georgia" w:eastAsia="Georgia" w:hAnsi="Georgia"/>
          <w:color w:val="1B2A4A"/>
          <w:sz w:val="20"/>
          <w:szCs w:val="20"/>
        </w:rPr>
        <w:t xml:space="preserve">Part IV — Template Standard T11</w:t>
      </w:r>
    </w:p>
    <w:p>
      <w:pPr>
        <w:spacing w:before="1600"/>
      </w:pPr>
    </w:p>
    <w:p>
      <w:pPr>
        <w:jc w:val="center"/>
      </w:pPr>
      <w:r>
        <w:rPr>
          <w:rFonts w:ascii="Georgia" w:cs="Georgia" w:eastAsia="Georgia" w:hAnsi="Georgia"/>
          <w:b/>
          <w:bCs/>
          <w:color w:val="555555"/>
          <w:spacing w:val="160"/>
          <w:sz w:val="18"/>
          <w:szCs w:val="18"/>
        </w:rPr>
        <w:t xml:space="preserve">INTERNAL DOCTRINE</w:t>
      </w:r>
    </w:p>
    <w:p>
      <w:pPr>
        <w:spacing w:after="40"/>
        <w:jc w:val="center"/>
      </w:pPr>
      <w:r>
        <w:rPr>
          <w:rFonts w:ascii="Georgia" w:cs="Georgia" w:eastAsia="Georgia" w:hAnsi="Georgia"/>
          <w:color w:val="555555"/>
          <w:sz w:val="20"/>
          <w:szCs w:val="20"/>
        </w:rPr>
        <w:t xml:space="preserve">Version 1.0 — March 2026</w:t>
      </w:r>
    </w:p>
    <w:p>
      <w:pPr>
        <w:jc w:val="center"/>
      </w:pPr>
      <w:r>
        <w:rPr>
          <w:rFonts w:ascii="Georgia" w:cs="Georgia" w:eastAsia="Georgia" w:hAnsi="Georgia"/>
          <w:i/>
          <w:iCs/>
          <w:color w:val="555555"/>
          <w:sz w:val="17"/>
          <w:szCs w:val="17"/>
        </w:rPr>
        <w:t xml:space="preserve">Cross-references: EA, T1–T10, Distribution Playbooks (Doc 07), Compounding Advantage Framework (Doc 15)</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2"/>
          <w:szCs w:val="32"/>
        </w:rPr>
        <w:t xml:space="preserve">Part I: The Doctrine</w:t>
      </w:r>
    </w:p>
    <w:p>
      <w:pPr>
        <w:pStyle w:val="Heading2"/>
        <w:spacing w:after="160" w:before="280"/>
      </w:pPr>
      <w:r>
        <w:rPr>
          <w:rFonts w:ascii="Georgia" w:cs="Georgia" w:eastAsia="Georgia" w:hAnsi="Georgia"/>
          <w:b/>
          <w:bCs/>
          <w:color w:val="3D5A80"/>
          <w:sz w:val="26"/>
          <w:szCs w:val="26"/>
        </w:rPr>
        <w:t xml:space="preserve">1. What Micro-Virality Is</w:t>
      </w:r>
    </w:p>
    <w:p>
      <w:pPr>
        <w:spacing w:after="160" w:line="276"/>
      </w:pPr>
      <w:r>
        <w:rPr>
          <w:rFonts w:ascii="Georgia" w:cs="Georgia" w:eastAsia="Georgia" w:hAnsi="Georgia"/>
          <w:color w:val="2C2C2C"/>
          <w:sz w:val="21"/>
          <w:szCs w:val="21"/>
        </w:rPr>
        <w:t xml:space="preserve">Micro-virality is the engineered propagation of a product through a bounded ecosystem via the artifacts, social proof signals, and trust-transfer events that its own usage generates. It is not mass virality compressed into a smaller audience. It is a fundamentally different distribution mechanic that operates on different physics.</w:t>
      </w:r>
    </w:p>
    <w:p>
      <w:pPr>
        <w:pBdr>
          <w:left w:val="single" w:color="E07A5F" w:sz="12" w:space="8"/>
        </w:pBdr>
        <w:spacing w:after="200" w:before="200"/>
        <w:ind w:left="360" w:right="360"/>
      </w:pPr>
      <w:r>
        <w:rPr>
          <w:rFonts w:ascii="Georgia" w:cs="Georgia" w:eastAsia="Georgia" w:hAnsi="Georgia"/>
          <w:i/>
          <w:iCs/>
          <w:color w:val="3D5A80"/>
          <w:sz w:val="21"/>
          <w:szCs w:val="21"/>
        </w:rPr>
        <w:t xml:space="preserve">Mass virality asks: “How do we get a million people to see this?” Micro-virality asks: “How do we get the right 200 people inside a specific ecosystem to encounter this product’s output as a natural consequence of someone else using it — and then feel compelled to adopt it because the artifact they encountered solved a problem they already have?”</w:t>
      </w:r>
    </w:p>
    <w:p>
      <w:pPr>
        <w:spacing w:after="160" w:line="276"/>
      </w:pPr>
      <w:r>
        <w:rPr>
          <w:rFonts w:ascii="Georgia" w:cs="Georgia" w:eastAsia="Georgia" w:hAnsi="Georgia"/>
          <w:color w:val="2C2C2C"/>
          <w:sz w:val="21"/>
          <w:szCs w:val="21"/>
        </w:rPr>
        <w:t xml:space="preserve">The distinction is not semantic. It changes every design decision, every distribution choice, and every metric you track. Mass virality optimises for impressions. Micro-virality optimises for encounter quality within a trust network.</w:t>
      </w:r>
    </w:p>
    <w:p>
      <w:pPr>
        <w:pStyle w:val="Heading2"/>
        <w:spacing w:after="160" w:before="280"/>
      </w:pPr>
      <w:r>
        <w:rPr>
          <w:rFonts w:ascii="Georgia" w:cs="Georgia" w:eastAsia="Georgia" w:hAnsi="Georgia"/>
          <w:b/>
          <w:bCs/>
          <w:color w:val="3D5A80"/>
          <w:sz w:val="26"/>
          <w:szCs w:val="26"/>
        </w:rPr>
        <w:t xml:space="preserve">2. The Physics of Micro-Virality</w:t>
      </w:r>
    </w:p>
    <w:p>
      <w:pPr>
        <w:spacing w:after="160" w:line="276"/>
      </w:pPr>
      <w:r>
        <w:rPr>
          <w:rFonts w:ascii="Georgia" w:cs="Georgia" w:eastAsia="Georgia" w:hAnsi="Georgia"/>
          <w:color w:val="2C2C2C"/>
          <w:sz w:val="21"/>
          <w:szCs w:val="21"/>
        </w:rPr>
        <w:t xml:space="preserve">Micro-virality operates through three interlocking mechanics. All three must be present for the system to function. If any one is absent, the product may grow through other channels, but it will not achieve micro-viral propagation.</w:t>
      </w:r>
    </w:p>
    <w:p>
      <w:pPr>
        <w:spacing w:after="120" w:before="200"/>
      </w:pPr>
      <w:r>
        <w:rPr>
          <w:rFonts w:ascii="Georgia" w:cs="Georgia" w:eastAsia="Georgia" w:hAnsi="Georgia"/>
          <w:b/>
          <w:bCs/>
          <w:color w:val="1B2A4A"/>
          <w:sz w:val="22"/>
          <w:szCs w:val="22"/>
        </w:rPr>
        <w:t xml:space="preserve">2.1 The Artifact Mechanic</w:t>
      </w:r>
    </w:p>
    <w:p>
      <w:pPr>
        <w:spacing w:after="160" w:line="276"/>
      </w:pPr>
      <w:r>
        <w:rPr>
          <w:rFonts w:ascii="Georgia" w:cs="Georgia" w:eastAsia="Georgia" w:hAnsi="Georgia"/>
          <w:color w:val="2C2C2C"/>
          <w:sz w:val="21"/>
          <w:szCs w:val="21"/>
        </w:rPr>
        <w:t xml:space="preserve">Every time a user completes a core workflow, the product generates an artifact that is visible to non-users. The artifact is not marketing. It is the product’s output — a report, a compliance badge, a proof pack, a shared dashboard, an exported document, an embedded widget. The artifact exists because the user needed it, not because the product wanted to promote itself.</w:t>
      </w:r>
    </w:p>
    <w:p>
      <w:pPr>
        <w:spacing w:after="160" w:line="276"/>
      </w:pPr>
      <w:r>
        <w:rPr>
          <w:rFonts w:ascii="Georgia" w:cs="Georgia" w:eastAsia="Georgia" w:hAnsi="Georgia"/>
          <w:color w:val="2C2C2C"/>
          <w:sz w:val="21"/>
          <w:szCs w:val="21"/>
        </w:rPr>
        <w:t xml:space="preserve">The artifact carries three embedded signals simultaneously:</w:t>
      </w:r>
    </w:p>
    <w:p>
      <w:pPr>
        <w:pStyle w:val="ListParagraph"/>
        <w:numPr>
          <w:ilvl w:val="0"/>
          <w:numId w:val="2"/>
        </w:numPr>
        <w:spacing w:after="120" w:line="276"/>
      </w:pPr>
      <w:r>
        <w:rPr>
          <w:rFonts w:ascii="Georgia" w:cs="Georgia" w:eastAsia="Georgia" w:hAnsi="Georgia"/>
          <w:b/>
          <w:bCs/>
          <w:color w:val="1B2A4A"/>
          <w:sz w:val="21"/>
          <w:szCs w:val="21"/>
        </w:rPr>
        <w:t xml:space="preserve">Utility signal: </w:t>
      </w:r>
      <w:r>
        <w:rPr>
          <w:rFonts w:ascii="Georgia" w:cs="Georgia" w:eastAsia="Georgia" w:hAnsi="Georgia"/>
          <w:color w:val="2C2C2C"/>
          <w:sz w:val="21"/>
          <w:szCs w:val="21"/>
        </w:rPr>
        <w:t xml:space="preserve">The artifact is useful to the person who encounters it. A compliance report received by a brand demonstrates the creator’s professionalism. A shared analytics dashboard gives a collaborator insight. The artifact has standalone value independent of its origin.</w:t>
      </w:r>
    </w:p>
    <w:p>
      <w:pPr>
        <w:pStyle w:val="ListParagraph"/>
        <w:numPr>
          <w:ilvl w:val="0"/>
          <w:numId w:val="2"/>
        </w:numPr>
        <w:spacing w:after="120" w:line="276"/>
      </w:pPr>
      <w:r>
        <w:rPr>
          <w:rFonts w:ascii="Georgia" w:cs="Georgia" w:eastAsia="Georgia" w:hAnsi="Georgia"/>
          <w:b/>
          <w:bCs/>
          <w:color w:val="1B2A4A"/>
          <w:sz w:val="21"/>
          <w:szCs w:val="21"/>
        </w:rPr>
        <w:t xml:space="preserve">Capability signal: </w:t>
      </w:r>
      <w:r>
        <w:rPr>
          <w:rFonts w:ascii="Georgia" w:cs="Georgia" w:eastAsia="Georgia" w:hAnsi="Georgia"/>
          <w:color w:val="2C2C2C"/>
          <w:sz w:val="21"/>
          <w:szCs w:val="21"/>
        </w:rPr>
        <w:t xml:space="preserve">The artifact demonstrates what the product can do without requiring the observer to visit a landing page, watch a demo, or read a feature list. The artifact is the demo. The observer thinks: “I want that output for my own use.”</w:t>
      </w:r>
    </w:p>
    <w:p>
      <w:pPr>
        <w:pStyle w:val="ListParagraph"/>
        <w:numPr>
          <w:ilvl w:val="0"/>
          <w:numId w:val="2"/>
        </w:numPr>
        <w:spacing w:after="120" w:line="276"/>
      </w:pPr>
      <w:r>
        <w:rPr>
          <w:rFonts w:ascii="Georgia" w:cs="Georgia" w:eastAsia="Georgia" w:hAnsi="Georgia"/>
          <w:b/>
          <w:bCs/>
          <w:color w:val="1B2A4A"/>
          <w:sz w:val="21"/>
          <w:szCs w:val="21"/>
        </w:rPr>
        <w:t xml:space="preserve">Trust signal: </w:t>
      </w:r>
      <w:r>
        <w:rPr>
          <w:rFonts w:ascii="Georgia" w:cs="Georgia" w:eastAsia="Georgia" w:hAnsi="Georgia"/>
          <w:color w:val="2C2C2C"/>
          <w:sz w:val="21"/>
          <w:szCs w:val="21"/>
        </w:rPr>
        <w:t xml:space="preserve">The artifact was created by someone the observer already trusts or works with. It arrives through a trusted channel — a business communication, a collaboration workflow, a peer’s public post — not through an ad placement. This inherits trust via proximity transfer [Ref: T6 §2.3].</w:t>
      </w:r>
    </w:p>
    <w:p>
      <w:pPr>
        <w:pBdr>
          <w:left w:val="single" w:color="E07A5F" w:sz="12" w:space="8"/>
        </w:pBdr>
        <w:spacing w:after="200" w:before="200"/>
        <w:ind w:left="360" w:right="360"/>
      </w:pPr>
      <w:r>
        <w:rPr>
          <w:rFonts w:ascii="Georgia" w:cs="Georgia" w:eastAsia="Georgia" w:hAnsi="Georgia"/>
          <w:i/>
          <w:iCs/>
          <w:color w:val="3D5A80"/>
          <w:sz w:val="21"/>
          <w:szCs w:val="21"/>
        </w:rPr>
        <w:t xml:space="preserve">The artifact mechanic inverts the traditional funnel. In traditional marketing, the sequence is: see ad → visit page → understand product → try product → adopt. In artifact-driven micro-virality, the sequence is: encounter output → recognise value → want the same output → discover origin → adopt. The product’s output does the selling.</w:t>
      </w:r>
    </w:p>
    <w:p>
      <w:pPr>
        <w:spacing w:after="120" w:before="200"/>
      </w:pPr>
      <w:r>
        <w:rPr>
          <w:rFonts w:ascii="Georgia" w:cs="Georgia" w:eastAsia="Georgia" w:hAnsi="Georgia"/>
          <w:b/>
          <w:bCs/>
          <w:color w:val="1B2A4A"/>
          <w:sz w:val="22"/>
          <w:szCs w:val="22"/>
        </w:rPr>
        <w:t xml:space="preserve">2.2 The Network Permeation Mechanic</w:t>
      </w:r>
    </w:p>
    <w:p>
      <w:pPr>
        <w:spacing w:after="160" w:line="276"/>
      </w:pPr>
      <w:r>
        <w:rPr>
          <w:rFonts w:ascii="Georgia" w:cs="Georgia" w:eastAsia="Georgia" w:hAnsi="Georgia"/>
          <w:color w:val="2C2C2C"/>
          <w:sz w:val="21"/>
          <w:szCs w:val="21"/>
        </w:rPr>
        <w:t xml:space="preserve">Artifacts propagate through trust networks, not broadcast channels. The path an artifact follows is determined by the ecosystem’s existing trust topology [Ref: T6 §5]. In a well-mapped ecosystem, you can predict which nodes will encounter an artifact first, how quickly it will reach adjacent nodes, and where it will stop propagating.</w:t>
      </w:r>
    </w:p>
    <w:p>
      <w:pPr>
        <w:spacing w:after="160" w:line="276"/>
      </w:pPr>
      <w:r>
        <w:rPr>
          <w:rFonts w:ascii="Georgia" w:cs="Georgia" w:eastAsia="Georgia" w:hAnsi="Georgia"/>
          <w:color w:val="2C2C2C"/>
          <w:sz w:val="21"/>
          <w:szCs w:val="21"/>
        </w:rPr>
        <w:t xml:space="preserve">Three network properties govern permeation speed:</w:t>
      </w:r>
    </w:p>
    <w:p>
      <w:pPr>
        <w:pStyle w:val="ListParagraph"/>
        <w:numPr>
          <w:ilvl w:val="0"/>
          <w:numId w:val="3"/>
        </w:numPr>
        <w:spacing w:after="100" w:line="276"/>
      </w:pPr>
      <w:r>
        <w:rPr>
          <w:rFonts w:ascii="Georgia" w:cs="Georgia" w:eastAsia="Georgia" w:hAnsi="Georgia"/>
          <w:b/>
          <w:bCs/>
          <w:color w:val="1B2A4A"/>
          <w:sz w:val="21"/>
          <w:szCs w:val="21"/>
        </w:rPr>
        <w:t xml:space="preserve">Network density: </w:t>
      </w:r>
      <w:r>
        <w:rPr>
          <w:rFonts w:ascii="Georgia" w:cs="Georgia" w:eastAsia="Georgia" w:hAnsi="Georgia"/>
          <w:color w:val="2C2C2C"/>
          <w:sz w:val="21"/>
          <w:szCs w:val="21"/>
        </w:rPr>
        <w:t xml:space="preserve">How connected are participants within the ecosystem? In a dense network (small community, frequent interaction, overlapping relationships), a single artifact reaches critical mass in days. In a sparse network (fragmented platforms, rare interaction), the same artifact may take months. Dense ecosystems are micro-virality’s natural habitat.</w:t>
      </w:r>
    </w:p>
    <w:p>
      <w:pPr>
        <w:pStyle w:val="ListParagraph"/>
        <w:numPr>
          <w:ilvl w:val="0"/>
          <w:numId w:val="3"/>
        </w:numPr>
        <w:spacing w:after="100" w:line="276"/>
      </w:pPr>
      <w:r>
        <w:rPr>
          <w:rFonts w:ascii="Georgia" w:cs="Georgia" w:eastAsia="Georgia" w:hAnsi="Georgia"/>
          <w:b/>
          <w:bCs/>
          <w:color w:val="1B2A4A"/>
          <w:sz w:val="21"/>
          <w:szCs w:val="21"/>
        </w:rPr>
        <w:t xml:space="preserve">Trust conductivity: </w:t>
      </w:r>
      <w:r>
        <w:rPr>
          <w:rFonts w:ascii="Georgia" w:cs="Georgia" w:eastAsia="Georgia" w:hAnsi="Georgia"/>
          <w:color w:val="2C2C2C"/>
          <w:sz w:val="21"/>
          <w:szCs w:val="21"/>
        </w:rPr>
        <w:t xml:space="preserve">How efficiently does trust transfer along connections? In ecosystems where peer endorsement carries high weight [Ref: T3 §2, Influence Chain], artifact propagation is amplified because each recipient trusts the sender’s implicit endorsement of the artifact’s origin. In ecosystems where trust is institutional rather than peer-based, artifacts propagate more slowly.</w:t>
      </w:r>
    </w:p>
    <w:p>
      <w:pPr>
        <w:pStyle w:val="ListParagraph"/>
        <w:numPr>
          <w:ilvl w:val="0"/>
          <w:numId w:val="3"/>
        </w:numPr>
        <w:spacing w:after="100" w:line="276"/>
      </w:pPr>
      <w:r>
        <w:rPr>
          <w:rFonts w:ascii="Georgia" w:cs="Georgia" w:eastAsia="Georgia" w:hAnsi="Georgia"/>
          <w:b/>
          <w:bCs/>
          <w:color w:val="1B2A4A"/>
          <w:sz w:val="21"/>
          <w:szCs w:val="21"/>
        </w:rPr>
        <w:t xml:space="preserve">Observability: </w:t>
      </w:r>
      <w:r>
        <w:rPr>
          <w:rFonts w:ascii="Georgia" w:cs="Georgia" w:eastAsia="Georgia" w:hAnsi="Georgia"/>
          <w:color w:val="2C2C2C"/>
          <w:sz w:val="21"/>
          <w:szCs w:val="21"/>
        </w:rPr>
        <w:t xml:space="preserve">How visible is one participant’s tool usage to others? In ecosystems where workflows are public (shared dashboards, collaborative projects, community posts), artifacts are naturally observed. In ecosystems where workflows are private (individual desktop tools, internal-only processes), artifact visibility must be engineered.</w:t>
      </w:r>
    </w:p>
    <w:p>
      <w:pPr>
        <w:spacing w:after="120" w:before="200"/>
      </w:pPr>
      <w:r>
        <w:rPr>
          <w:rFonts w:ascii="Georgia" w:cs="Georgia" w:eastAsia="Georgia" w:hAnsi="Georgia"/>
          <w:b/>
          <w:bCs/>
          <w:color w:val="1B2A4A"/>
          <w:sz w:val="22"/>
          <w:szCs w:val="22"/>
        </w:rPr>
        <w:t xml:space="preserve">2.3 The Status Mechanic</w:t>
      </w:r>
    </w:p>
    <w:p>
      <w:pPr>
        <w:spacing w:after="160" w:line="276"/>
      </w:pPr>
      <w:r>
        <w:rPr>
          <w:rFonts w:ascii="Georgia" w:cs="Georgia" w:eastAsia="Georgia" w:hAnsi="Georgia"/>
          <w:color w:val="2C2C2C"/>
          <w:sz w:val="21"/>
          <w:szCs w:val="21"/>
        </w:rPr>
        <w:t xml:space="preserve">The most powerful micro-viral products do not merely create useful artifacts. They create artifacts that confer status on the person who uses them. The artifact signals to the observer not just “this tool exists” but “the person who sent me this is more professional, more organised, more credible, or more advanced than I realised.”</w:t>
      </w:r>
    </w:p>
    <w:p>
      <w:pPr>
        <w:spacing w:after="160" w:line="276"/>
      </w:pPr>
      <w:r>
        <w:rPr>
          <w:rFonts w:ascii="Georgia" w:cs="Georgia" w:eastAsia="Georgia" w:hAnsi="Georgia"/>
          <w:color w:val="2C2C2C"/>
          <w:sz w:val="21"/>
          <w:szCs w:val="21"/>
        </w:rPr>
        <w:t xml:space="preserve">This status dimension converts micro-virality from a distribution mechanic into a social currency mechanic [Ref: T1 §6, Social Hierarchy]. The user is not merely satisfied with the product — they are motivated to ensure others see the artifact because the artifact enhances their standing. This transforms passive propagation (the artifact happens to be seen) into active propagation (the user wants the artifact to be seen).</w:t>
      </w:r>
    </w:p>
    <w:p>
      <w:pPr>
        <w:pBdr>
          <w:left w:val="single" w:color="E07A5F" w:sz="12" w:space="8"/>
        </w:pBdr>
        <w:spacing w:after="200" w:before="200"/>
        <w:ind w:left="360" w:right="360"/>
      </w:pPr>
      <w:r>
        <w:rPr>
          <w:rFonts w:ascii="Georgia" w:cs="Georgia" w:eastAsia="Georgia" w:hAnsi="Georgia"/>
          <w:i/>
          <w:iCs/>
          <w:color w:val="3D5A80"/>
          <w:sz w:val="21"/>
          <w:szCs w:val="21"/>
        </w:rPr>
        <w:t xml:space="preserve">DocSend’s core insight was not link tracking. It was that a beautifully presented, tracked pitch deck made the sender look more professional than a raw PDF attachment. The sender was incentivised to use DocSend not primarily for the tracking feature, but because the artifact elevated their status in the recipient’s eyes. The tracking was the product. The status was the distribution.</w:t>
      </w:r>
    </w:p>
    <w:p>
      <w:pPr>
        <w:pStyle w:val="Heading2"/>
        <w:spacing w:after="160" w:before="280"/>
      </w:pPr>
      <w:r>
        <w:rPr>
          <w:rFonts w:ascii="Georgia" w:cs="Georgia" w:eastAsia="Georgia" w:hAnsi="Georgia"/>
          <w:b/>
          <w:bCs/>
          <w:color w:val="3D5A80"/>
          <w:sz w:val="26"/>
          <w:szCs w:val="26"/>
        </w:rPr>
        <w:t xml:space="preserve">3. What Micro-Virality Is Not</w:t>
      </w:r>
    </w:p>
    <w:p>
      <w:pPr>
        <w:pStyle w:val="ListParagraph"/>
        <w:numPr>
          <w:ilvl w:val="0"/>
          <w:numId w:val="3"/>
        </w:numPr>
        <w:spacing w:after="100" w:line="276"/>
      </w:pPr>
      <w:r>
        <w:rPr>
          <w:rFonts w:ascii="Georgia" w:cs="Georgia" w:eastAsia="Georgia" w:hAnsi="Georgia"/>
          <w:b/>
          <w:bCs/>
          <w:color w:val="1B2A4A"/>
          <w:sz w:val="21"/>
          <w:szCs w:val="21"/>
        </w:rPr>
        <w:t xml:space="preserve">Not referral programmes. </w:t>
      </w:r>
      <w:r>
        <w:rPr>
          <w:rFonts w:ascii="Georgia" w:cs="Georgia" w:eastAsia="Georgia" w:hAnsi="Georgia"/>
          <w:color w:val="2C2C2C"/>
          <w:sz w:val="21"/>
          <w:szCs w:val="21"/>
        </w:rPr>
        <w:t xml:space="preserve">Referral programmes (“invite 3 friends, get a free month”) are incentivised distribution. They work, but they are not micro-viral. The user shares because they receive a reward, not because the act of using the product naturally creates visible artifacts. Referral mechanics can supplement micro-virality but cannot replace it.</w:t>
      </w:r>
    </w:p>
    <w:p>
      <w:pPr>
        <w:pStyle w:val="ListParagraph"/>
        <w:numPr>
          <w:ilvl w:val="0"/>
          <w:numId w:val="3"/>
        </w:numPr>
        <w:spacing w:after="100" w:line="276"/>
      </w:pPr>
      <w:r>
        <w:rPr>
          <w:rFonts w:ascii="Georgia" w:cs="Georgia" w:eastAsia="Georgia" w:hAnsi="Georgia"/>
          <w:b/>
          <w:bCs/>
          <w:color w:val="1B2A4A"/>
          <w:sz w:val="21"/>
          <w:szCs w:val="21"/>
        </w:rPr>
        <w:t xml:space="preserve">Not powered-by badges. </w:t>
      </w:r>
      <w:r>
        <w:rPr>
          <w:rFonts w:ascii="Georgia" w:cs="Georgia" w:eastAsia="Georgia" w:hAnsi="Georgia"/>
          <w:color w:val="2C2C2C"/>
          <w:sz w:val="21"/>
          <w:szCs w:val="21"/>
        </w:rPr>
        <w:t xml:space="preserve">A “powered by” badge is the most basic form of artifact visibility, but it is not micro-virality by itself. A badge is a brand impression. An artifact is a value delivery. The badge says “this tool exists.” The artifact says “this tool creates things you want.”</w:t>
      </w:r>
    </w:p>
    <w:p>
      <w:pPr>
        <w:pStyle w:val="ListParagraph"/>
        <w:numPr>
          <w:ilvl w:val="0"/>
          <w:numId w:val="3"/>
        </w:numPr>
        <w:spacing w:after="100" w:line="276"/>
      </w:pPr>
      <w:r>
        <w:rPr>
          <w:rFonts w:ascii="Georgia" w:cs="Georgia" w:eastAsia="Georgia" w:hAnsi="Georgia"/>
          <w:b/>
          <w:bCs/>
          <w:color w:val="1B2A4A"/>
          <w:sz w:val="21"/>
          <w:szCs w:val="21"/>
        </w:rPr>
        <w:t xml:space="preserve">Not content marketing. </w:t>
      </w:r>
      <w:r>
        <w:rPr>
          <w:rFonts w:ascii="Georgia" w:cs="Georgia" w:eastAsia="Georgia" w:hAnsi="Georgia"/>
          <w:color w:val="2C2C2C"/>
          <w:sz w:val="21"/>
          <w:szCs w:val="21"/>
        </w:rPr>
        <w:t xml:space="preserve">Content marketing creates awareness through information. Micro-virality creates awareness through product usage. The distinction: content marketing requires the builder to create content. Micro-virality requires the user to use the product. The user’s workflow is the marketing.</w:t>
      </w:r>
    </w:p>
    <w:p>
      <w:pPr>
        <w:pStyle w:val="ListParagraph"/>
        <w:numPr>
          <w:ilvl w:val="0"/>
          <w:numId w:val="3"/>
        </w:numPr>
        <w:spacing w:after="100" w:line="276"/>
      </w:pPr>
      <w:r>
        <w:rPr>
          <w:rFonts w:ascii="Georgia" w:cs="Georgia" w:eastAsia="Georgia" w:hAnsi="Georgia"/>
          <w:b/>
          <w:bCs/>
          <w:color w:val="1B2A4A"/>
          <w:sz w:val="21"/>
          <w:szCs w:val="21"/>
        </w:rPr>
        <w:t xml:space="preserve">Not word of mouth. </w:t>
      </w:r>
      <w:r>
        <w:rPr>
          <w:rFonts w:ascii="Georgia" w:cs="Georgia" w:eastAsia="Georgia" w:hAnsi="Georgia"/>
          <w:color w:val="2C2C2C"/>
          <w:sz w:val="21"/>
          <w:szCs w:val="21"/>
        </w:rPr>
        <w:t xml:space="preserve">Word of mouth is a person telling another person about a product. Micro-virality is a product’s output encountering a non-user through the natural course of business. Word of mouth requires a recommendation decision. Micro-virality requires only normal product usage.</w:t>
      </w:r>
    </w:p>
    <w:p>
      <w:pPr>
        <w:pStyle w:val="Heading2"/>
        <w:spacing w:after="160" w:before="280"/>
      </w:pPr>
      <w:r>
        <w:rPr>
          <w:rFonts w:ascii="Georgia" w:cs="Georgia" w:eastAsia="Georgia" w:hAnsi="Georgia"/>
          <w:b/>
          <w:bCs/>
          <w:color w:val="3D5A80"/>
          <w:sz w:val="26"/>
          <w:szCs w:val="26"/>
        </w:rPr>
        <w:t xml:space="preserve">4. The Micro-Virality Coefficient</w:t>
      </w:r>
    </w:p>
    <w:p>
      <w:pPr>
        <w:spacing w:after="160" w:line="276"/>
      </w:pPr>
      <w:r>
        <w:rPr>
          <w:rFonts w:ascii="Georgia" w:cs="Georgia" w:eastAsia="Georgia" w:hAnsi="Georgia"/>
          <w:color w:val="2C2C2C"/>
          <w:sz w:val="21"/>
          <w:szCs w:val="21"/>
        </w:rPr>
        <w:t xml:space="preserve">In mass virality, the key metric is the viral coefficient (K-factor): how many new users does each existing user generate? If K &gt; 1, exponential growth. If K &lt; 1, growth decays.</w:t>
      </w:r>
    </w:p>
    <w:p>
      <w:pPr>
        <w:spacing w:after="160" w:line="276"/>
      </w:pPr>
      <w:r>
        <w:rPr>
          <w:rFonts w:ascii="Georgia" w:cs="Georgia" w:eastAsia="Georgia" w:hAnsi="Georgia"/>
          <w:color w:val="2C2C2C"/>
          <w:sz w:val="21"/>
          <w:szCs w:val="21"/>
        </w:rPr>
        <w:t xml:space="preserve">Micro-virality uses a different metric: the Encounter-to-Adoption Rate (EAR). This measures: of the non-users who encounter an artifact, what percentage adopt the product?</w:t>
      </w:r>
    </w:p>
    <w:p>
      <w:pPr>
        <w:spacing w:after="160" w:line="276"/>
      </w:pPr>
      <w:r>
        <w:rPr>
          <w:rFonts w:ascii="Georgia" w:cs="Georgia" w:eastAsia="Georgia" w:hAnsi="Georgia"/>
          <w:color w:val="2C2C2C"/>
          <w:sz w:val="21"/>
          <w:szCs w:val="21"/>
        </w:rPr>
        <w:t xml:space="preserve">The EAR is a function of three variables:</w:t>
      </w:r>
    </w:p>
    <w:p>
      <w:pPr>
        <w:pBdr>
          <w:left w:val="single" w:color="E07A5F" w:sz="12" w:space="8"/>
        </w:pBdr>
        <w:spacing w:after="200" w:before="200"/>
        <w:ind w:left="360" w:right="360"/>
      </w:pPr>
      <w:r>
        <w:rPr>
          <w:rFonts w:ascii="Georgia" w:cs="Georgia" w:eastAsia="Georgia" w:hAnsi="Georgia"/>
          <w:i/>
          <w:iCs/>
          <w:color w:val="3D5A80"/>
          <w:sz w:val="21"/>
          <w:szCs w:val="21"/>
        </w:rPr>
        <w:t xml:space="preserve">EAR = Artifact Quality × Problem Recognition × Trust Transfer</w:t>
      </w:r>
    </w:p>
    <w:p>
      <w:pPr>
        <w:pStyle w:val="ListParagraph"/>
        <w:numPr>
          <w:ilvl w:val="0"/>
          <w:numId w:val="3"/>
        </w:numPr>
        <w:spacing w:after="100" w:line="276"/>
      </w:pPr>
      <w:r>
        <w:rPr>
          <w:rFonts w:ascii="Georgia" w:cs="Georgia" w:eastAsia="Georgia" w:hAnsi="Georgia"/>
          <w:b/>
          <w:bCs/>
          <w:color w:val="1B2A4A"/>
          <w:sz w:val="21"/>
          <w:szCs w:val="21"/>
        </w:rPr>
        <w:t xml:space="preserve">Artifact Quality (0–1): </w:t>
      </w:r>
      <w:r>
        <w:rPr>
          <w:rFonts w:ascii="Georgia" w:cs="Georgia" w:eastAsia="Georgia" w:hAnsi="Georgia"/>
          <w:color w:val="2C2C2C"/>
          <w:sz w:val="21"/>
          <w:szCs w:val="21"/>
        </w:rPr>
        <w:t xml:space="preserve">How useful, professional, and impressive is the artifact on its own merits? A beautifully formatted compliance report scores higher than a raw data export.</w:t>
      </w:r>
    </w:p>
    <w:p>
      <w:pPr>
        <w:pStyle w:val="ListParagraph"/>
        <w:numPr>
          <w:ilvl w:val="0"/>
          <w:numId w:val="3"/>
        </w:numPr>
        <w:spacing w:after="100" w:line="276"/>
      </w:pPr>
      <w:r>
        <w:rPr>
          <w:rFonts w:ascii="Georgia" w:cs="Georgia" w:eastAsia="Georgia" w:hAnsi="Georgia"/>
          <w:b/>
          <w:bCs/>
          <w:color w:val="1B2A4A"/>
          <w:sz w:val="21"/>
          <w:szCs w:val="21"/>
        </w:rPr>
        <w:t xml:space="preserve">Problem Recognition (0–1): </w:t>
      </w:r>
      <w:r>
        <w:rPr>
          <w:rFonts w:ascii="Georgia" w:cs="Georgia" w:eastAsia="Georgia" w:hAnsi="Georgia"/>
          <w:color w:val="2C2C2C"/>
          <w:sz w:val="21"/>
          <w:szCs w:val="21"/>
        </w:rPr>
        <w:t xml:space="preserve">Does the observer already have the problem this artifact solves? In a well-targeted ecosystem where the problem is universal, this approaches 1.0. In a loosely-defined audience, this drops below 0.5.</w:t>
      </w:r>
    </w:p>
    <w:p>
      <w:pPr>
        <w:pStyle w:val="ListParagraph"/>
        <w:numPr>
          <w:ilvl w:val="0"/>
          <w:numId w:val="3"/>
        </w:numPr>
        <w:spacing w:after="100" w:line="276"/>
      </w:pPr>
      <w:r>
        <w:rPr>
          <w:rFonts w:ascii="Georgia" w:cs="Georgia" w:eastAsia="Georgia" w:hAnsi="Georgia"/>
          <w:b/>
          <w:bCs/>
          <w:color w:val="1B2A4A"/>
          <w:sz w:val="21"/>
          <w:szCs w:val="21"/>
        </w:rPr>
        <w:t xml:space="preserve">Trust Transfer (0–1): </w:t>
      </w:r>
      <w:r>
        <w:rPr>
          <w:rFonts w:ascii="Georgia" w:cs="Georgia" w:eastAsia="Georgia" w:hAnsi="Georgia"/>
          <w:color w:val="2C2C2C"/>
          <w:sz w:val="21"/>
          <w:szCs w:val="21"/>
        </w:rPr>
        <w:t xml:space="preserve">How much trust transfers from the artifact sender to the artifact’s origin product? This is governed by the sender’s position in the trust hierarchy [Ref: T6 §1] and the trust transfer efficiency [Ref: T6 §2].</w:t>
      </w:r>
    </w:p>
    <w:p>
      <w:pPr>
        <w:spacing w:after="160" w:line="276"/>
      </w:pPr>
      <w:r>
        <w:rPr>
          <w:rFonts w:ascii="Georgia" w:cs="Georgia" w:eastAsia="Georgia" w:hAnsi="Georgia"/>
          <w:color w:val="2C2C2C"/>
          <w:sz w:val="21"/>
          <w:szCs w:val="21"/>
        </w:rPr>
        <w:t xml:space="preserve">An EAR above 0.08 (8%) in a bounded ecosystem is exceptional. An EAR of 0.03–0.05 (3–5%) is strong. Below 0.02 (2%), the micro-viral mechanic is not functioning and the product needs to rely on other distribution channels.</w:t>
      </w:r>
    </w:p>
    <w:p>
      <w:pPr>
        <w:spacing w:after="160" w:line="276"/>
      </w:pPr>
      <w:r>
        <w:rPr>
          <w:rFonts w:ascii="Georgia" w:cs="Georgia" w:eastAsia="Georgia" w:hAnsi="Georgia"/>
          <w:color w:val="2C2C2C"/>
          <w:sz w:val="21"/>
          <w:szCs w:val="21"/>
        </w:rPr>
        <w:t xml:space="preserve">The critical insight: because micro-virality operates in bounded ecosystems with universal problem recognition, the Problem Recognition variable naturally approaches 1.0. This means the builder’s job reduces to two variables: make the artifact excellent and ensure it reaches people through trusted channels. The ecosystem does the rest.</w:t>
      </w:r>
    </w:p>
    <w:p>
      <w:r>
        <w:br w:type="page"/>
      </w:r>
    </w:p>
    <w:p>
      <w:pPr>
        <w:pStyle w:val="Heading1"/>
        <w:spacing w:after="200" w:before="360"/>
      </w:pPr>
      <w:r>
        <w:rPr>
          <w:rFonts w:ascii="Georgia" w:cs="Georgia" w:eastAsia="Georgia" w:hAnsi="Georgia"/>
          <w:b/>
          <w:bCs/>
          <w:color w:val="1B2A4A"/>
          <w:sz w:val="32"/>
          <w:szCs w:val="32"/>
        </w:rPr>
        <w:t xml:space="preserve">Part II: The Product Design Framework</w:t>
      </w:r>
    </w:p>
    <w:p>
      <w:pPr>
        <w:spacing w:after="160" w:line="276"/>
      </w:pPr>
      <w:r>
        <w:rPr>
          <w:rFonts w:ascii="Georgia" w:cs="Georgia" w:eastAsia="Georgia" w:hAnsi="Georgia"/>
          <w:color w:val="2C2C2C"/>
          <w:sz w:val="21"/>
          <w:szCs w:val="21"/>
        </w:rPr>
        <w:t xml:space="preserve">This section specifies how to engineer micro-viral mechanics directly into a marketplace application. Every design decision is evaluated against a single test: does using this product, in the normal course of business, create artifacts that non-users encounter and find valuable?</w:t>
      </w:r>
    </w:p>
    <w:p>
      <w:pPr>
        <w:pStyle w:val="Heading2"/>
        <w:spacing w:after="160" w:before="280"/>
      </w:pPr>
      <w:r>
        <w:rPr>
          <w:rFonts w:ascii="Georgia" w:cs="Georgia" w:eastAsia="Georgia" w:hAnsi="Georgia"/>
          <w:b/>
          <w:bCs/>
          <w:color w:val="3D5A80"/>
          <w:sz w:val="26"/>
          <w:szCs w:val="26"/>
        </w:rPr>
        <w:t xml:space="preserve">5. The Artifact Design System</w:t>
      </w:r>
    </w:p>
    <w:p>
      <w:pPr>
        <w:spacing w:after="120" w:before="200"/>
      </w:pPr>
      <w:r>
        <w:rPr>
          <w:rFonts w:ascii="Georgia" w:cs="Georgia" w:eastAsia="Georgia" w:hAnsi="Georgia"/>
          <w:b/>
          <w:bCs/>
          <w:color w:val="1B2A4A"/>
          <w:sz w:val="22"/>
          <w:szCs w:val="22"/>
        </w:rPr>
        <w:t xml:space="preserve">5.1 The Artifact Hierarchy</w:t>
      </w:r>
    </w:p>
    <w:p>
      <w:pPr>
        <w:spacing w:after="160" w:line="276"/>
      </w:pPr>
      <w:r>
        <w:rPr>
          <w:rFonts w:ascii="Georgia" w:cs="Georgia" w:eastAsia="Georgia" w:hAnsi="Georgia"/>
          <w:color w:val="2C2C2C"/>
          <w:sz w:val="21"/>
          <w:szCs w:val="21"/>
        </w:rPr>
        <w:t xml:space="preserve">Not all artifacts are equal. They form a hierarchy based on the strength of their micro-viral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Artifact Type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Micro-Viral Strength</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Tier 1: Transactional</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Artifacts sent directly to a specific recipient as part of a business transaction</w:t>
            </w:r>
          </w:p>
        </w:tc>
        <w:tc>
          <w:tcPr>
            <w:tcW w:type="dxa" w:w="2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Strongest. Recipient has personal context, business motivation to engage, and direct trust relationship with sender.</w:t>
            </w:r>
          </w:p>
        </w:tc>
        <w:tc>
          <w:tcPr>
            <w:tcW w:type="dxa" w:w="2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 compliance-verified proof pack sent from a creator to a brand considering a sponsorship deal.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Tier 2: Collaborative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Artifacts shared within a team or working group as part of a collaborative workflow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Strong. Multiple recipients, shared context, and implicit endorsement from the sharer’s inclusion of the tool in the group’s workflow.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shared analytics dashboard that a team lead sets up for their marketing department.</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Tier 3: Public</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Artifacts published to the ecosystem at large — social posts, community contributions, public portfolios</w:t>
            </w:r>
          </w:p>
        </w:tc>
        <w:tc>
          <w:tcPr>
            <w:tcW w:type="dxa" w:w="2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Moderate. High visibility but low personal context. Works best when the artifact demonstrates results others want.</w:t>
            </w:r>
          </w:p>
        </w:tc>
        <w:tc>
          <w:tcPr>
            <w:tcW w:type="dxa" w:w="26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 creator sharing their monthly analytics summary on social media, generated by the product.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Tier 4: Ambient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Artifacts that are passively visible — embedded widgets, badges, watermarks, footers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Weakest as standalone signals. Most effective when they trigger curiosity that leads to investigating a Tier 1–3 artifact.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“Generated with [Product]” footer on an exported PDF report.</w:t>
            </w:r>
          </w:p>
        </w:tc>
      </w:tr>
    </w:tbl>
    <w:p>
      <w:pPr>
        <w:spacing w:after="160" w:line="276"/>
      </w:pPr>
      <w:r>
        <w:rPr>
          <w:rFonts w:ascii="Georgia" w:cs="Georgia" w:eastAsia="Georgia" w:hAnsi="Georgia"/>
          <w:color w:val="2C2C2C"/>
          <w:sz w:val="21"/>
          <w:szCs w:val="21"/>
        </w:rPr>
        <w:t xml:space="preserve"/>
      </w:r>
    </w:p>
    <w:p>
      <w:pPr>
        <w:pBdr>
          <w:left w:val="single" w:color="E07A5F" w:sz="12" w:space="8"/>
        </w:pBdr>
        <w:spacing w:after="200" w:before="200"/>
        <w:ind w:left="360" w:right="360"/>
      </w:pPr>
      <w:r>
        <w:rPr>
          <w:rFonts w:ascii="Georgia" w:cs="Georgia" w:eastAsia="Georgia" w:hAnsi="Georgia"/>
          <w:i/>
          <w:iCs/>
          <w:color w:val="3D5A80"/>
          <w:sz w:val="21"/>
          <w:szCs w:val="21"/>
        </w:rPr>
        <w:t xml:space="preserve">Design for Tier 1 first. A product with a single excellent transactional artifact will outperform a product with ten ambient badges. The hierarchy determines engineering priority.</w:t>
      </w:r>
    </w:p>
    <w:p>
      <w:pPr>
        <w:spacing w:after="120" w:before="200"/>
      </w:pPr>
      <w:r>
        <w:rPr>
          <w:rFonts w:ascii="Georgia" w:cs="Georgia" w:eastAsia="Georgia" w:hAnsi="Georgia"/>
          <w:b/>
          <w:bCs/>
          <w:color w:val="1B2A4A"/>
          <w:sz w:val="22"/>
          <w:szCs w:val="22"/>
        </w:rPr>
        <w:t xml:space="preserve">5.2 The Artifact Design Checklist</w:t>
      </w:r>
    </w:p>
    <w:p>
      <w:pPr>
        <w:spacing w:after="160" w:line="276"/>
      </w:pPr>
      <w:r>
        <w:rPr>
          <w:rFonts w:ascii="Georgia" w:cs="Georgia" w:eastAsia="Georgia" w:hAnsi="Georgia"/>
          <w:color w:val="2C2C2C"/>
          <w:sz w:val="21"/>
          <w:szCs w:val="21"/>
        </w:rPr>
        <w:t xml:space="preserve">Every primary artifact must pass all seven checks before shipping:</w:t>
      </w:r>
    </w:p>
    <w:p>
      <w:pPr>
        <w:pStyle w:val="ListParagraph"/>
        <w:numPr>
          <w:ilvl w:val="0"/>
          <w:numId w:val="2"/>
        </w:numPr>
        <w:spacing w:after="120" w:line="276"/>
      </w:pPr>
      <w:r>
        <w:rPr>
          <w:rFonts w:ascii="Georgia" w:cs="Georgia" w:eastAsia="Georgia" w:hAnsi="Georgia"/>
          <w:b/>
          <w:bCs/>
          <w:color w:val="1B2A4A"/>
          <w:sz w:val="21"/>
          <w:szCs w:val="21"/>
        </w:rPr>
        <w:t xml:space="preserve">Standalone value. </w:t>
      </w:r>
      <w:r>
        <w:rPr>
          <w:rFonts w:ascii="Georgia" w:cs="Georgia" w:eastAsia="Georgia" w:hAnsi="Georgia"/>
          <w:color w:val="2C2C2C"/>
          <w:sz w:val="21"/>
          <w:szCs w:val="21"/>
        </w:rPr>
        <w:t xml:space="preserve">Is the artifact useful to the recipient even if they never learn about the product that created it? If the artifact’s value depends on the recipient knowing the product, it is marketing, not an artifact.</w:t>
      </w:r>
    </w:p>
    <w:p>
      <w:pPr>
        <w:pStyle w:val="ListParagraph"/>
        <w:numPr>
          <w:ilvl w:val="0"/>
          <w:numId w:val="2"/>
        </w:numPr>
        <w:spacing w:after="120" w:line="276"/>
      </w:pPr>
      <w:r>
        <w:rPr>
          <w:rFonts w:ascii="Georgia" w:cs="Georgia" w:eastAsia="Georgia" w:hAnsi="Georgia"/>
          <w:b/>
          <w:bCs/>
          <w:color w:val="1B2A4A"/>
          <w:sz w:val="21"/>
          <w:szCs w:val="21"/>
        </w:rPr>
        <w:t xml:space="preserve">Professional elevation. </w:t>
      </w:r>
      <w:r>
        <w:rPr>
          <w:rFonts w:ascii="Georgia" w:cs="Georgia" w:eastAsia="Georgia" w:hAnsi="Georgia"/>
          <w:color w:val="2C2C2C"/>
          <w:sz w:val="21"/>
          <w:szCs w:val="21"/>
        </w:rPr>
        <w:t xml:space="preserve">Does receiving this artifact make the sender look more competent, organised, or professional than if they had sent a generic alternative? If yes, the sender is incentivised to use the product repeatedly. If no, the artifact lacks status mechanic potential.</w:t>
      </w:r>
    </w:p>
    <w:p>
      <w:pPr>
        <w:pStyle w:val="ListParagraph"/>
        <w:numPr>
          <w:ilvl w:val="0"/>
          <w:numId w:val="2"/>
        </w:numPr>
        <w:spacing w:after="120" w:line="276"/>
      </w:pPr>
      <w:r>
        <w:rPr>
          <w:rFonts w:ascii="Georgia" w:cs="Georgia" w:eastAsia="Georgia" w:hAnsi="Georgia"/>
          <w:b/>
          <w:bCs/>
          <w:color w:val="1B2A4A"/>
          <w:sz w:val="21"/>
          <w:szCs w:val="21"/>
        </w:rPr>
        <w:t xml:space="preserve">Problem mirror. </w:t>
      </w:r>
      <w:r>
        <w:rPr>
          <w:rFonts w:ascii="Georgia" w:cs="Georgia" w:eastAsia="Georgia" w:hAnsi="Georgia"/>
          <w:color w:val="2C2C2C"/>
          <w:sz w:val="21"/>
          <w:szCs w:val="21"/>
        </w:rPr>
        <w:t xml:space="preserve">Does the artifact implicitly surface a problem the recipient has? A compliance report sent by a creator implicitly asks the brand: “Do you have this level of compliance documentation from your other creators?” The artifact makes the observer aware of their own gap.</w:t>
      </w:r>
    </w:p>
    <w:p>
      <w:pPr>
        <w:pStyle w:val="ListParagraph"/>
        <w:numPr>
          <w:ilvl w:val="0"/>
          <w:numId w:val="2"/>
        </w:numPr>
        <w:spacing w:after="120" w:line="276"/>
      </w:pPr>
      <w:r>
        <w:rPr>
          <w:rFonts w:ascii="Georgia" w:cs="Georgia" w:eastAsia="Georgia" w:hAnsi="Georgia"/>
          <w:b/>
          <w:bCs/>
          <w:color w:val="1B2A4A"/>
          <w:sz w:val="21"/>
          <w:szCs w:val="21"/>
        </w:rPr>
        <w:t xml:space="preserve">Origin traceability. </w:t>
      </w:r>
      <w:r>
        <w:rPr>
          <w:rFonts w:ascii="Georgia" w:cs="Georgia" w:eastAsia="Georgia" w:hAnsi="Georgia"/>
          <w:color w:val="2C2C2C"/>
          <w:sz w:val="21"/>
          <w:szCs w:val="21"/>
        </w:rPr>
        <w:t xml:space="preserve">Can the recipient discover where the artifact came from without being explicitly told? A subtle brand mark, a unique format, a recognisable template, or a “Learn more” link. Not aggressive — discoverable.</w:t>
      </w:r>
    </w:p>
    <w:p>
      <w:pPr>
        <w:pStyle w:val="ListParagraph"/>
        <w:numPr>
          <w:ilvl w:val="0"/>
          <w:numId w:val="2"/>
        </w:numPr>
        <w:spacing w:after="120" w:line="276"/>
      </w:pPr>
      <w:r>
        <w:rPr>
          <w:rFonts w:ascii="Georgia" w:cs="Georgia" w:eastAsia="Georgia" w:hAnsi="Georgia"/>
          <w:b/>
          <w:bCs/>
          <w:color w:val="1B2A4A"/>
          <w:sz w:val="21"/>
          <w:szCs w:val="21"/>
        </w:rPr>
        <w:t xml:space="preserve">Repeatability. </w:t>
      </w:r>
      <w:r>
        <w:rPr>
          <w:rFonts w:ascii="Georgia" w:cs="Georgia" w:eastAsia="Georgia" w:hAnsi="Georgia"/>
          <w:color w:val="2C2C2C"/>
          <w:sz w:val="21"/>
          <w:szCs w:val="21"/>
        </w:rPr>
        <w:t xml:space="preserve">Is this artifact generated every time the user completes a core workflow, or is it a one-time event? Micro-virality requires repeated artifact generation. If the artifact is only produced once (at onboarding, at export), the mechanic runs out of fuel.</w:t>
      </w:r>
    </w:p>
    <w:p>
      <w:pPr>
        <w:pStyle w:val="ListParagraph"/>
        <w:numPr>
          <w:ilvl w:val="0"/>
          <w:numId w:val="2"/>
        </w:numPr>
        <w:spacing w:after="120" w:line="276"/>
      </w:pPr>
      <w:r>
        <w:rPr>
          <w:rFonts w:ascii="Georgia" w:cs="Georgia" w:eastAsia="Georgia" w:hAnsi="Georgia"/>
          <w:b/>
          <w:bCs/>
          <w:color w:val="1B2A4A"/>
          <w:sz w:val="21"/>
          <w:szCs w:val="21"/>
        </w:rPr>
        <w:t xml:space="preserve">Share-path naturalness. </w:t>
      </w:r>
      <w:r>
        <w:rPr>
          <w:rFonts w:ascii="Georgia" w:cs="Georgia" w:eastAsia="Georgia" w:hAnsi="Georgia"/>
          <w:color w:val="2C2C2C"/>
          <w:sz w:val="21"/>
          <w:szCs w:val="21"/>
        </w:rPr>
        <w:t xml:space="preserve">Does the artifact travel through channels the user already uses? Email, Slack, marketplace messaging, social media? If sharing requires the user to go out of their way, the mechanic has friction that kills propagation.</w:t>
      </w:r>
    </w:p>
    <w:p>
      <w:pPr>
        <w:pStyle w:val="ListParagraph"/>
        <w:numPr>
          <w:ilvl w:val="0"/>
          <w:numId w:val="2"/>
        </w:numPr>
        <w:spacing w:after="120" w:line="276"/>
      </w:pPr>
      <w:r>
        <w:rPr>
          <w:rFonts w:ascii="Georgia" w:cs="Georgia" w:eastAsia="Georgia" w:hAnsi="Georgia"/>
          <w:b/>
          <w:bCs/>
          <w:color w:val="1B2A4A"/>
          <w:sz w:val="21"/>
          <w:szCs w:val="21"/>
        </w:rPr>
        <w:t xml:space="preserve">Timeliness. </w:t>
      </w:r>
      <w:r>
        <w:rPr>
          <w:rFonts w:ascii="Georgia" w:cs="Georgia" w:eastAsia="Georgia" w:hAnsi="Georgia"/>
          <w:color w:val="2C2C2C"/>
          <w:sz w:val="21"/>
          <w:szCs w:val="21"/>
        </w:rPr>
        <w:t xml:space="preserve">Is the artifact generated at a moment when the recipient is likely to engage with it? A compliance report sent before a brand deal review is timely. The same report sent at random is noise.</w:t>
      </w:r>
    </w:p>
    <w:p>
      <w:pPr>
        <w:pStyle w:val="Heading2"/>
        <w:spacing w:after="160" w:before="280"/>
      </w:pPr>
      <w:r>
        <w:rPr>
          <w:rFonts w:ascii="Georgia" w:cs="Georgia" w:eastAsia="Georgia" w:hAnsi="Georgia"/>
          <w:b/>
          <w:bCs/>
          <w:color w:val="3D5A80"/>
          <w:sz w:val="26"/>
          <w:szCs w:val="26"/>
        </w:rPr>
        <w:t xml:space="preserve">6. The Exposure Architecture</w:t>
      </w:r>
    </w:p>
    <w:p>
      <w:pPr>
        <w:spacing w:after="160" w:line="276"/>
      </w:pPr>
      <w:r>
        <w:rPr>
          <w:rFonts w:ascii="Georgia" w:cs="Georgia" w:eastAsia="Georgia" w:hAnsi="Georgia"/>
          <w:color w:val="2C2C2C"/>
          <w:sz w:val="21"/>
          <w:szCs w:val="21"/>
        </w:rPr>
        <w:t xml:space="preserve">Artifact design determines the quality of each encounter. Exposure architecture determines the quantity. This section specifies how to maximise the number of non-users who encounter artifacts through normal product operation.</w:t>
      </w:r>
    </w:p>
    <w:p>
      <w:pPr>
        <w:spacing w:after="120" w:before="200"/>
      </w:pPr>
      <w:r>
        <w:rPr>
          <w:rFonts w:ascii="Georgia" w:cs="Georgia" w:eastAsia="Georgia" w:hAnsi="Georgia"/>
          <w:b/>
          <w:bCs/>
          <w:color w:val="1B2A4A"/>
          <w:sz w:val="22"/>
          <w:szCs w:val="22"/>
        </w:rPr>
        <w:t xml:space="preserve">6.1 The Exposure Surface Map</w:t>
      </w:r>
    </w:p>
    <w:p>
      <w:pPr>
        <w:spacing w:after="160" w:line="276"/>
      </w:pPr>
      <w:r>
        <w:rPr>
          <w:rFonts w:ascii="Georgia" w:cs="Georgia" w:eastAsia="Georgia" w:hAnsi="Georgia"/>
          <w:color w:val="2C2C2C"/>
          <w:sz w:val="21"/>
          <w:szCs w:val="21"/>
        </w:rPr>
        <w:t xml:space="preserve">For every core workflow in the product, identify every point where the output crosses the boundary between the user and a non-user. Each crossing point is an exposure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Exposure Type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Mechanic</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Design Consideration</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Send events</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User sends a product output to a specific recipient: a report, a proposal, a proof pack, an invoice.</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sent artifact IS the exposure surface. Design it for maximum Tier 1 artifact quality. The product’s best design energy goes 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Embed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User embeds a product output in a platform, page, or profile that others view: a widget, a badge, a live dashboard, a portfolio element.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Embedded artifacts are persistent — they continue generating encounters long after initial placement. Optimise for durability and ongoing relevance.</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Share events</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User shares a product output to a community, social channel, or group: an insight, a screenshot, a result, a milestone.</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Share events are episodic. They generate a burst of encounters. Design shareable outputs that are visually distinctive and contextually compelling within the platform’s native 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Collaboration events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User invites a colleague, partner, or client into a product workspace or shared 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Collaboration exposure is the highest-conversion surface because the non-user actually interacts with the product, not just its output. Design the collaborative experience for immediate value delivery to the invited participant.</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Mention events</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User references the product’s output in conversation, presentation, or content without directly sharing the artifact.</w:t>
            </w:r>
          </w:p>
        </w:tc>
        <w:tc>
          <w:tcPr>
            <w:tcW w:type="dxa" w:w="34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least controllable but often most trusted exposure type. Optimise by giving users language and framing [Ref: T4] that makes the product easy to describe and recommend.</w:t>
            </w:r>
          </w:p>
        </w:tc>
      </w:tr>
    </w:tbl>
    <w:p>
      <w:pPr>
        <w:spacing w:after="160" w:line="276"/>
      </w:pPr>
      <w:r>
        <w:rPr>
          <w:rFonts w:ascii="Georgia" w:cs="Georgia" w:eastAsia="Georgia" w:hAnsi="Georgia"/>
          <w:color w:val="2C2C2C"/>
          <w:sz w:val="21"/>
          <w:szCs w:val="21"/>
        </w:rPr>
        <w:t xml:space="preserve"/>
      </w:r>
    </w:p>
    <w:p>
      <w:pPr>
        <w:spacing w:after="160" w:line="276"/>
      </w:pPr>
      <w:r>
        <w:rPr>
          <w:rFonts w:ascii="Georgia" w:cs="Georgia" w:eastAsia="Georgia" w:hAnsi="Georgia"/>
          <w:color w:val="2C2C2C"/>
          <w:sz w:val="21"/>
          <w:szCs w:val="21"/>
        </w:rPr>
        <w:t xml:space="preserve">For each exposure surface: measure the frequency (how often it occurs per active user per month), the reach (how many non-users encounter each event), and the conversion contribution (how many of those encounters lead to product adoption). The product of these three dimensions is the exposure value of that surface.</w:t>
      </w:r>
    </w:p>
    <w:p>
      <w:pPr>
        <w:spacing w:after="120" w:before="200"/>
      </w:pPr>
      <w:r>
        <w:rPr>
          <w:rFonts w:ascii="Georgia" w:cs="Georgia" w:eastAsia="Georgia" w:hAnsi="Georgia"/>
          <w:b/>
          <w:bCs/>
          <w:color w:val="1B2A4A"/>
          <w:sz w:val="22"/>
          <w:szCs w:val="22"/>
        </w:rPr>
        <w:t xml:space="preserve">6.2 The Encounter Density Threshold</w:t>
      </w:r>
    </w:p>
    <w:p>
      <w:pPr>
        <w:spacing w:after="160" w:line="276"/>
      </w:pPr>
      <w:r>
        <w:rPr>
          <w:rFonts w:ascii="Georgia" w:cs="Georgia" w:eastAsia="Georgia" w:hAnsi="Georgia"/>
          <w:color w:val="2C2C2C"/>
          <w:sz w:val="21"/>
          <w:szCs w:val="21"/>
        </w:rPr>
        <w:t xml:space="preserve">Micro-virality has a critical mass requirement. In a bounded ecosystem of N participants, the product must achieve sufficient encounter density — a minimum percentage of non-users who have encountered at least one artifact — before the network permeation mechanic activates.</w:t>
      </w:r>
    </w:p>
    <w:p>
      <w:pPr>
        <w:spacing w:after="160" w:line="276"/>
      </w:pPr>
      <w:r>
        <w:rPr>
          <w:rFonts w:ascii="Georgia" w:cs="Georgia" w:eastAsia="Georgia" w:hAnsi="Georgia"/>
          <w:color w:val="2C2C2C"/>
          <w:sz w:val="21"/>
          <w:szCs w:val="21"/>
        </w:rPr>
        <w:t xml:space="preserve">Below the threshold, encounters are isolated events. Above it, encounters begin reinforcing each other: a non-user who has seen the artifact from two independent sources is dramatically more likely to adopt than one who has seen it from a single source. This is the multi-touch micro-viral effect.</w:t>
      </w:r>
    </w:p>
    <w:p>
      <w:pPr>
        <w:pBdr>
          <w:left w:val="single" w:color="E07A5F" w:sz="12" w:space="8"/>
        </w:pBdr>
        <w:spacing w:after="200" w:before="200"/>
        <w:ind w:left="360" w:right="360"/>
      </w:pPr>
      <w:r>
        <w:rPr>
          <w:rFonts w:ascii="Georgia" w:cs="Georgia" w:eastAsia="Georgia" w:hAnsi="Georgia"/>
          <w:i/>
          <w:iCs/>
          <w:color w:val="3D5A80"/>
          <w:sz w:val="21"/>
          <w:szCs w:val="21"/>
        </w:rPr>
        <w:t xml:space="preserve">The encounter density threshold varies by ecosystem but typically falls between 10–25% of the bounded population. When one in five participants in a niche community has encountered a product’s artifact through independent channels, the product has crossed from “some people use this” to “this is what people use.” The perceptual shift is non-linear. The product feels ubiquitous before it is ubiquitous.</w:t>
      </w:r>
    </w:p>
    <w:p>
      <w:pPr>
        <w:pStyle w:val="Heading2"/>
        <w:spacing w:after="160" w:before="280"/>
      </w:pPr>
      <w:r>
        <w:rPr>
          <w:rFonts w:ascii="Georgia" w:cs="Georgia" w:eastAsia="Georgia" w:hAnsi="Georgia"/>
          <w:b/>
          <w:bCs/>
          <w:color w:val="3D5A80"/>
          <w:sz w:val="26"/>
          <w:szCs w:val="26"/>
        </w:rPr>
        <w:t xml:space="preserve">7. The Status Engineering Framework</w:t>
      </w:r>
    </w:p>
    <w:p>
      <w:pPr>
        <w:spacing w:after="160" w:line="276"/>
      </w:pPr>
      <w:r>
        <w:rPr>
          <w:rFonts w:ascii="Georgia" w:cs="Georgia" w:eastAsia="Georgia" w:hAnsi="Georgia"/>
          <w:color w:val="2C2C2C"/>
          <w:sz w:val="21"/>
          <w:szCs w:val="21"/>
        </w:rPr>
        <w:t xml:space="preserve">This section addresses the most under-designed dimension of micro-viral products: the status mechanic. Most builders understand artifact utility (“make it useful”). Far fewer understand artifact status (“make the user look good for using it”).</w:t>
      </w:r>
    </w:p>
    <w:p>
      <w:pPr>
        <w:spacing w:after="120" w:before="200"/>
      </w:pPr>
      <w:r>
        <w:rPr>
          <w:rFonts w:ascii="Georgia" w:cs="Georgia" w:eastAsia="Georgia" w:hAnsi="Georgia"/>
          <w:b/>
          <w:bCs/>
          <w:color w:val="1B2A4A"/>
          <w:sz w:val="22"/>
          <w:szCs w:val="22"/>
        </w:rPr>
        <w:t xml:space="preserve">7.1 The Status Audit</w:t>
      </w:r>
    </w:p>
    <w:p>
      <w:pPr>
        <w:spacing w:after="160" w:line="276"/>
      </w:pPr>
      <w:r>
        <w:rPr>
          <w:rFonts w:ascii="Georgia" w:cs="Georgia" w:eastAsia="Georgia" w:hAnsi="Georgia"/>
          <w:color w:val="2C2C2C"/>
          <w:sz w:val="21"/>
          <w:szCs w:val="21"/>
        </w:rPr>
        <w:t xml:space="preserve">For every primary artifact, answer these questions:</w:t>
      </w:r>
    </w:p>
    <w:p>
      <w:pPr>
        <w:pStyle w:val="ListParagraph"/>
        <w:numPr>
          <w:ilvl w:val="0"/>
          <w:numId w:val="3"/>
        </w:numPr>
        <w:spacing w:after="100" w:line="276"/>
      </w:pPr>
      <w:r>
        <w:rPr>
          <w:rFonts w:ascii="Georgia" w:cs="Georgia" w:eastAsia="Georgia" w:hAnsi="Georgia"/>
          <w:color w:val="2C2C2C"/>
          <w:sz w:val="21"/>
          <w:szCs w:val="21"/>
        </w:rPr>
        <w:t xml:space="preserve">What does using this artifact signal about the sender’s competence? (They take compliance seriously. They prepare professionally for brand partnerships. They track their metrics.)</w:t>
      </w:r>
    </w:p>
    <w:p>
      <w:pPr>
        <w:pStyle w:val="ListParagraph"/>
        <w:numPr>
          <w:ilvl w:val="0"/>
          <w:numId w:val="3"/>
        </w:numPr>
        <w:spacing w:after="100" w:line="276"/>
      </w:pPr>
      <w:r>
        <w:rPr>
          <w:rFonts w:ascii="Georgia" w:cs="Georgia" w:eastAsia="Georgia" w:hAnsi="Georgia"/>
          <w:color w:val="2C2C2C"/>
          <w:sz w:val="21"/>
          <w:szCs w:val="21"/>
        </w:rPr>
        <w:t xml:space="preserve">What does NOT using this artifact signal? (They are informal. They are not established enough to need it. They are cutting corners.) This negative signal is the status leverage. The gap between “has it” and “doesn’t have it” is what drives adoption among peers.</w:t>
      </w:r>
    </w:p>
    <w:p>
      <w:pPr>
        <w:pStyle w:val="ListParagraph"/>
        <w:numPr>
          <w:ilvl w:val="0"/>
          <w:numId w:val="3"/>
        </w:numPr>
        <w:spacing w:after="100" w:line="276"/>
      </w:pPr>
      <w:r>
        <w:rPr>
          <w:rFonts w:ascii="Georgia" w:cs="Georgia" w:eastAsia="Georgia" w:hAnsi="Georgia"/>
          <w:color w:val="2C2C2C"/>
          <w:sz w:val="21"/>
          <w:szCs w:val="21"/>
        </w:rPr>
        <w:t xml:space="preserve">Is the status signal visible to the people whose opinion the user cares about most? If the artifact is seen by audiences but not by brand partners, and the user’s status anxiety is about brand partnerships, the status mechanic is mis-targeted.</w:t>
      </w:r>
    </w:p>
    <w:p>
      <w:pPr>
        <w:pStyle w:val="ListParagraph"/>
        <w:numPr>
          <w:ilvl w:val="0"/>
          <w:numId w:val="3"/>
        </w:numPr>
        <w:spacing w:after="100" w:line="276"/>
      </w:pPr>
      <w:r>
        <w:rPr>
          <w:rFonts w:ascii="Georgia" w:cs="Georgia" w:eastAsia="Georgia" w:hAnsi="Georgia"/>
          <w:color w:val="2C2C2C"/>
          <w:sz w:val="21"/>
          <w:szCs w:val="21"/>
        </w:rPr>
        <w:t xml:space="preserve">Does the status signal compound? Does the 10th artifact generated confer more status than the 1st? (e.g., a compliance track record that grows over time, a portfolio of verified proof packs that demonstrates consistency.) Compounding status creates retention alongside distribution.</w:t>
      </w:r>
    </w:p>
    <w:p>
      <w:pPr>
        <w:spacing w:after="120" w:before="200"/>
      </w:pPr>
      <w:r>
        <w:rPr>
          <w:rFonts w:ascii="Georgia" w:cs="Georgia" w:eastAsia="Georgia" w:hAnsi="Georgia"/>
          <w:b/>
          <w:bCs/>
          <w:color w:val="1B2A4A"/>
          <w:sz w:val="22"/>
          <w:szCs w:val="22"/>
        </w:rPr>
        <w:t xml:space="preserve">7.2 Status Tiers</w:t>
      </w:r>
    </w:p>
    <w:p>
      <w:pPr>
        <w:spacing w:after="160" w:line="276"/>
      </w:pPr>
      <w:r>
        <w:rPr>
          <w:rFonts w:ascii="Georgia" w:cs="Georgia" w:eastAsia="Georgia" w:hAnsi="Georgia"/>
          <w:color w:val="2C2C2C"/>
          <w:sz w:val="21"/>
          <w:szCs w:val="21"/>
        </w:rPr>
        <w:t xml:space="preserve">Design the product’s artifact output to create visible status tiers that participants can aspire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Status Tier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What It Signals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Micro-Viral Effect</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Baseline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user has adopted the professional standard. They are not behind. The artifact is clean, complete, and competent.</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Establishes the norm. Non-users who receive baseline artifacts begin feeling their absence. “Everyone else is sending these. I should be too.”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Advanced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The user is operating at a higher level. The artifact includes data, verification, or sophistication that most participants cannot match without the tool.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Creates aspiration. Non-users who encounter advanced artifacts experience a gap between their current capability and the demonstrated capability. Adoption is the fastest way to close the gap.</w:t>
            </w:r>
          </w:p>
        </w:tc>
      </w:tr>
      <w:tr>
        <w:tc>
          <w:tcPr>
            <w:tcW w:type="dxa" w:w="22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Elite</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The user is in the top tier of the ecosystem. The artifact represents a level of professionalism, credibility, or analytical depth that is unattainable without sustained product usage and accumulated data.</w:t>
            </w:r>
          </w:p>
        </w:tc>
        <w:tc>
          <w:tcPr>
            <w:tcW w:type="dxa" w:w="35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Creates a ceiling. The elite tier is visible to the ecosystem at large but achievable only through long-term product usage. This is the status mechanic’s retention dimension: users stay not just for utility but to maintain their status position.</w:t>
            </w:r>
          </w:p>
        </w:tc>
      </w:tr>
    </w:tbl>
    <w:p>
      <w:pPr>
        <w:spacing w:after="160" w:line="276"/>
      </w:pPr>
      <w:r>
        <w:rPr>
          <w:rFonts w:ascii="Georgia" w:cs="Georgia" w:eastAsia="Georgia" w:hAnsi="Georgia"/>
          <w:color w:val="2C2C2C"/>
          <w:sz w:val="21"/>
          <w:szCs w:val="21"/>
        </w:rPr>
        <w:t xml:space="preserve"/>
      </w:r>
    </w:p>
    <w:p>
      <w:pPr>
        <w:spacing w:after="160" w:line="276"/>
      </w:pPr>
      <w:r>
        <w:rPr>
          <w:rFonts w:ascii="Georgia" w:cs="Georgia" w:eastAsia="Georgia" w:hAnsi="Georgia"/>
          <w:color w:val="2C2C2C"/>
          <w:sz w:val="21"/>
          <w:szCs w:val="21"/>
        </w:rPr>
        <w:t xml:space="preserve">The status tier system directly reinforces the switching cost architecture [Ref: Doc 15 §4]. A user who has achieved Elite status through accumulated product usage faces not just data switching costs but status switching costs — they would lose their demonstrated track record by moving to a competitor.</w:t>
      </w:r>
    </w:p>
    <w:p>
      <w:r>
        <w:br w:type="page"/>
      </w:r>
    </w:p>
    <w:p>
      <w:pPr>
        <w:pStyle w:val="Heading1"/>
        <w:spacing w:after="200" w:before="360"/>
      </w:pPr>
      <w:r>
        <w:rPr>
          <w:rFonts w:ascii="Georgia" w:cs="Georgia" w:eastAsia="Georgia" w:hAnsi="Georgia"/>
          <w:b/>
          <w:bCs/>
          <w:color w:val="1B2A4A"/>
          <w:sz w:val="32"/>
          <w:szCs w:val="32"/>
        </w:rPr>
        <w:t xml:space="preserve">Part III: The Ecosystem Distribution Playbook</w:t>
      </w:r>
    </w:p>
    <w:p>
      <w:pPr>
        <w:spacing w:after="160" w:line="276"/>
      </w:pPr>
      <w:r>
        <w:rPr>
          <w:rFonts w:ascii="Georgia" w:cs="Georgia" w:eastAsia="Georgia" w:hAnsi="Georgia"/>
          <w:color w:val="2C2C2C"/>
          <w:sz w:val="21"/>
          <w:szCs w:val="21"/>
        </w:rPr>
        <w:t xml:space="preserve">Part II designs the product for micro-viral potential. Part III specifies how to activate, seed, and amplify micro-virality within a specific ecosystem. This is the operational playbook for turning engineered mechanics into actual propagation.</w:t>
      </w:r>
    </w:p>
    <w:p>
      <w:pPr>
        <w:pStyle w:val="Heading2"/>
        <w:spacing w:after="160" w:before="280"/>
      </w:pPr>
      <w:r>
        <w:rPr>
          <w:rFonts w:ascii="Georgia" w:cs="Georgia" w:eastAsia="Georgia" w:hAnsi="Georgia"/>
          <w:b/>
          <w:bCs/>
          <w:color w:val="3D5A80"/>
          <w:sz w:val="26"/>
          <w:szCs w:val="26"/>
        </w:rPr>
        <w:t xml:space="preserve">8. The Seeding Protocol</w:t>
      </w:r>
    </w:p>
    <w:p>
      <w:pPr>
        <w:spacing w:after="160" w:line="276"/>
      </w:pPr>
      <w:r>
        <w:rPr>
          <w:rFonts w:ascii="Georgia" w:cs="Georgia" w:eastAsia="Georgia" w:hAnsi="Georgia"/>
          <w:color w:val="2C2C2C"/>
          <w:sz w:val="21"/>
          <w:szCs w:val="21"/>
        </w:rPr>
        <w:t xml:space="preserve">Micro-virality does not ignite spontaneously. It must be seeded: the first artifacts must be generated by carefully selected users whose position in the trust network maximises propagation potential.</w:t>
      </w:r>
    </w:p>
    <w:p>
      <w:pPr>
        <w:spacing w:after="120" w:before="200"/>
      </w:pPr>
      <w:r>
        <w:rPr>
          <w:rFonts w:ascii="Georgia" w:cs="Georgia" w:eastAsia="Georgia" w:hAnsi="Georgia"/>
          <w:b/>
          <w:bCs/>
          <w:color w:val="1B2A4A"/>
          <w:sz w:val="22"/>
          <w:szCs w:val="22"/>
        </w:rPr>
        <w:t xml:space="preserve">8.1 The Seed User Profile</w:t>
      </w:r>
    </w:p>
    <w:p>
      <w:pPr>
        <w:spacing w:after="160" w:line="276"/>
      </w:pPr>
      <w:r>
        <w:rPr>
          <w:rFonts w:ascii="Georgia" w:cs="Georgia" w:eastAsia="Georgia" w:hAnsi="Georgia"/>
          <w:color w:val="2C2C2C"/>
          <w:sz w:val="21"/>
          <w:szCs w:val="21"/>
        </w:rPr>
        <w:t xml:space="preserve">The ideal seed user is not the biggest account, the most famous creator, or the most technically sophisticated participant. The ideal seed user has three specific properties:</w:t>
      </w:r>
    </w:p>
    <w:p>
      <w:pPr>
        <w:pStyle w:val="ListParagraph"/>
        <w:numPr>
          <w:ilvl w:val="0"/>
          <w:numId w:val="2"/>
        </w:numPr>
        <w:spacing w:after="120" w:line="276"/>
      </w:pPr>
      <w:r>
        <w:rPr>
          <w:rFonts w:ascii="Georgia" w:cs="Georgia" w:eastAsia="Georgia" w:hAnsi="Georgia"/>
          <w:b/>
          <w:bCs/>
          <w:color w:val="1B2A4A"/>
          <w:sz w:val="21"/>
          <w:szCs w:val="21"/>
        </w:rPr>
        <w:t xml:space="preserve">High transaction frequency. </w:t>
      </w:r>
      <w:r>
        <w:rPr>
          <w:rFonts w:ascii="Georgia" w:cs="Georgia" w:eastAsia="Georgia" w:hAnsi="Georgia"/>
          <w:color w:val="2C2C2C"/>
          <w:sz w:val="21"/>
          <w:szCs w:val="21"/>
        </w:rPr>
        <w:t xml:space="preserve">They generate artifacts frequently because they engage in the artifact-producing workflow often. A creator who sends proof packs to brands weekly generates 4x the artifacts of one who does so monthly. Volume is the engine.</w:t>
      </w:r>
    </w:p>
    <w:p>
      <w:pPr>
        <w:pStyle w:val="ListParagraph"/>
        <w:numPr>
          <w:ilvl w:val="0"/>
          <w:numId w:val="2"/>
        </w:numPr>
        <w:spacing w:after="120" w:line="276"/>
      </w:pPr>
      <w:r>
        <w:rPr>
          <w:rFonts w:ascii="Georgia" w:cs="Georgia" w:eastAsia="Georgia" w:hAnsi="Georgia"/>
          <w:b/>
          <w:bCs/>
          <w:color w:val="1B2A4A"/>
          <w:sz w:val="21"/>
          <w:szCs w:val="21"/>
        </w:rPr>
        <w:t xml:space="preserve">Network bridge position. </w:t>
      </w:r>
      <w:r>
        <w:rPr>
          <w:rFonts w:ascii="Georgia" w:cs="Georgia" w:eastAsia="Georgia" w:hAnsi="Georgia"/>
          <w:color w:val="2C2C2C"/>
          <w:sz w:val="21"/>
          <w:szCs w:val="21"/>
        </w:rPr>
        <w:t xml:space="preserve">They sit at a connection point between two or more sub-tribes or participant clusters [Ref: T6 §5, Trust Network Topology]. Their artifacts reach diverse segments of the ecosystem, not just their immediate cluster. Bridge nodes propagate faster than hub nodes because they cover more ground.</w:t>
      </w:r>
    </w:p>
    <w:p>
      <w:pPr>
        <w:pStyle w:val="ListParagraph"/>
        <w:numPr>
          <w:ilvl w:val="0"/>
          <w:numId w:val="2"/>
        </w:numPr>
        <w:spacing w:after="120" w:line="276"/>
      </w:pPr>
      <w:r>
        <w:rPr>
          <w:rFonts w:ascii="Georgia" w:cs="Georgia" w:eastAsia="Georgia" w:hAnsi="Georgia"/>
          <w:b/>
          <w:bCs/>
          <w:color w:val="1B2A4A"/>
          <w:sz w:val="21"/>
          <w:szCs w:val="21"/>
        </w:rPr>
        <w:t xml:space="preserve">Status aspiration in their network. </w:t>
      </w:r>
      <w:r>
        <w:rPr>
          <w:rFonts w:ascii="Georgia" w:cs="Georgia" w:eastAsia="Georgia" w:hAnsi="Georgia"/>
          <w:color w:val="2C2C2C"/>
          <w:sz w:val="21"/>
          <w:szCs w:val="21"/>
        </w:rPr>
        <w:t xml:space="preserve">Their peers look to them as a reference point — not necessarily as a leader, but as a “slightly ahead of me” benchmark. When their peers see the artifact, the reaction is: “If they’re using this, I should be too.” This is the peer comparison lever [Ref: T1 §6, Social Hierarchy].</w:t>
      </w:r>
    </w:p>
    <w:p>
      <w:pPr>
        <w:pBdr>
          <w:left w:val="single" w:color="D4A843" w:sz="12" w:space="8"/>
        </w:pBdr>
        <w:spacing w:after="200" w:before="200"/>
        <w:ind w:left="360" w:right="360"/>
      </w:pPr>
      <w:r>
        <w:rPr>
          <w:rFonts w:ascii="Georgia" w:cs="Georgia" w:eastAsia="Georgia" w:hAnsi="Georgia"/>
          <w:i/>
          <w:iCs/>
          <w:color w:val="7D6608"/>
          <w:sz w:val="20"/>
          <w:szCs w:val="20"/>
        </w:rPr>
        <w:t xml:space="preserve">Anti-pattern: Seeding with the ecosystem’s top authority figure. The most famous or credentialled person creates artifacts that are admired but not imitated. Their peers think: “Of course they use that — they’re at a completely different level.” The artifact does not trigger adoption because the status gap is too large. Seed with the aspirational peer, not the untouchable authority.</w:t>
      </w:r>
    </w:p>
    <w:p>
      <w:pPr>
        <w:spacing w:after="120" w:before="200"/>
      </w:pPr>
      <w:r>
        <w:rPr>
          <w:rFonts w:ascii="Georgia" w:cs="Georgia" w:eastAsia="Georgia" w:hAnsi="Georgia"/>
          <w:b/>
          <w:bCs/>
          <w:color w:val="1B2A4A"/>
          <w:sz w:val="22"/>
          <w:szCs w:val="22"/>
        </w:rPr>
        <w:t xml:space="preserve">8.2 The Seeding Sequence</w:t>
      </w:r>
    </w:p>
    <w:p>
      <w:pPr>
        <w:pStyle w:val="ListParagraph"/>
        <w:numPr>
          <w:ilvl w:val="0"/>
          <w:numId w:val="2"/>
        </w:numPr>
        <w:spacing w:after="120" w:line="276"/>
      </w:pPr>
      <w:r>
        <w:rPr>
          <w:rFonts w:ascii="Georgia" w:cs="Georgia" w:eastAsia="Georgia" w:hAnsi="Georgia"/>
          <w:b/>
          <w:bCs/>
          <w:color w:val="1B2A4A"/>
          <w:sz w:val="21"/>
          <w:szCs w:val="21"/>
        </w:rPr>
        <w:t xml:space="preserve">Phase 1: Design Partners (Users 1–10). </w:t>
      </w:r>
      <w:r>
        <w:rPr>
          <w:rFonts w:ascii="Georgia" w:cs="Georgia" w:eastAsia="Georgia" w:hAnsi="Georgia"/>
          <w:color w:val="2C2C2C"/>
          <w:sz w:val="21"/>
          <w:szCs w:val="21"/>
        </w:rPr>
        <w:t xml:space="preserve">Recruit 5–10 design partners who match the Seed User Profile. Offer direct support, feature input, and early access in exchange for active usage. The goal is not feedback — it is artifact generation. Every design partner should be producing and sending artifacts within their first week. Track artifact volume per partner per week.</w:t>
      </w:r>
    </w:p>
    <w:p>
      <w:pPr>
        <w:pStyle w:val="ListParagraph"/>
        <w:numPr>
          <w:ilvl w:val="0"/>
          <w:numId w:val="2"/>
        </w:numPr>
        <w:spacing w:after="120" w:line="276"/>
      </w:pPr>
      <w:r>
        <w:rPr>
          <w:rFonts w:ascii="Georgia" w:cs="Georgia" w:eastAsia="Georgia" w:hAnsi="Georgia"/>
          <w:b/>
          <w:bCs/>
          <w:color w:val="1B2A4A"/>
          <w:sz w:val="21"/>
          <w:szCs w:val="21"/>
        </w:rPr>
        <w:t xml:space="preserve">Phase 2: Network Ignition (Users 10–50). </w:t>
      </w:r>
      <w:r>
        <w:rPr>
          <w:rFonts w:ascii="Georgia" w:cs="Georgia" w:eastAsia="Georgia" w:hAnsi="Georgia"/>
          <w:color w:val="2C2C2C"/>
          <w:sz w:val="21"/>
          <w:szCs w:val="21"/>
        </w:rPr>
        <w:t xml:space="preserve">Monitor which design partners’ artifacts are generating the most encounters. Double down: provide those partners with enhanced artifact templates, additional features, and priority support. Their artifact quality and volume should be increasing, not plateauing. Simultaneously, track inbound adoption: are non-users who received artifacts now signing up? This is the first measurable EAR data.</w:t>
      </w:r>
    </w:p>
    <w:p>
      <w:pPr>
        <w:pStyle w:val="ListParagraph"/>
        <w:numPr>
          <w:ilvl w:val="0"/>
          <w:numId w:val="2"/>
        </w:numPr>
        <w:spacing w:after="120" w:line="276"/>
      </w:pPr>
      <w:r>
        <w:rPr>
          <w:rFonts w:ascii="Georgia" w:cs="Georgia" w:eastAsia="Georgia" w:hAnsi="Georgia"/>
          <w:b/>
          <w:bCs/>
          <w:color w:val="1B2A4A"/>
          <w:sz w:val="21"/>
          <w:szCs w:val="21"/>
        </w:rPr>
        <w:t xml:space="preserve">Phase 3: Density Push (Users 50–200). </w:t>
      </w:r>
      <w:r>
        <w:rPr>
          <w:rFonts w:ascii="Georgia" w:cs="Georgia" w:eastAsia="Georgia" w:hAnsi="Georgia"/>
          <w:color w:val="2C2C2C"/>
          <w:sz w:val="21"/>
          <w:szCs w:val="21"/>
        </w:rPr>
        <w:t xml:space="preserve">Once EAR data confirms the micro-viral mechanic is functioning (EAR &gt; 2%), shift from individual partner management to ecosystem-level density building. The target: reach the encounter density threshold [Part II §6.2] where multi-touch encounters begin. This may involve targeted onboarding of users in under-penetrated network clusters, marketplace listing optimisation, or strategic community visibility — but the primary engine remains organic artifact propagation from existing users.</w:t>
      </w:r>
    </w:p>
    <w:p>
      <w:pPr>
        <w:pStyle w:val="Heading2"/>
        <w:spacing w:after="160" w:before="280"/>
      </w:pPr>
      <w:r>
        <w:rPr>
          <w:rFonts w:ascii="Georgia" w:cs="Georgia" w:eastAsia="Georgia" w:hAnsi="Georgia"/>
          <w:b/>
          <w:bCs/>
          <w:color w:val="3D5A80"/>
          <w:sz w:val="26"/>
          <w:szCs w:val="26"/>
        </w:rPr>
        <w:t xml:space="preserve">9. The Amplification Mechanics</w:t>
      </w:r>
    </w:p>
    <w:p>
      <w:pPr>
        <w:spacing w:after="160" w:line="276"/>
      </w:pPr>
      <w:r>
        <w:rPr>
          <w:rFonts w:ascii="Georgia" w:cs="Georgia" w:eastAsia="Georgia" w:hAnsi="Georgia"/>
          <w:color w:val="2C2C2C"/>
          <w:sz w:val="21"/>
          <w:szCs w:val="21"/>
        </w:rPr>
        <w:t xml:space="preserve">Once the micro-viral mechanic is operating organically, amplification mechanics accelerate its velocity without replacing it. These are supplementary systems, not alternatives.</w:t>
      </w:r>
    </w:p>
    <w:p>
      <w:pPr>
        <w:spacing w:after="120" w:before="200"/>
      </w:pPr>
      <w:r>
        <w:rPr>
          <w:rFonts w:ascii="Georgia" w:cs="Georgia" w:eastAsia="Georgia" w:hAnsi="Georgia"/>
          <w:b/>
          <w:bCs/>
          <w:color w:val="1B2A4A"/>
          <w:sz w:val="22"/>
          <w:szCs w:val="22"/>
        </w:rPr>
        <w:t xml:space="preserve">9.1 The Social Proof Cascade</w:t>
      </w:r>
    </w:p>
    <w:p>
      <w:pPr>
        <w:spacing w:after="160" w:line="276"/>
      </w:pPr>
      <w:r>
        <w:rPr>
          <w:rFonts w:ascii="Georgia" w:cs="Georgia" w:eastAsia="Georgia" w:hAnsi="Georgia"/>
          <w:color w:val="2C2C2C"/>
          <w:sz w:val="21"/>
          <w:szCs w:val="21"/>
        </w:rPr>
        <w:t xml:space="preserve">As adoption increases, aggregate the social proof into visible signals that compound the status mechanic:</w:t>
      </w:r>
    </w:p>
    <w:p>
      <w:pPr>
        <w:pStyle w:val="ListParagraph"/>
        <w:numPr>
          <w:ilvl w:val="0"/>
          <w:numId w:val="3"/>
        </w:numPr>
        <w:spacing w:after="100" w:line="276"/>
      </w:pPr>
      <w:r>
        <w:rPr>
          <w:rFonts w:ascii="Georgia" w:cs="Georgia" w:eastAsia="Georgia" w:hAnsi="Georgia"/>
          <w:color w:val="2C2C2C"/>
          <w:sz w:val="21"/>
          <w:szCs w:val="21"/>
        </w:rPr>
        <w:t xml:space="preserve">Usage counters on the marketplace listing: “500+ active users” creates a bandwagon signal that reinforces the encounter density perception.</w:t>
      </w:r>
    </w:p>
    <w:p>
      <w:pPr>
        <w:pStyle w:val="ListParagraph"/>
        <w:numPr>
          <w:ilvl w:val="0"/>
          <w:numId w:val="3"/>
        </w:numPr>
        <w:spacing w:after="100" w:line="276"/>
      </w:pPr>
      <w:r>
        <w:rPr>
          <w:rFonts w:ascii="Georgia" w:cs="Georgia" w:eastAsia="Georgia" w:hAnsi="Georgia"/>
          <w:color w:val="2C2C2C"/>
          <w:sz w:val="21"/>
          <w:szCs w:val="21"/>
        </w:rPr>
        <w:t xml:space="preserve">Named user showcases: with permission, feature recognisable ecosystem participants who use the product. This triggers authority-heuristic adoption [Ref: T3 §5] among participants who have not yet encountered an artifact directly.</w:t>
      </w:r>
    </w:p>
    <w:p>
      <w:pPr>
        <w:pStyle w:val="ListParagraph"/>
        <w:numPr>
          <w:ilvl w:val="0"/>
          <w:numId w:val="3"/>
        </w:numPr>
        <w:spacing w:after="100" w:line="276"/>
      </w:pPr>
      <w:r>
        <w:rPr>
          <w:rFonts w:ascii="Georgia" w:cs="Georgia" w:eastAsia="Georgia" w:hAnsi="Georgia"/>
          <w:color w:val="2C2C2C"/>
          <w:sz w:val="21"/>
          <w:szCs w:val="21"/>
        </w:rPr>
        <w:t xml:space="preserve">Outcome showcases: aggregate anonymised results (“Creators using [Product] close brand deals 3.2x faster”) that transform individual artifact encounters into an ecosystem-wide narrative.</w:t>
      </w:r>
    </w:p>
    <w:p>
      <w:pPr>
        <w:spacing w:after="120" w:before="200"/>
      </w:pPr>
      <w:r>
        <w:rPr>
          <w:rFonts w:ascii="Georgia" w:cs="Georgia" w:eastAsia="Georgia" w:hAnsi="Georgia"/>
          <w:b/>
          <w:bCs/>
          <w:color w:val="1B2A4A"/>
          <w:sz w:val="22"/>
          <w:szCs w:val="22"/>
        </w:rPr>
        <w:t xml:space="preserve">9.2 The Ritual Integration</w:t>
      </w:r>
    </w:p>
    <w:p>
      <w:pPr>
        <w:spacing w:after="160" w:line="276"/>
      </w:pPr>
      <w:r>
        <w:rPr>
          <w:rFonts w:ascii="Georgia" w:cs="Georgia" w:eastAsia="Georgia" w:hAnsi="Georgia"/>
          <w:color w:val="2C2C2C"/>
          <w:sz w:val="21"/>
          <w:szCs w:val="21"/>
        </w:rPr>
        <w:t xml:space="preserve">The highest-leverage amplification mechanic is embedding the product’s artifact generation into an existing ecosystem ritual [Ref: T1 §4, Rituals].</w:t>
      </w:r>
    </w:p>
    <w:p>
      <w:pPr>
        <w:pBdr>
          <w:left w:val="single" w:color="E07A5F" w:sz="12" w:space="8"/>
        </w:pBdr>
        <w:spacing w:after="200" w:before="200"/>
        <w:ind w:left="360" w:right="360"/>
      </w:pPr>
      <w:r>
        <w:rPr>
          <w:rFonts w:ascii="Georgia" w:cs="Georgia" w:eastAsia="Georgia" w:hAnsi="Georgia"/>
          <w:i/>
          <w:iCs/>
          <w:color w:val="3D5A80"/>
          <w:sz w:val="21"/>
          <w:szCs w:val="21"/>
        </w:rPr>
        <w:t xml:space="preserve">If the ecosystem has a weekly portfolio-sharing ritual, make the product’s weekly report the format everyone uses to participate. If the ecosystem has a monthly brand-deal review cycle, make the product’s proof pack the standard document in that cycle. The product’s artifact becomes synonymous with the ritual itself. At this point, NOT using the product means not participating in the community’s shared behaviour — which is a status threat.</w:t>
      </w:r>
    </w:p>
    <w:p>
      <w:pPr>
        <w:spacing w:after="120" w:before="200"/>
      </w:pPr>
      <w:r>
        <w:rPr>
          <w:rFonts w:ascii="Georgia" w:cs="Georgia" w:eastAsia="Georgia" w:hAnsi="Georgia"/>
          <w:b/>
          <w:bCs/>
          <w:color w:val="1B2A4A"/>
          <w:sz w:val="22"/>
          <w:szCs w:val="22"/>
        </w:rPr>
        <w:t xml:space="preserve">9.3 The Network Effect Bridge</w:t>
      </w:r>
    </w:p>
    <w:p>
      <w:pPr>
        <w:spacing w:after="160" w:line="276"/>
      </w:pPr>
      <w:r>
        <w:rPr>
          <w:rFonts w:ascii="Georgia" w:cs="Georgia" w:eastAsia="Georgia" w:hAnsi="Georgia"/>
          <w:color w:val="2C2C2C"/>
          <w:sz w:val="21"/>
          <w:szCs w:val="21"/>
        </w:rPr>
        <w:t xml:space="preserve">Micro-virality can catalyse a network effect, but they are different mechanics. Micro-virality spreads the product. Network effects make it defensible. The bridge between them is the moment when the density of users in an ecosystem makes the product’s collective data or collaborative features more valuable than any individual user’s usage.</w:t>
      </w:r>
    </w:p>
    <w:p>
      <w:pPr>
        <w:pStyle w:val="ListParagraph"/>
        <w:numPr>
          <w:ilvl w:val="0"/>
          <w:numId w:val="3"/>
        </w:numPr>
        <w:spacing w:after="100" w:line="276"/>
      </w:pPr>
      <w:r>
        <w:rPr>
          <w:rFonts w:ascii="Georgia" w:cs="Georgia" w:eastAsia="Georgia" w:hAnsi="Georgia"/>
          <w:color w:val="2C2C2C"/>
          <w:sz w:val="21"/>
          <w:szCs w:val="21"/>
        </w:rPr>
        <w:t xml:space="preserve">The bridge trigger: identify the specific point at which aggregate user data or collaborative features become available. (e.g., after 100 creators use the compliance tool, aggregate compliance benchmarks become possible. This benchmark feature is only valuable because of the network.)</w:t>
      </w:r>
    </w:p>
    <w:p>
      <w:pPr>
        <w:pStyle w:val="ListParagraph"/>
        <w:numPr>
          <w:ilvl w:val="0"/>
          <w:numId w:val="3"/>
        </w:numPr>
        <w:spacing w:after="100" w:line="276"/>
      </w:pPr>
      <w:r>
        <w:rPr>
          <w:rFonts w:ascii="Georgia" w:cs="Georgia" w:eastAsia="Georgia" w:hAnsi="Georgia"/>
          <w:color w:val="2C2C2C"/>
          <w:sz w:val="21"/>
          <w:szCs w:val="21"/>
        </w:rPr>
        <w:t xml:space="preserve">Design for the bridge from day one: even before the network is large enough for network effects, structure the data model to support future aggregation. When the bridge trigger fires, the feature should be ready to ship, not ready to design. [Ref: Doc 15 §3.1, Data Flywheel]</w:t>
      </w:r>
    </w:p>
    <w:p>
      <w:pPr>
        <w:pStyle w:val="Heading2"/>
        <w:spacing w:after="160" w:before="280"/>
      </w:pPr>
      <w:r>
        <w:rPr>
          <w:rFonts w:ascii="Georgia" w:cs="Georgia" w:eastAsia="Georgia" w:hAnsi="Georgia"/>
          <w:b/>
          <w:bCs/>
          <w:color w:val="3D5A80"/>
          <w:sz w:val="26"/>
          <w:szCs w:val="26"/>
        </w:rPr>
        <w:t xml:space="preserve">10. The Measurement System</w:t>
      </w:r>
    </w:p>
    <w:p>
      <w:pPr>
        <w:spacing w:after="160" w:line="276"/>
      </w:pPr>
      <w:r>
        <w:rPr>
          <w:rFonts w:ascii="Georgia" w:cs="Georgia" w:eastAsia="Georgia" w:hAnsi="Georgia"/>
          <w:color w:val="2C2C2C"/>
          <w:sz w:val="21"/>
          <w:szCs w:val="21"/>
        </w:rPr>
        <w:t xml:space="preserve">Micro-virality requires its own metrics. Traditional SaaS metrics (CAC, conversion rate, traffic sources) do not capture the mechanics 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Metric</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Definition</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Target Benchmarks</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Artifact Generation Rate (AGR)</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Artifacts generated per active user per week.</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Minimum viable: 1/week. Strong: 3–5/week. Exceptional: daily.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Encounter-to-Adoption Rate (EAR)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Percentage of non-users who encounter an artifact and subsequently adopt the product.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Below 2%: mechanic not functioning. 3–5%: strong. Above 8%: exceptional.</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Encounter Density</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Percentage of the bounded ecosystem that has encountered at least one artifact.</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Below 10%: pre-critical-mass. 10–25%: approaching threshold. Above 25%: permeation active.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Artifact-Sourced Adoption %</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Percentage of new users whose first product encounter was through an artifact (not marketplace search, not direct traffic).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Below 20%: micro-virality is supplementary. 20–50%: micro-virality is a primary channel. Above 50%: micro-virality is the dominant growth engine.</w:t>
            </w:r>
          </w:p>
        </w:tc>
      </w:tr>
      <w:tr>
        <w:tc>
          <w:tcPr>
            <w:tcW w:type="dxa" w:w="2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Multi-Touch Encounter Rate</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Percentage of adopters who encountered artifacts from two or more independent sources before adopting.</w:t>
            </w:r>
          </w:p>
        </w:tc>
        <w:tc>
          <w:tcPr>
            <w:tcW w:type="dxa" w:w="33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Above 30%: the network permeation mechanic is active and reinforcing.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2C2C2C"/>
                <w:sz w:val="19"/>
                <w:szCs w:val="19"/>
              </w:rPr>
              <w:t xml:space="preserve">Status-Driven Sharing Rate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Percentage of artifact generation events that are voluntary (the user chose to share) vs. workflow-embedded (the artifact was generated as a natural output).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2C2C2C"/>
                <w:sz w:val="19"/>
                <w:szCs w:val="19"/>
              </w:rPr>
              <w:t xml:space="preserve">A rising voluntary share rate indicates the status mechanic is working. Target: 25%+ of all artifact events are voluntary.</w:t>
            </w:r>
          </w:p>
        </w:tc>
      </w:tr>
    </w:tbl>
    <w:p>
      <w:pPr>
        <w:spacing w:after="160" w:line="276"/>
      </w:pPr>
      <w:r>
        <w:rPr>
          <w:rFonts w:ascii="Georgia" w:cs="Georgia" w:eastAsia="Georgia" w:hAnsi="Georgia"/>
          <w:color w:val="2C2C2C"/>
          <w:sz w:val="21"/>
          <w:szCs w:val="21"/>
        </w:rPr>
        <w:t xml:space="preserve"/>
      </w:r>
    </w:p>
    <w:p>
      <w:r>
        <w:br w:type="page"/>
      </w:r>
    </w:p>
    <w:p>
      <w:pPr>
        <w:pStyle w:val="Heading1"/>
        <w:spacing w:after="200" w:before="360"/>
      </w:pPr>
      <w:r>
        <w:rPr>
          <w:rFonts w:ascii="Georgia" w:cs="Georgia" w:eastAsia="Georgia" w:hAnsi="Georgia"/>
          <w:b/>
          <w:bCs/>
          <w:color w:val="1B2A4A"/>
          <w:sz w:val="32"/>
          <w:szCs w:val="32"/>
        </w:rPr>
        <w:t xml:space="preserve">Part IV: Template Standard T11</w:t>
      </w:r>
    </w:p>
    <w:p>
      <w:pPr>
        <w:spacing w:after="60" w:before="120"/>
      </w:pPr>
      <w:r>
        <w:rPr>
          <w:rFonts w:ascii="Georgia" w:cs="Georgia" w:eastAsia="Georgia" w:hAnsi="Georgia"/>
          <w:b/>
          <w:bCs/>
          <w:color w:val="E07A5F"/>
          <w:spacing w:val="180"/>
          <w:sz w:val="16"/>
          <w:szCs w:val="16"/>
        </w:rPr>
        <w:t xml:space="preserve">TEMPLATE 11</w:t>
      </w:r>
    </w:p>
    <w:p>
      <w:pPr>
        <w:pBdr>
          <w:bottom w:val="single" w:color="E07A5F" w:sz="4" w:space="8"/>
        </w:pBdr>
        <w:spacing w:after="60"/>
      </w:pPr>
      <w:r>
        <w:rPr>
          <w:rFonts w:ascii="Georgia" w:cs="Georgia" w:eastAsia="Georgia" w:hAnsi="Georgia"/>
          <w:b/>
          <w:bCs/>
          <w:color w:val="1B2A4A"/>
          <w:sz w:val="36"/>
          <w:szCs w:val="36"/>
        </w:rPr>
        <w:t xml:space="preserve">Micro-Virality Map</w:t>
      </w:r>
    </w:p>
    <w:p>
      <w:pPr>
        <w:spacing w:after="80" w:before="120"/>
      </w:pPr>
      <w:r>
        <w:rPr>
          <w:rFonts w:ascii="Georgia" w:cs="Georgia" w:eastAsia="Georgia" w:hAnsi="Georgia"/>
          <w:i/>
          <w:iCs/>
          <w:color w:val="3D5A80"/>
          <w:sz w:val="22"/>
          <w:szCs w:val="22"/>
        </w:rPr>
        <w:t xml:space="preserve">The artifact architecture, exposure surfaces, status mechanics, seeding strategy, and measurement system for engineering micro-viral propagation within a specific ecosystem.</w:t>
      </w:r>
    </w:p>
    <w:p>
      <w:pPr>
        <w:spacing w:after="200"/>
      </w:pPr>
      <w:r>
        <w:rPr>
          <w:rFonts w:ascii="Georgia" w:cs="Georgia" w:eastAsia="Georgia" w:hAnsi="Georgia"/>
          <w:b/>
          <w:bCs/>
          <w:color w:val="555555"/>
          <w:sz w:val="19"/>
          <w:szCs w:val="19"/>
        </w:rPr>
        <w:t xml:space="preserve">Feeds into: </w:t>
      </w:r>
      <w:r>
        <w:rPr>
          <w:rFonts w:ascii="Georgia" w:cs="Georgia" w:eastAsia="Georgia" w:hAnsi="Georgia"/>
          <w:color w:val="555555"/>
          <w:sz w:val="19"/>
          <w:szCs w:val="19"/>
        </w:rPr>
        <w:t xml:space="preserve">Product design, distribution strategy, growth engineering, retention mechanics. Consumes T1, T3, T4, T6 as inputs.</w:t>
      </w:r>
    </w:p>
    <w:p>
      <w:pPr>
        <w:pStyle w:val="Heading2"/>
        <w:spacing w:after="160" w:before="280"/>
      </w:pPr>
      <w:r>
        <w:rPr>
          <w:rFonts w:ascii="Georgia" w:cs="Georgia" w:eastAsia="Georgia" w:hAnsi="Georgia"/>
          <w:b/>
          <w:bCs/>
          <w:color w:val="3D5A80"/>
          <w:sz w:val="26"/>
          <w:szCs w:val="26"/>
        </w:rPr>
        <w:t xml:space="preserve">11.1 Position in the Analytical Stack</w:t>
      </w:r>
    </w:p>
    <w:p>
      <w:pPr>
        <w:spacing w:after="160" w:line="276"/>
      </w:pPr>
      <w:r>
        <w:rPr>
          <w:rFonts w:ascii="Georgia" w:cs="Georgia" w:eastAsia="Georgia" w:hAnsi="Georgia"/>
          <w:color w:val="2C2C2C"/>
          <w:sz w:val="21"/>
          <w:szCs w:val="21"/>
        </w:rPr>
        <w:t xml:space="preserve">T11 sits alongside T10 (Entry Vector Analysis) as a distribution-specific strategic document. It is not a replacement for the Entry Vector Analysis — it is a companion that specifies how the chosen entry vector will propagate once activated.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Template</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Requires</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Enhanced By</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19"/>
                <w:szCs w:val="19"/>
              </w:rPr>
              <w:t xml:space="preserve">Feeds Into</w:t>
            </w:r>
          </w:p>
        </w:tc>
      </w:tr>
      <w:tr>
        <w:tc>
          <w:tcPr>
            <w:tcW w:type="dxa" w:w="21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2C2C2C"/>
                <w:sz w:val="19"/>
                <w:szCs w:val="19"/>
              </w:rPr>
              <w:t xml:space="preserve">T11: Micro-Virality Map</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EA §1 (participants), T1 §4 (rituals), T1 §6 (hierarchy), T6 §2 (trust transfer), T6 §5 (network topology)</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T3 (decisions), T4 (language), T7 (timing), T9 (capital flows)</w:t>
            </w:r>
          </w:p>
        </w:tc>
        <w:tc>
          <w:tcPr>
            <w:tcW w:type="dxa" w:w="24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val="false"/>
                <w:bCs w:val="false"/>
                <w:color w:val="2C2C2C"/>
                <w:sz w:val="19"/>
                <w:szCs w:val="19"/>
              </w:rPr>
              <w:t xml:space="preserve">Product design, distribution execution, growth measurement, T10 vector profiles</w:t>
            </w:r>
          </w:p>
        </w:tc>
      </w:tr>
    </w:tbl>
    <w:p>
      <w:pPr>
        <w:spacing w:after="160" w:line="276"/>
      </w:pPr>
      <w:r>
        <w:rPr>
          <w:rFonts w:ascii="Georgia" w:cs="Georgia" w:eastAsia="Georgia" w:hAnsi="Georgia"/>
          <w:color w:val="2C2C2C"/>
          <w:sz w:val="21"/>
          <w:szCs w:val="21"/>
        </w:rPr>
        <w:t xml:space="preserve"/>
      </w:r>
    </w:p>
    <w:p>
      <w:pPr>
        <w:pStyle w:val="Heading2"/>
        <w:spacing w:after="160" w:before="280"/>
      </w:pPr>
      <w:r>
        <w:rPr>
          <w:rFonts w:ascii="Georgia" w:cs="Georgia" w:eastAsia="Georgia" w:hAnsi="Georgia"/>
          <w:b/>
          <w:bCs/>
          <w:color w:val="3D5A80"/>
          <w:sz w:val="26"/>
          <w:szCs w:val="26"/>
        </w:rPr>
        <w:t xml:space="preserve">11.2 Mandatory Structure</w:t>
      </w:r>
    </w:p>
    <w:p>
      <w:pPr>
        <w:spacing w:after="160" w:line="276"/>
      </w:pPr>
      <w:r>
        <w:rPr>
          <w:rFonts w:ascii="Georgia" w:cs="Georgia" w:eastAsia="Georgia" w:hAnsi="Georgia"/>
          <w:color w:val="2C2C2C"/>
          <w:sz w:val="21"/>
          <w:szCs w:val="21"/>
        </w:rPr>
        <w:t xml:space="preserve">Every Micro-Virality Map must contain the following six sections:</w:t>
      </w:r>
    </w:p>
    <w:p>
      <w:pPr>
        <w:pBdr>
          <w:bottom w:val="single" w:color="E8E0D8" w:sz="4" w:space="4"/>
        </w:pBdr>
        <w:spacing w:after="160" w:before="160"/>
      </w:pPr>
      <w:r>
        <w:rPr>
          <w:sz w:val="8"/>
          <w:szCs w:val="8"/>
        </w:rPr>
        <w:t xml:space="preserve"/>
      </w:r>
    </w:p>
    <w:p>
      <w:pPr>
        <w:spacing w:after="120" w:before="200"/>
      </w:pPr>
      <w:r>
        <w:rPr>
          <w:rFonts w:ascii="Georgia" w:cs="Georgia" w:eastAsia="Georgia" w:hAnsi="Georgia"/>
          <w:b/>
          <w:bCs/>
          <w:color w:val="1B2A4A"/>
          <w:sz w:val="22"/>
          <w:szCs w:val="22"/>
        </w:rPr>
        <w:t xml:space="preserve">Section 1: Ecosystem Propagation Assessment</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Is this ecosystem structurally capable of supporting micro-viral propagation?</w:t>
      </w:r>
    </w:p>
    <w:p>
      <w:pPr>
        <w:spacing w:after="160" w:line="276"/>
      </w:pPr>
      <w:r>
        <w:rPr>
          <w:rFonts w:ascii="Georgia" w:cs="Georgia" w:eastAsia="Georgia" w:hAnsi="Georgia"/>
          <w:color w:val="2C2C2C"/>
          <w:sz w:val="21"/>
          <w:szCs w:val="21"/>
        </w:rPr>
        <w:t xml:space="preserve">Before designing artifacts, assess the ecosystem’s micro-viral fitness. Score the ecosystem on the three network properties from Part I §2.2:</w:t>
      </w:r>
    </w:p>
    <w:p>
      <w:pPr>
        <w:pStyle w:val="ListParagraph"/>
        <w:numPr>
          <w:ilvl w:val="0"/>
          <w:numId w:val="3"/>
        </w:numPr>
        <w:spacing w:after="100" w:line="276"/>
      </w:pPr>
      <w:r>
        <w:rPr>
          <w:rFonts w:ascii="Georgia" w:cs="Georgia" w:eastAsia="Georgia" w:hAnsi="Georgia"/>
          <w:color w:val="2C2C2C"/>
          <w:sz w:val="21"/>
          <w:szCs w:val="21"/>
        </w:rPr>
        <w:t xml:space="preserve">Network density (1–5): How interconnected are the participants? Score based on interaction frequency, shared platform concentration, and community overlap.</w:t>
      </w:r>
    </w:p>
    <w:p>
      <w:pPr>
        <w:pStyle w:val="ListParagraph"/>
        <w:numPr>
          <w:ilvl w:val="0"/>
          <w:numId w:val="3"/>
        </w:numPr>
        <w:spacing w:after="100" w:line="276"/>
      </w:pPr>
      <w:r>
        <w:rPr>
          <w:rFonts w:ascii="Georgia" w:cs="Georgia" w:eastAsia="Georgia" w:hAnsi="Georgia"/>
          <w:color w:val="2C2C2C"/>
          <w:sz w:val="21"/>
          <w:szCs w:val="21"/>
        </w:rPr>
        <w:t xml:space="preserve">Trust conductivity (1–5): How efficiently does peer trust transfer? Score based on influence chain data from T3 §2 and trust transfer efficiency from T6 §2.</w:t>
      </w:r>
    </w:p>
    <w:p>
      <w:pPr>
        <w:pStyle w:val="ListParagraph"/>
        <w:numPr>
          <w:ilvl w:val="0"/>
          <w:numId w:val="3"/>
        </w:numPr>
        <w:spacing w:after="100" w:line="276"/>
      </w:pPr>
      <w:r>
        <w:rPr>
          <w:rFonts w:ascii="Georgia" w:cs="Georgia" w:eastAsia="Georgia" w:hAnsi="Georgia"/>
          <w:color w:val="2C2C2C"/>
          <w:sz w:val="21"/>
          <w:szCs w:val="21"/>
        </w:rPr>
        <w:t xml:space="preserve">Observability (1–5): How visible is tool usage across the ecosystem? Score based on workflow publicity, artifact format norms, and sharing culture from T1 §4.</w:t>
      </w:r>
    </w:p>
    <w:p>
      <w:pPr>
        <w:spacing w:after="160" w:line="276"/>
      </w:pPr>
      <w:r>
        <w:rPr>
          <w:rFonts w:ascii="Georgia" w:cs="Georgia" w:eastAsia="Georgia" w:hAnsi="Georgia"/>
          <w:color w:val="2C2C2C"/>
          <w:sz w:val="21"/>
          <w:szCs w:val="21"/>
        </w:rPr>
        <w:t xml:space="preserve">Calculate the Micro-Viral Fitness Score as the product of all three dimensions (1–125). Classify:</w:t>
      </w:r>
    </w:p>
    <w:p>
      <w:pPr>
        <w:pStyle w:val="ListParagraph"/>
        <w:numPr>
          <w:ilvl w:val="0"/>
          <w:numId w:val="3"/>
        </w:numPr>
        <w:spacing w:after="100" w:line="276"/>
      </w:pPr>
      <w:r>
        <w:rPr>
          <w:rFonts w:ascii="Georgia" w:cs="Georgia" w:eastAsia="Georgia" w:hAnsi="Georgia"/>
          <w:b/>
          <w:bCs/>
          <w:color w:val="1B2A4A"/>
          <w:sz w:val="21"/>
          <w:szCs w:val="21"/>
        </w:rPr>
        <w:t xml:space="preserve">60–125 — High fitness: </w:t>
      </w:r>
      <w:r>
        <w:rPr>
          <w:rFonts w:ascii="Georgia" w:cs="Georgia" w:eastAsia="Georgia" w:hAnsi="Georgia"/>
          <w:color w:val="2C2C2C"/>
          <w:sz w:val="21"/>
          <w:szCs w:val="21"/>
        </w:rPr>
        <w:t xml:space="preserve">Micro-virality should be the primary distribution strategy. Design the product artifact-first.</w:t>
      </w:r>
    </w:p>
    <w:p>
      <w:pPr>
        <w:pStyle w:val="ListParagraph"/>
        <w:numPr>
          <w:ilvl w:val="0"/>
          <w:numId w:val="3"/>
        </w:numPr>
        <w:spacing w:after="100" w:line="276"/>
      </w:pPr>
      <w:r>
        <w:rPr>
          <w:rFonts w:ascii="Georgia" w:cs="Georgia" w:eastAsia="Georgia" w:hAnsi="Georgia"/>
          <w:b/>
          <w:bCs/>
          <w:color w:val="1B2A4A"/>
          <w:sz w:val="21"/>
          <w:szCs w:val="21"/>
        </w:rPr>
        <w:t xml:space="preserve">25–59 — Moderate fitness: </w:t>
      </w:r>
      <w:r>
        <w:rPr>
          <w:rFonts w:ascii="Georgia" w:cs="Georgia" w:eastAsia="Georgia" w:hAnsi="Georgia"/>
          <w:color w:val="2C2C2C"/>
          <w:sz w:val="21"/>
          <w:szCs w:val="21"/>
        </w:rPr>
        <w:t xml:space="preserve">Micro-virality is viable as a supplementary distribution mechanic alongside marketplace-native or community-led channels.</w:t>
      </w:r>
    </w:p>
    <w:p>
      <w:pPr>
        <w:pStyle w:val="ListParagraph"/>
        <w:numPr>
          <w:ilvl w:val="0"/>
          <w:numId w:val="3"/>
        </w:numPr>
        <w:spacing w:after="100" w:line="276"/>
      </w:pPr>
      <w:r>
        <w:rPr>
          <w:rFonts w:ascii="Georgia" w:cs="Georgia" w:eastAsia="Georgia" w:hAnsi="Georgia"/>
          <w:b/>
          <w:bCs/>
          <w:color w:val="1B2A4A"/>
          <w:sz w:val="21"/>
          <w:szCs w:val="21"/>
        </w:rPr>
        <w:t xml:space="preserve">Below 25 — Low fitness: </w:t>
      </w:r>
      <w:r>
        <w:rPr>
          <w:rFonts w:ascii="Georgia" w:cs="Georgia" w:eastAsia="Georgia" w:hAnsi="Georgia"/>
          <w:color w:val="2C2C2C"/>
          <w:sz w:val="21"/>
          <w:szCs w:val="21"/>
        </w:rPr>
        <w:t xml:space="preserve">The ecosystem’s structure does not support micro-viral propagation. Use other distribution playbooks. Document the specific deficiency (low density, low conductivity, or low observability) for future monitoring.</w:t>
      </w:r>
    </w:p>
    <w:p>
      <w:pPr>
        <w:spacing w:after="120" w:before="200"/>
      </w:pPr>
      <w:r>
        <w:rPr>
          <w:rFonts w:ascii="Georgia" w:cs="Georgia" w:eastAsia="Georgia" w:hAnsi="Georgia"/>
          <w:b/>
          <w:bCs/>
          <w:color w:val="1B2A4A"/>
          <w:sz w:val="22"/>
          <w:szCs w:val="22"/>
        </w:rPr>
        <w:t xml:space="preserve">Section 2: Artifact Architecture</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artifacts will the product generate, and how do they rank on the artifact hierarchy?</w:t>
      </w:r>
    </w:p>
    <w:p>
      <w:pPr>
        <w:pStyle w:val="ListParagraph"/>
        <w:numPr>
          <w:ilvl w:val="0"/>
          <w:numId w:val="3"/>
        </w:numPr>
        <w:spacing w:after="100" w:line="276"/>
      </w:pPr>
      <w:r>
        <w:rPr>
          <w:rFonts w:ascii="Georgia" w:cs="Georgia" w:eastAsia="Georgia" w:hAnsi="Georgia"/>
          <w:color w:val="2C2C2C"/>
          <w:sz w:val="21"/>
          <w:szCs w:val="21"/>
        </w:rPr>
        <w:t xml:space="preserve">List every artifact the product will generate during normal usage.</w:t>
      </w:r>
    </w:p>
    <w:p>
      <w:pPr>
        <w:pStyle w:val="ListParagraph"/>
        <w:numPr>
          <w:ilvl w:val="0"/>
          <w:numId w:val="3"/>
        </w:numPr>
        <w:spacing w:after="100" w:line="276"/>
      </w:pPr>
      <w:r>
        <w:rPr>
          <w:rFonts w:ascii="Georgia" w:cs="Georgia" w:eastAsia="Georgia" w:hAnsi="Georgia"/>
          <w:color w:val="2C2C2C"/>
          <w:sz w:val="21"/>
          <w:szCs w:val="21"/>
        </w:rPr>
        <w:t xml:space="preserve">Classify each artifact by tier (Transactional, Collaborative, Public, Ambient) using the hierarchy from Part II §5.1.</w:t>
      </w:r>
    </w:p>
    <w:p>
      <w:pPr>
        <w:pStyle w:val="ListParagraph"/>
        <w:numPr>
          <w:ilvl w:val="0"/>
          <w:numId w:val="3"/>
        </w:numPr>
        <w:spacing w:after="100" w:line="276"/>
      </w:pPr>
      <w:r>
        <w:rPr>
          <w:rFonts w:ascii="Georgia" w:cs="Georgia" w:eastAsia="Georgia" w:hAnsi="Georgia"/>
          <w:color w:val="2C2C2C"/>
          <w:sz w:val="21"/>
          <w:szCs w:val="21"/>
        </w:rPr>
        <w:t xml:space="preserve">For each Tier 1 and Tier 2 artifact: apply the seven-point Artifact Design Checklist from Part II §5.2. Document the pass/fail for each check.</w:t>
      </w:r>
    </w:p>
    <w:p>
      <w:pPr>
        <w:pStyle w:val="ListParagraph"/>
        <w:numPr>
          <w:ilvl w:val="0"/>
          <w:numId w:val="3"/>
        </w:numPr>
        <w:spacing w:after="100" w:line="276"/>
      </w:pPr>
      <w:r>
        <w:rPr>
          <w:rFonts w:ascii="Georgia" w:cs="Georgia" w:eastAsia="Georgia" w:hAnsi="Georgia"/>
          <w:color w:val="2C2C2C"/>
          <w:sz w:val="21"/>
          <w:szCs w:val="21"/>
        </w:rPr>
        <w:t xml:space="preserve">Identify the primary artifact: the single artifact that carries the strongest combination of utility, status, and problem-mirror signals. This artifact receives the most design investment.</w:t>
      </w:r>
    </w:p>
    <w:p>
      <w:pPr>
        <w:spacing w:after="120" w:before="200"/>
      </w:pPr>
      <w:r>
        <w:rPr>
          <w:rFonts w:ascii="Georgia" w:cs="Georgia" w:eastAsia="Georgia" w:hAnsi="Georgia"/>
          <w:b/>
          <w:bCs/>
          <w:color w:val="1B2A4A"/>
          <w:sz w:val="22"/>
          <w:szCs w:val="22"/>
        </w:rPr>
        <w:t xml:space="preserve">Section 3: Exposure Surface Inventory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many exposure surfaces exist, and what is the estimated encounter volume of each?</w:t>
      </w:r>
    </w:p>
    <w:p>
      <w:pPr>
        <w:pStyle w:val="ListParagraph"/>
        <w:numPr>
          <w:ilvl w:val="0"/>
          <w:numId w:val="3"/>
        </w:numPr>
        <w:spacing w:after="100" w:line="276"/>
      </w:pPr>
      <w:r>
        <w:rPr>
          <w:rFonts w:ascii="Georgia" w:cs="Georgia" w:eastAsia="Georgia" w:hAnsi="Georgia"/>
          <w:color w:val="2C2C2C"/>
          <w:sz w:val="21"/>
          <w:szCs w:val="21"/>
        </w:rPr>
        <w:t xml:space="preserve">Map every exposure surface using the five types from Part II §6.1 (send, embed, share, collaboration, mention).</w:t>
      </w:r>
    </w:p>
    <w:p>
      <w:pPr>
        <w:pStyle w:val="ListParagraph"/>
        <w:numPr>
          <w:ilvl w:val="0"/>
          <w:numId w:val="3"/>
        </w:numPr>
        <w:spacing w:after="100" w:line="276"/>
      </w:pPr>
      <w:r>
        <w:rPr>
          <w:rFonts w:ascii="Georgia" w:cs="Georgia" w:eastAsia="Georgia" w:hAnsi="Georgia"/>
          <w:color w:val="2C2C2C"/>
          <w:sz w:val="21"/>
          <w:szCs w:val="21"/>
        </w:rPr>
        <w:t xml:space="preserve">For each surface: estimate frequency per active user per month, estimated non-user reach per event, and encounter quality (how closely the encounter resembles a Tier 1 artifact experience).</w:t>
      </w:r>
    </w:p>
    <w:p>
      <w:pPr>
        <w:pStyle w:val="ListParagraph"/>
        <w:numPr>
          <w:ilvl w:val="0"/>
          <w:numId w:val="3"/>
        </w:numPr>
        <w:spacing w:after="100" w:line="276"/>
      </w:pPr>
      <w:r>
        <w:rPr>
          <w:rFonts w:ascii="Georgia" w:cs="Georgia" w:eastAsia="Georgia" w:hAnsi="Georgia"/>
          <w:color w:val="2C2C2C"/>
          <w:sz w:val="21"/>
          <w:szCs w:val="21"/>
        </w:rPr>
        <w:t xml:space="preserve">Calculate the estimated weekly encounter volume: (active users) × (artifacts per user per week) × (average non-user reach per artifact). This is the micro-viral throughput.</w:t>
      </w:r>
    </w:p>
    <w:p>
      <w:pPr>
        <w:pStyle w:val="ListParagraph"/>
        <w:numPr>
          <w:ilvl w:val="0"/>
          <w:numId w:val="3"/>
        </w:numPr>
        <w:spacing w:after="100" w:line="276"/>
      </w:pPr>
      <w:r>
        <w:rPr>
          <w:rFonts w:ascii="Georgia" w:cs="Georgia" w:eastAsia="Georgia" w:hAnsi="Georgia"/>
          <w:color w:val="2C2C2C"/>
          <w:sz w:val="21"/>
          <w:szCs w:val="21"/>
        </w:rPr>
        <w:t xml:space="preserve">Identify the encounter density timeline: at the projected throughput, how many weeks until the ecosystem reaches the 10–25% encounter density threshold?</w:t>
      </w:r>
    </w:p>
    <w:p>
      <w:pPr>
        <w:spacing w:after="120" w:before="200"/>
      </w:pPr>
      <w:r>
        <w:rPr>
          <w:rFonts w:ascii="Georgia" w:cs="Georgia" w:eastAsia="Georgia" w:hAnsi="Georgia"/>
          <w:b/>
          <w:bCs/>
          <w:color w:val="1B2A4A"/>
          <w:sz w:val="22"/>
          <w:szCs w:val="22"/>
        </w:rPr>
        <w:t xml:space="preserve">Section 4: Status Mechanic Design</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How does the product’s artifact confer status on the user within the ecosystem’s social hierarchy?</w:t>
      </w:r>
    </w:p>
    <w:p>
      <w:pPr>
        <w:pStyle w:val="ListParagraph"/>
        <w:numPr>
          <w:ilvl w:val="0"/>
          <w:numId w:val="3"/>
        </w:numPr>
        <w:spacing w:after="100" w:line="276"/>
      </w:pPr>
      <w:r>
        <w:rPr>
          <w:rFonts w:ascii="Georgia" w:cs="Georgia" w:eastAsia="Georgia" w:hAnsi="Georgia"/>
          <w:color w:val="2C2C2C"/>
          <w:sz w:val="21"/>
          <w:szCs w:val="21"/>
        </w:rPr>
        <w:t xml:space="preserve">Complete the Status Audit from Part II §7.1 for the primary artifact.</w:t>
      </w:r>
    </w:p>
    <w:p>
      <w:pPr>
        <w:pStyle w:val="ListParagraph"/>
        <w:numPr>
          <w:ilvl w:val="0"/>
          <w:numId w:val="3"/>
        </w:numPr>
        <w:spacing w:after="100" w:line="276"/>
      </w:pPr>
      <w:r>
        <w:rPr>
          <w:rFonts w:ascii="Georgia" w:cs="Georgia" w:eastAsia="Georgia" w:hAnsi="Georgia"/>
          <w:color w:val="2C2C2C"/>
          <w:sz w:val="21"/>
          <w:szCs w:val="21"/>
        </w:rPr>
        <w:t xml:space="preserve">Design the three status tiers (Baseline, Advanced, Elite) from Part II §7.2, with ecosystem-specific definitions.</w:t>
      </w:r>
    </w:p>
    <w:p>
      <w:pPr>
        <w:pStyle w:val="ListParagraph"/>
        <w:numPr>
          <w:ilvl w:val="0"/>
          <w:numId w:val="3"/>
        </w:numPr>
        <w:spacing w:after="100" w:line="276"/>
      </w:pPr>
      <w:r>
        <w:rPr>
          <w:rFonts w:ascii="Georgia" w:cs="Georgia" w:eastAsia="Georgia" w:hAnsi="Georgia"/>
          <w:color w:val="2C2C2C"/>
          <w:sz w:val="21"/>
          <w:szCs w:val="21"/>
        </w:rPr>
        <w:t xml:space="preserve">Map the status signal to the ecosystem’s social hierarchy [Ref: T1 §6]. Which hierarchy dimension does the artifact’s status signal address? (Professionalism? Credibility? Sophistication? Compliance?)</w:t>
      </w:r>
    </w:p>
    <w:p>
      <w:pPr>
        <w:pStyle w:val="ListParagraph"/>
        <w:numPr>
          <w:ilvl w:val="0"/>
          <w:numId w:val="3"/>
        </w:numPr>
        <w:spacing w:after="100" w:line="276"/>
      </w:pPr>
      <w:r>
        <w:rPr>
          <w:rFonts w:ascii="Georgia" w:cs="Georgia" w:eastAsia="Georgia" w:hAnsi="Georgia"/>
          <w:color w:val="2C2C2C"/>
          <w:sz w:val="21"/>
          <w:szCs w:val="21"/>
        </w:rPr>
        <w:t xml:space="preserve">Identify the status gap: what is the visible difference between a participant who uses the product and one who does not? State this gap in the ecosystem’s own language [Ref: T4].</w:t>
      </w:r>
    </w:p>
    <w:p>
      <w:pPr>
        <w:spacing w:after="120" w:before="200"/>
      </w:pPr>
      <w:r>
        <w:rPr>
          <w:rFonts w:ascii="Georgia" w:cs="Georgia" w:eastAsia="Georgia" w:hAnsi="Georgia"/>
          <w:b/>
          <w:bCs/>
          <w:color w:val="1B2A4A"/>
          <w:sz w:val="22"/>
          <w:szCs w:val="22"/>
        </w:rPr>
        <w:t xml:space="preserve">Section 5: Seeding Strategy</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Who are the first 10–50 users, and how will their artifacts ignite network permeation?</w:t>
      </w:r>
    </w:p>
    <w:p>
      <w:pPr>
        <w:pStyle w:val="ListParagraph"/>
        <w:numPr>
          <w:ilvl w:val="0"/>
          <w:numId w:val="3"/>
        </w:numPr>
        <w:spacing w:after="100" w:line="276"/>
      </w:pPr>
      <w:r>
        <w:rPr>
          <w:rFonts w:ascii="Georgia" w:cs="Georgia" w:eastAsia="Georgia" w:hAnsi="Georgia"/>
          <w:color w:val="2C2C2C"/>
          <w:sz w:val="21"/>
          <w:szCs w:val="21"/>
        </w:rPr>
        <w:t xml:space="preserve">Define the Seed User Profile for this specific ecosystem using the three properties from Part III §8.1 (transaction frequency, bridge position, aspirational status).</w:t>
      </w:r>
    </w:p>
    <w:p>
      <w:pPr>
        <w:pStyle w:val="ListParagraph"/>
        <w:numPr>
          <w:ilvl w:val="0"/>
          <w:numId w:val="3"/>
        </w:numPr>
        <w:spacing w:after="100" w:line="276"/>
      </w:pPr>
      <w:r>
        <w:rPr>
          <w:rFonts w:ascii="Georgia" w:cs="Georgia" w:eastAsia="Georgia" w:hAnsi="Georgia"/>
          <w:color w:val="2C2C2C"/>
          <w:sz w:val="21"/>
          <w:szCs w:val="21"/>
        </w:rPr>
        <w:t xml:space="preserve">Identify 10–20 specific individuals or account types that match the profile. Reference the trust network topology from T6 §5 to confirm bridge node positions.</w:t>
      </w:r>
    </w:p>
    <w:p>
      <w:pPr>
        <w:pStyle w:val="ListParagraph"/>
        <w:numPr>
          <w:ilvl w:val="0"/>
          <w:numId w:val="3"/>
        </w:numPr>
        <w:spacing w:after="100" w:line="276"/>
      </w:pPr>
      <w:r>
        <w:rPr>
          <w:rFonts w:ascii="Georgia" w:cs="Georgia" w:eastAsia="Georgia" w:hAnsi="Georgia"/>
          <w:color w:val="2C2C2C"/>
          <w:sz w:val="21"/>
          <w:szCs w:val="21"/>
        </w:rPr>
        <w:t xml:space="preserve">Specify the seeding sequence (Design Partners → Network Ignition → Density Push) with ecosystem-specific milestones and timeline.</w:t>
      </w:r>
    </w:p>
    <w:p>
      <w:pPr>
        <w:pStyle w:val="ListParagraph"/>
        <w:numPr>
          <w:ilvl w:val="0"/>
          <w:numId w:val="3"/>
        </w:numPr>
        <w:spacing w:after="100" w:line="276"/>
      </w:pPr>
      <w:r>
        <w:rPr>
          <w:rFonts w:ascii="Georgia" w:cs="Georgia" w:eastAsia="Georgia" w:hAnsi="Georgia"/>
          <w:color w:val="2C2C2C"/>
          <w:sz w:val="21"/>
          <w:szCs w:val="21"/>
        </w:rPr>
        <w:t xml:space="preserve">State the Ritual Integration target [Ref: Part III §9.2]: which existing ecosystem ritual will the product’s artifact embed into?</w:t>
      </w:r>
    </w:p>
    <w:p>
      <w:pPr>
        <w:spacing w:after="120" w:before="200"/>
      </w:pPr>
      <w:r>
        <w:rPr>
          <w:rFonts w:ascii="Georgia" w:cs="Georgia" w:eastAsia="Georgia" w:hAnsi="Georgia"/>
          <w:b/>
          <w:bCs/>
          <w:color w:val="1B2A4A"/>
          <w:sz w:val="22"/>
          <w:szCs w:val="22"/>
        </w:rPr>
        <w:t xml:space="preserve">Section 6: Measurement Plan</w:t>
      </w:r>
    </w:p>
    <w:p>
      <w:pPr>
        <w:pBdr>
          <w:left w:val="single" w:color="2A9D8F" w:sz="12" w:space="8"/>
        </w:pBdr>
        <w:spacing w:after="200" w:before="200"/>
        <w:ind w:left="360" w:right="360"/>
      </w:pPr>
      <w:r>
        <w:rPr>
          <w:rFonts w:ascii="Georgia" w:cs="Georgia" w:eastAsia="Georgia" w:hAnsi="Georgia"/>
          <w:i/>
          <w:iCs/>
          <w:color w:val="3D5A80"/>
          <w:sz w:val="21"/>
          <w:szCs w:val="21"/>
        </w:rPr>
        <w:t xml:space="preserve">Governing question: What metrics will track micro-viral health, and what thresholds trigger strategic decisions?</w:t>
      </w:r>
    </w:p>
    <w:p>
      <w:pPr>
        <w:pStyle w:val="ListParagraph"/>
        <w:numPr>
          <w:ilvl w:val="0"/>
          <w:numId w:val="3"/>
        </w:numPr>
        <w:spacing w:after="100" w:line="276"/>
      </w:pPr>
      <w:r>
        <w:rPr>
          <w:rFonts w:ascii="Georgia" w:cs="Georgia" w:eastAsia="Georgia" w:hAnsi="Georgia"/>
          <w:color w:val="2C2C2C"/>
          <w:sz w:val="21"/>
          <w:szCs w:val="21"/>
        </w:rPr>
        <w:t xml:space="preserve">Specify how each of the six metrics from Part III §10 will be measured in this ecosystem (data sources, tracking mechanisms, calculation methods).</w:t>
      </w:r>
    </w:p>
    <w:p>
      <w:pPr>
        <w:pStyle w:val="ListParagraph"/>
        <w:numPr>
          <w:ilvl w:val="0"/>
          <w:numId w:val="3"/>
        </w:numPr>
        <w:spacing w:after="100" w:line="276"/>
      </w:pPr>
      <w:r>
        <w:rPr>
          <w:rFonts w:ascii="Georgia" w:cs="Georgia" w:eastAsia="Georgia" w:hAnsi="Georgia"/>
          <w:color w:val="2C2C2C"/>
          <w:sz w:val="21"/>
          <w:szCs w:val="21"/>
        </w:rPr>
        <w:t xml:space="preserve">Set ecosystem-specific benchmarks based on the Micro-Viral Fitness Score from Section 1. Higher-fitness ecosystems should achieve higher EAR and faster density thresholds.</w:t>
      </w:r>
    </w:p>
    <w:p>
      <w:pPr>
        <w:pStyle w:val="ListParagraph"/>
        <w:numPr>
          <w:ilvl w:val="0"/>
          <w:numId w:val="3"/>
        </w:numPr>
        <w:spacing w:after="100" w:line="276"/>
      </w:pPr>
      <w:r>
        <w:rPr>
          <w:rFonts w:ascii="Georgia" w:cs="Georgia" w:eastAsia="Georgia" w:hAnsi="Georgia"/>
          <w:color w:val="2C2C2C"/>
          <w:sz w:val="21"/>
          <w:szCs w:val="21"/>
        </w:rPr>
        <w:t xml:space="preserve">Define three decision triggers: (a) the EAR threshold below which the artifact mechanic requires redesign, (b) the encounter density level at which amplification mechanics should be activated, and (c) the artifact-sourced adoption percentage at which micro-virality can be declared the primary growth engine.</w:t>
      </w:r>
    </w:p>
    <w:p>
      <w:pPr>
        <w:pBdr>
          <w:left w:val="single" w:color="D4A843" w:sz="12" w:space="8"/>
        </w:pBdr>
        <w:spacing w:after="200" w:before="200"/>
        <w:ind w:left="360" w:right="360"/>
      </w:pPr>
      <w:r>
        <w:rPr>
          <w:rFonts w:ascii="Georgia" w:cs="Georgia" w:eastAsia="Georgia" w:hAnsi="Georgia"/>
          <w:i/>
          <w:iCs/>
          <w:color w:val="7D6608"/>
          <w:sz w:val="20"/>
          <w:szCs w:val="20"/>
        </w:rPr>
        <w:t xml:space="preserve">Quality gate: The Ecosystem Propagation Assessment must score all three dimensions with cited evidence. The Artifact Architecture must include a complete seven-point checklist pass/fail for every Tier 1 and Tier 2 artifact. The Seeding Strategy must identify at least 10 specific seed user candidates. The Measurement Plan must define thresholds for all three decision triggers.</w:t>
      </w:r>
    </w:p>
    <w:p>
      <w:pPr>
        <w:pBdr>
          <w:bottom w:val="single" w:color="E8E0D8" w:sz="4" w:space="4"/>
        </w:pBdr>
        <w:spacing w:after="160" w:before="160"/>
      </w:pPr>
      <w:r>
        <w:rPr>
          <w:sz w:val="8"/>
          <w:szCs w:val="8"/>
        </w:rPr>
        <w:t xml:space="preserve"/>
      </w:r>
    </w:p>
    <w:p>
      <w:pPr>
        <w:pStyle w:val="Heading2"/>
        <w:spacing w:after="160" w:before="280"/>
      </w:pPr>
      <w:r>
        <w:rPr>
          <w:rFonts w:ascii="Georgia" w:cs="Georgia" w:eastAsia="Georgia" w:hAnsi="Georgia"/>
          <w:b/>
          <w:bCs/>
          <w:color w:val="3D5A80"/>
          <w:sz w:val="26"/>
          <w:szCs w:val="26"/>
        </w:rPr>
        <w:t xml:space="preserve">11.3 Length Calibration</w:t>
      </w:r>
    </w:p>
    <w:p>
      <w:pPr>
        <w:spacing w:after="160" w:line="276"/>
      </w:pPr>
      <w:r>
        <w:rPr>
          <w:rFonts w:ascii="Georgia" w:cs="Georgia" w:eastAsia="Georgia" w:hAnsi="Georgia"/>
          <w:color w:val="2C2C2C"/>
          <w:sz w:val="21"/>
          <w:szCs w:val="21"/>
        </w:rPr>
        <w:t xml:space="preserve">Target: 3,000–4,500 words. Maximum: 6,000 words. The Artifact Architecture section may be supplemented with visual mockups of primary artifacts if available, but prose specification is mandatory regardless.</w:t>
      </w:r>
    </w:p>
    <w:p>
      <w:pPr>
        <w:pStyle w:val="Heading2"/>
        <w:spacing w:after="160" w:before="280"/>
      </w:pPr>
      <w:r>
        <w:rPr>
          <w:rFonts w:ascii="Georgia" w:cs="Georgia" w:eastAsia="Georgia" w:hAnsi="Georgia"/>
          <w:b/>
          <w:bCs/>
          <w:color w:val="3D5A80"/>
          <w:sz w:val="26"/>
          <w:szCs w:val="26"/>
        </w:rPr>
        <w:t xml:space="preserve">11.4 Relationship to Distribution Playbooks</w:t>
      </w:r>
    </w:p>
    <w:p>
      <w:pPr>
        <w:spacing w:after="160" w:line="276"/>
      </w:pPr>
      <w:r>
        <w:rPr>
          <w:rFonts w:ascii="Georgia" w:cs="Georgia" w:eastAsia="Georgia" w:hAnsi="Georgia"/>
          <w:color w:val="2C2C2C"/>
          <w:sz w:val="21"/>
          <w:szCs w:val="21"/>
        </w:rPr>
        <w:t xml:space="preserve">The Micro-Virality Map is not a replacement for Distribution Playbook D (Product-Led Growth) from Doc 07. They share concepts but serve different purposes:</w:t>
      </w:r>
    </w:p>
    <w:p>
      <w:pPr>
        <w:pStyle w:val="ListParagraph"/>
        <w:numPr>
          <w:ilvl w:val="0"/>
          <w:numId w:val="3"/>
        </w:numPr>
        <w:spacing w:after="100" w:line="276"/>
      </w:pPr>
      <w:r>
        <w:rPr>
          <w:rFonts w:ascii="Georgia" w:cs="Georgia" w:eastAsia="Georgia" w:hAnsi="Georgia"/>
          <w:b/>
          <w:bCs/>
          <w:color w:val="1B2A4A"/>
          <w:sz w:val="21"/>
          <w:szCs w:val="21"/>
        </w:rPr>
        <w:t xml:space="preserve">Playbook D </w:t>
      </w:r>
      <w:r>
        <w:rPr>
          <w:rFonts w:ascii="Georgia" w:cs="Georgia" w:eastAsia="Georgia" w:hAnsi="Georgia"/>
          <w:color w:val="2C2C2C"/>
          <w:sz w:val="21"/>
          <w:szCs w:val="21"/>
        </w:rPr>
        <w:t xml:space="preserve">specifies the general PLG execution plan: free tier design, upgrade prompts, viral mechanic implementation, conversion optimisation. It is channel-agnostic and applies to any self-serve SaaS product.</w:t>
      </w:r>
    </w:p>
    <w:p>
      <w:pPr>
        <w:pStyle w:val="ListParagraph"/>
        <w:numPr>
          <w:ilvl w:val="0"/>
          <w:numId w:val="3"/>
        </w:numPr>
        <w:spacing w:after="100" w:line="276"/>
      </w:pPr>
      <w:r>
        <w:rPr>
          <w:rFonts w:ascii="Georgia" w:cs="Georgia" w:eastAsia="Georgia" w:hAnsi="Georgia"/>
          <w:b/>
          <w:bCs/>
          <w:color w:val="1B2A4A"/>
          <w:sz w:val="21"/>
          <w:szCs w:val="21"/>
        </w:rPr>
        <w:t xml:space="preserve">T11 (Micro-Virality Map) </w:t>
      </w:r>
      <w:r>
        <w:rPr>
          <w:rFonts w:ascii="Georgia" w:cs="Georgia" w:eastAsia="Georgia" w:hAnsi="Georgia"/>
          <w:color w:val="2C2C2C"/>
          <w:sz w:val="21"/>
          <w:szCs w:val="21"/>
        </w:rPr>
        <w:t xml:space="preserve">specifies the ecosystem-specific propagation design: which artifacts, which trust pathways, which status mechanics, which seed users, which rituals, which metrics. It applies to a specific ecosystem with a specific culture, trust architecture, and social hierarchy.</w:t>
      </w:r>
    </w:p>
    <w:p>
      <w:pPr>
        <w:spacing w:after="160" w:line="276"/>
      </w:pPr>
      <w:r>
        <w:rPr>
          <w:rFonts w:ascii="Georgia" w:cs="Georgia" w:eastAsia="Georgia" w:hAnsi="Georgia"/>
          <w:color w:val="2C2C2C"/>
          <w:sz w:val="21"/>
          <w:szCs w:val="21"/>
        </w:rPr>
        <w:t xml:space="preserve">Playbook D answers: “How do we build a product that grows through usage?” T11 answers: “How does this specific product spread through this specific ecosystem via the artifacts it generates?”</w:t>
      </w:r>
    </w:p>
    <w:p>
      <w:pPr>
        <w:spacing w:after="160" w:line="276"/>
      </w:pPr>
      <w:r>
        <w:rPr>
          <w:rFonts w:ascii="Georgia" w:cs="Georgia" w:eastAsia="Georgia" w:hAnsi="Georgia"/>
          <w:color w:val="2C2C2C"/>
          <w:sz w:val="21"/>
          <w:szCs w:val="21"/>
        </w:rPr>
        <w:t xml:space="preserve">The recommended integration: execute Playbook D for the general PLG mechanics (free tier, upgrade triggers, onboarding). Layer T11 on top for the ecosystem-specific micro-viral design (artifact hierarchy, status engineering, seeding strategy, ritual integration). Playbook D is the engine. T11 is the navigation.</w:t>
      </w:r>
    </w:p>
    <w:p>
      <w:pPr>
        <w:pBdr>
          <w:bottom w:val="single" w:color="E8E0D8" w:sz="4" w:space="4"/>
        </w:pBdr>
        <w:spacing w:after="160" w:before="160"/>
      </w:pPr>
      <w:r>
        <w:rPr>
          <w:sz w:val="8"/>
          <w:szCs w:val="8"/>
        </w:rPr>
        <w:t xml:space="preserve"/>
      </w:r>
    </w:p>
    <w:p>
      <w:pPr>
        <w:pStyle w:val="Heading1"/>
        <w:spacing w:after="200" w:before="360"/>
      </w:pPr>
      <w:r>
        <w:rPr>
          <w:rFonts w:ascii="Georgia" w:cs="Georgia" w:eastAsia="Georgia" w:hAnsi="Georgia"/>
          <w:b/>
          <w:bCs/>
          <w:color w:val="1B2A4A"/>
          <w:sz w:val="32"/>
          <w:szCs w:val="32"/>
        </w:rPr>
        <w:t xml:space="preserve">Closing: The Micro-Virality Manifesto</w:t>
      </w:r>
    </w:p>
    <w:p>
      <w:pPr>
        <w:spacing w:after="160" w:line="276"/>
      </w:pPr>
      <w:r>
        <w:rPr>
          <w:rFonts w:ascii="Georgia" w:cs="Georgia" w:eastAsia="Georgia" w:hAnsi="Georgia"/>
          <w:color w:val="2C2C2C"/>
          <w:sz w:val="21"/>
          <w:szCs w:val="21"/>
        </w:rPr>
        <w:t xml:space="preserve">The entire doctrine rests on a single insight: in a bounded ecosystem with a universal problem, the most efficient distribution channel is the product’s own output encountering non-users through trusted channels.</w:t>
      </w:r>
    </w:p>
    <w:p>
      <w:pPr>
        <w:spacing w:after="160" w:line="276"/>
      </w:pPr>
      <w:r>
        <w:rPr>
          <w:rFonts w:ascii="Georgia" w:cs="Georgia" w:eastAsia="Georgia" w:hAnsi="Georgia"/>
          <w:color w:val="2C2C2C"/>
          <w:sz w:val="21"/>
          <w:szCs w:val="21"/>
        </w:rPr>
        <w:t xml:space="preserve">This is not a growth hack. It is a design philosophy. Every feature decision, every UI choice, every workflow design is evaluated against the same question: does this create an artifact that non-users will encounter and find valuable? If the answer is no, the feature may still be worth building for utility or retention. But the features that answer yes are the ones that grow the business.</w:t>
      </w:r>
    </w:p>
    <w:p>
      <w:pPr>
        <w:pBdr>
          <w:left w:val="single" w:color="E07A5F" w:sz="12" w:space="8"/>
        </w:pBdr>
        <w:spacing w:after="200" w:before="200"/>
        <w:ind w:left="360" w:right="360"/>
      </w:pPr>
      <w:r>
        <w:rPr>
          <w:rFonts w:ascii="Georgia" w:cs="Georgia" w:eastAsia="Georgia" w:hAnsi="Georgia"/>
          <w:i/>
          <w:iCs/>
          <w:color w:val="3D5A80"/>
          <w:sz w:val="21"/>
          <w:szCs w:val="21"/>
        </w:rPr>
        <w:t xml:space="preserve">Build the product so well that using it is marketing. Make the output so professional that sending it is a status signal. Seed it with the right people so that encountering it is inevitable. Measure it with the right metrics so that you know when it’s working. Then get out of its way.</w:t>
      </w:r>
    </w:p>
    <w:p>
      <w:pPr>
        <w:spacing w:after="160" w:line="276"/>
      </w:pPr>
      <w:r>
        <w:rPr>
          <w:rFonts w:ascii="Georgia" w:cs="Georgia" w:eastAsia="Georgia" w:hAnsi="Georgia"/>
          <w:color w:val="2C2C2C"/>
          <w:sz w:val="21"/>
          <w:szCs w:val="21"/>
        </w:rPr>
        <w:t xml:space="preserve"/>
      </w:r>
    </w:p>
    <w:p>
      <w:pPr>
        <w:spacing w:after="80"/>
        <w:jc w:val="center"/>
      </w:pPr>
      <w:r>
        <w:rPr>
          <w:rFonts w:ascii="Georgia" w:cs="Georgia" w:eastAsia="Georgia" w:hAnsi="Georgia"/>
          <w:i/>
          <w:iCs/>
          <w:color w:val="555555"/>
          <w:sz w:val="20"/>
          <w:szCs w:val="20"/>
        </w:rPr>
        <w:t xml:space="preserve">— End of Doctrine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2" w:space="4"/>
      </w:pBdr>
      <w:tabs>
        <w:tab w:val="right" w:pos="9026"/>
      </w:tabs>
      <w:spacing w:after="0"/>
    </w:pPr>
    <w:r>
      <w:rPr>
        <w:rFonts w:ascii="Georgia" w:cs="Georgia" w:eastAsia="Georgia" w:hAnsi="Georgia"/>
        <w:i/>
        <w:iCs/>
        <w:color w:val="555555"/>
        <w:sz w:val="16"/>
        <w:szCs w:val="16"/>
      </w:rPr>
      <w:t xml:space="preserve">Micro-Virality — Distribution Doctrine v1.0</w:t>
    </w:r>
    <w:r>
      <w:rPr>
        <w:rFonts w:ascii="Georgia" w:cs="Georgia" w:eastAsia="Georgia" w:hAnsi="Georgia"/>
        <w:color w:val="555555"/>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2026-03-23T00:27:00.697Z</dcterms:created>
  <dcterms:modified xsi:type="dcterms:W3CDTF">2026-03-23T00:27:00.698Z</dcterms:modified>
</cp:coreProperties>
</file>

<file path=docProps/custom.xml><?xml version="1.0" encoding="utf-8"?>
<Properties xmlns="http://schemas.openxmlformats.org/officeDocument/2006/custom-properties" xmlns:vt="http://schemas.openxmlformats.org/officeDocument/2006/docPropsVTypes"/>
</file>