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Schedule: https://schej.it/e/3C9e3</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Ammar Khakoo</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Ngo</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Desmond Patrick Bolia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Yuxuan Lu</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Paper A Problem Statement</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global population is undergoing one of the largest demographic shifts in age in recent human history, as the World Health Organization </w:t>
      </w:r>
      <w:hyperlink r:id="rId6">
        <w:r w:rsidDel="00000000" w:rsidR="00000000" w:rsidRPr="00000000">
          <w:rPr>
            <w:rFonts w:ascii="Times New Roman" w:cs="Times New Roman" w:eastAsia="Times New Roman" w:hAnsi="Times New Roman"/>
            <w:color w:val="1155cc"/>
            <w:sz w:val="24"/>
            <w:szCs w:val="24"/>
            <w:u w:val="single"/>
            <w:rtl w:val="0"/>
          </w:rPr>
          <w:t xml:space="preserve">notes</w:t>
        </w:r>
      </w:hyperlink>
      <w:r w:rsidDel="00000000" w:rsidR="00000000" w:rsidRPr="00000000">
        <w:rPr>
          <w:rFonts w:ascii="Times New Roman" w:cs="Times New Roman" w:eastAsia="Times New Roman" w:hAnsi="Times New Roman"/>
          <w:sz w:val="24"/>
          <w:szCs w:val="24"/>
          <w:rtl w:val="0"/>
        </w:rPr>
        <w:t xml:space="preserve"> that by 2050 the global population exceeding the age of 60 will double to 2.1 billion people. Additionally, the cohort of persons aged 80 years or greater will triple from 2020-2050. A large geriatric population places </w:t>
      </w:r>
      <w:hyperlink r:id="rId7">
        <w:r w:rsidDel="00000000" w:rsidR="00000000" w:rsidRPr="00000000">
          <w:rPr>
            <w:rFonts w:ascii="Times New Roman" w:cs="Times New Roman" w:eastAsia="Times New Roman" w:hAnsi="Times New Roman"/>
            <w:color w:val="1155cc"/>
            <w:sz w:val="24"/>
            <w:szCs w:val="24"/>
            <w:u w:val="single"/>
            <w:rtl w:val="0"/>
          </w:rPr>
          <w:t xml:space="preserve">stresses </w:t>
        </w:r>
      </w:hyperlink>
      <w:r w:rsidDel="00000000" w:rsidR="00000000" w:rsidRPr="00000000">
        <w:rPr>
          <w:rFonts w:ascii="Times New Roman" w:cs="Times New Roman" w:eastAsia="Times New Roman" w:hAnsi="Times New Roman"/>
          <w:sz w:val="24"/>
          <w:szCs w:val="24"/>
          <w:rtl w:val="0"/>
        </w:rPr>
        <w:t xml:space="preserve">on healthcare infrastructure, including its human capital, as patient needs must be met. </w:t>
      </w:r>
      <w:hyperlink r:id="rId8">
        <w:r w:rsidDel="00000000" w:rsidR="00000000" w:rsidRPr="00000000">
          <w:rPr>
            <w:rFonts w:ascii="Times New Roman" w:cs="Times New Roman" w:eastAsia="Times New Roman" w:hAnsi="Times New Roman"/>
            <w:color w:val="1155cc"/>
            <w:sz w:val="24"/>
            <w:szCs w:val="24"/>
            <w:u w:val="single"/>
            <w:rtl w:val="0"/>
          </w:rPr>
          <w:t xml:space="preserve">86.3% of American adults aged 60-79</w:t>
        </w:r>
      </w:hyperlink>
      <w:r w:rsidDel="00000000" w:rsidR="00000000" w:rsidRPr="00000000">
        <w:rPr>
          <w:rFonts w:ascii="Times New Roman" w:cs="Times New Roman" w:eastAsia="Times New Roman" w:hAnsi="Times New Roman"/>
          <w:sz w:val="24"/>
          <w:szCs w:val="24"/>
          <w:rtl w:val="0"/>
        </w:rPr>
        <w:t xml:space="preserve"> take one or more prescription drugs, and as the world’s population ages, it will become increasingly more difficult to manage the appropriate distribution and consumption of these drugs effectively. As such, there is a marketable need for a technology that can actively schedule, remind, and distribute prescription medication as a hardware, complemented by a software ecosystem that monitors, tracks, and notifies the use of their health status and maintains their drug regimen. With the geriatric population growing rapidly and a weakened human healthcare component, there is opportunity to address this need with effective technological solutions.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 on about vitals in early in problem section - brought up as a surprise as it is introduced later on as a feature that solves the problem</w:t>
      </w:r>
    </w:p>
    <w:p w:rsidR="00000000" w:rsidDel="00000000" w:rsidP="00000000" w:rsidRDefault="00000000" w:rsidRPr="00000000" w14:paraId="0000000F">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Statement</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 order to rectify this problem, we are proposing a device that is intended to be worn on the user’s wrist. Ideally, our technology will utilize a user’s preexisting wearable hardware (Apple Watch, FitBit, Garmin, etc.), as the current pace of hardware infrastructure is dependent on industry leaders. We do not aim to create the next hardware advancement, but leverage established technologies to serve our target demographic. This allows for rapid software prototyping, reduced research and development costs, and the ability for our technology to influence health technology through its integration into existing systems. We intend to market our solution as two products - a companion application that allows the user to pair the device with their mobile phone or device, and a simple hardware system that distributes medications in their proper doses. The hardware system is intended to be efficient and cost effective to manufacture, giving us a generative cash flow that will endorse application development and software breakthroughs. </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soft product, users can input all medications they are taking, and when they want to be reminded to take them. This information will be parsed through health databases and confirmed by their doctors. A formal business relationship with </w:t>
      </w:r>
      <w:hyperlink r:id="rId9">
        <w:r w:rsidDel="00000000" w:rsidR="00000000" w:rsidRPr="00000000">
          <w:rPr>
            <w:rFonts w:ascii="Times New Roman" w:cs="Times New Roman" w:eastAsia="Times New Roman" w:hAnsi="Times New Roman"/>
            <w:color w:val="1155cc"/>
            <w:sz w:val="24"/>
            <w:szCs w:val="24"/>
            <w:u w:val="single"/>
            <w:rtl w:val="0"/>
          </w:rPr>
          <w:t xml:space="preserve">Epic Systems</w:t>
        </w:r>
      </w:hyperlink>
      <w:r w:rsidDel="00000000" w:rsidR="00000000" w:rsidRPr="00000000">
        <w:rPr>
          <w:rFonts w:ascii="Times New Roman" w:cs="Times New Roman" w:eastAsia="Times New Roman" w:hAnsi="Times New Roman"/>
          <w:sz w:val="24"/>
          <w:szCs w:val="24"/>
          <w:rtl w:val="0"/>
        </w:rPr>
        <w:t xml:space="preserve"> would be an ideal partnership to retrieve valuable data from a patient’s doctor with no effort required of the consumer.</w:t>
      </w:r>
      <w:r w:rsidDel="00000000" w:rsidR="00000000" w:rsidRPr="00000000">
        <w:rPr>
          <w:rFonts w:ascii="Times New Roman" w:cs="Times New Roman" w:eastAsia="Times New Roman" w:hAnsi="Times New Roman"/>
          <w:sz w:val="24"/>
          <w:szCs w:val="24"/>
          <w:rtl w:val="0"/>
        </w:rPr>
        <w:t xml:space="preserve"> Users will receive notifications at designated times on their device to coordinate their medication requirements.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 addition to reminding users when to take their prescriptions, there is also in depth health information being tracked by this wearable device. Information such as heart rate and blood pressure is monitored periodically throughout the day and is able to be viewed on the companion app. This information will be monitored and our software will indicate any variances in tracked vitals, leading to one of the primary benefits of this technology. These vitals can indicate extreme or acute changes in body function, can be programmed to note and notify the possible side effects of singular drugs or compounding effects that can negatively affect patients when taking two or more medications. All of this information will then be relayed back to medical professionals and first responders, reducing the amount of time and energy human beings must be present with patients, except for in critical care scenarios.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https://jamanetwork.com/journals/jama/fullarticle/2467552</w:t>
        </w:r>
      </w:hyperlink>
      <w:r w:rsidDel="00000000" w:rsidR="00000000" w:rsidRPr="00000000">
        <w:rPr>
          <w:rtl w:val="0"/>
        </w:rPr>
      </w:r>
    </w:p>
    <w:p w:rsidR="00000000" w:rsidDel="00000000" w:rsidP="00000000" w:rsidRDefault="00000000" w:rsidRPr="00000000" w14:paraId="00000036">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38">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Increase in Overall Prescription Drug Use: The percentage of US adults reporting the use of any prescription medication in the past 30 days rose from an estimated 51% in 1999-2000 to 59% in 2011-2012. This represents an 8% increase (95% Confidence Interval [CI], 3.8%-12%; P for trend &lt; .001).</w:t>
      </w:r>
    </w:p>
    <w:p w:rsidR="00000000" w:rsidDel="00000000" w:rsidP="00000000" w:rsidRDefault="00000000" w:rsidRPr="00000000" w14:paraId="0000003A">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in Polypharmacy: The prevalence of polypharmacy—defined as the use of five or more prescription drugs—nearly doubled, increasing from 8.2% to 15% over the study period (difference of 6.6%; 95% CI, 4.4%-8.2%; P for trend &lt; .001).</w:t>
      </w:r>
    </w:p>
    <w:p w:rsidR="00000000" w:rsidDel="00000000" w:rsidP="00000000" w:rsidRDefault="00000000" w:rsidRPr="00000000" w14:paraId="0000003C">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Adjustment: These increasing trends remained statistically significant even after adjusting for changes in the age distribution of the population, indicating that factors other than aging contributed to the rise in prescription drug use.</w:t>
      </w:r>
    </w:p>
    <w:p w:rsidR="00000000" w:rsidDel="00000000" w:rsidP="00000000" w:rsidRDefault="00000000" w:rsidRPr="00000000" w14:paraId="0000003E">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in Specific Drug Classes: Among 18 drug classes used by more than 2.5% of the population at any point during the study, the prevalence of use increased in 11 classes. Notable increases were observed in the use of antihyperlipidemic agents (cholesterol-lowering drugs), antidepressants, prescription proton-pump inhibitors (used for acid reflux), and muscle relaxants.)</w:t>
      </w:r>
    </w:p>
    <w:p w:rsidR="00000000" w:rsidDel="00000000" w:rsidP="00000000" w:rsidRDefault="00000000" w:rsidRPr="00000000" w14:paraId="0000004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https://www.cdc.gov/nchs/products/databriefs/db334.htm</w:t>
        </w:r>
      </w:hyperlink>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from the National Health and Nutrition Examination Survey</w:t>
      </w:r>
    </w:p>
    <w:p w:rsidR="00000000" w:rsidDel="00000000" w:rsidP="00000000" w:rsidRDefault="00000000" w:rsidRPr="00000000" w14:paraId="00000046">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Prescription drug use increased with age, from 18.0% of children under age 12 years to 85.0% of adults aged 60 and over.</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drug use was highest among non-Hispanic white persons followed by non-Hispanic black persons, and lowest among non-Hispanic Asian and Hispanic persons.</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commonly used types of drugs included bronchodilators for ages 0–11 years, central nervous system stimulants for ages 12–19, antidepressants for ages 20–59, and lipid-lowering drugs for ages 60 and over.</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the U.S. population that used prescription drugs decreased over the preceding decade.</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prescription drug use patterns at the population level (1) can inform research and clinical practice. These patterns may shift over time in response to changing health needs, updated clinical guidelines (2) policy changes, and other factors (1,3). The percentage of the U.S. population that used one or more prescription drugs increased from 1999–2000 through 2007–2008 (4). This report describes prescription drug use by age, sex, and race and Hispanic origin in 2015–2016 and trends over the preceding decade.)</w:t>
      </w:r>
    </w:p>
    <w:p w:rsidR="00000000" w:rsidDel="00000000" w:rsidP="00000000" w:rsidRDefault="00000000" w:rsidRPr="00000000" w14:paraId="0000005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https://pubmed.ncbi.nlm.nih.gov/17101639/</w:t>
        </w:r>
      </w:hyperlink>
      <w:r w:rsidDel="00000000" w:rsidR="00000000" w:rsidRPr="00000000">
        <w:rPr>
          <w:rtl w:val="0"/>
        </w:rPr>
      </w:r>
    </w:p>
    <w:p w:rsidR="00000000" w:rsidDel="00000000" w:rsidP="00000000" w:rsidRDefault="00000000" w:rsidRPr="00000000" w14:paraId="0000005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 Generated Summary:</w:t>
      </w:r>
    </w:p>
    <w:p w:rsidR="00000000" w:rsidDel="00000000" w:rsidP="00000000" w:rsidRDefault="00000000" w:rsidRPr="00000000" w14:paraId="00000053">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assessed the effectiveness of a comprehensive pharmacy care program on medication adherence and its impact on blood pressure (BP) and low-density lipoprotein cholesterol (LDL-C) levels among elderly patients. Conducted at the Walter Reed Army Medical Center from June 2004 to August 2006, the study involved 200 community-based patients aged 65 years or older who were taking at least four chronic medications.</w:t>
      </w:r>
    </w:p>
    <w:p w:rsidR="00000000" w:rsidDel="00000000" w:rsidP="00000000" w:rsidRDefault="00000000" w:rsidRPr="00000000" w14:paraId="0000005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Baseline Medication Adherence:</w:t>
      </w:r>
    </w:p>
    <w:p w:rsidR="00000000" w:rsidDel="00000000" w:rsidP="00000000" w:rsidRDefault="00000000" w:rsidRPr="00000000" w14:paraId="00000059">
      <w:pPr>
        <w:ind w:left="72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average medication adherence at the start was 61.2%, indicating that nearly 40% of prescribed doses were missed, potentially due to forgetfulness.</w:t>
      </w:r>
    </w:p>
    <w:p w:rsidR="00000000" w:rsidDel="00000000" w:rsidP="00000000" w:rsidRDefault="00000000" w:rsidRPr="00000000" w14:paraId="0000005B">
      <w:pPr>
        <w:ind w:left="72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Improvement with Intervention:</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6 months of the pharmacy care program—which included medication education, regular pharmacist follow-up, and time-specific packaging—adherence increased dramatically to 96.9% (P&lt;.001).</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structured interventions can effectively mitigate forgetfulness and improve adherence.</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Sustained Support is Crucial:</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When the program was discontinued for half of the participants (those randomized to usual care), adherence dropped to 69.1% after 6 months.</w:t>
      </w:r>
    </w:p>
    <w:p w:rsidR="00000000" w:rsidDel="00000000" w:rsidP="00000000" w:rsidRDefault="00000000" w:rsidRPr="00000000" w14:paraId="00000064">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Participants who continued with the pharmacy care maintained high adherence at 95.5%.</w:t>
      </w:r>
    </w:p>
    <w:p w:rsidR="00000000" w:rsidDel="00000000" w:rsidP="00000000" w:rsidRDefault="00000000" w:rsidRPr="00000000" w14:paraId="00000065">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This highlights that ongoing support is necessary to prevent a relapse into non-adherence due to forgetfulness.</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Impact on Health Outcomes:</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adherence was associated with significant reductions in systolic blood pressure (BP), demonstrating that addressing forgetfulness can lead to meaningful health benefits.</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pharmacy care group saw a greater reduction in systolic BP compared to the usual care group (-6.9 mm Hg vs. -1.0 mm Hg; P= .04).)</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https://www.ncbi.nlm.nih.gov/pmc/articles/PMC3191684/</w:t>
        </w:r>
      </w:hyperlink>
      <w:r w:rsidDel="00000000" w:rsidR="00000000" w:rsidRPr="00000000">
        <w:rPr>
          <w:rFonts w:ascii="Times New Roman" w:cs="Times New Roman" w:eastAsia="Times New Roman" w:hAnsi="Times New Roman"/>
          <w:sz w:val="24"/>
          <w:szCs w:val="24"/>
          <w:rtl w:val="0"/>
        </w:rPr>
        <w:t xml:space="preserve"> (study showing amount of people struggling with medical adherence)</w:t>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dc.gov/nchs/products/databriefs/db334.htm" TargetMode="External"/><Relationship Id="rId10" Type="http://schemas.openxmlformats.org/officeDocument/2006/relationships/hyperlink" Target="https://jamanetwork.com/journals/jama/fullarticle/2467552" TargetMode="External"/><Relationship Id="rId13" Type="http://schemas.openxmlformats.org/officeDocument/2006/relationships/hyperlink" Target="https://www.ncbi.nlm.nih.gov/pmc/articles/PMC3191684/" TargetMode="External"/><Relationship Id="rId12" Type="http://schemas.openxmlformats.org/officeDocument/2006/relationships/hyperlink" Target="https://pubmed.ncbi.nlm.nih.gov/171016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ic.com/" TargetMode="External"/><Relationship Id="rId5" Type="http://schemas.openxmlformats.org/officeDocument/2006/relationships/styles" Target="styles.xml"/><Relationship Id="rId6" Type="http://schemas.openxmlformats.org/officeDocument/2006/relationships/hyperlink" Target="https://www.who.int/news-room/fact-sheets/detail/ageing-and-health" TargetMode="External"/><Relationship Id="rId7" Type="http://schemas.openxmlformats.org/officeDocument/2006/relationships/hyperlink" Target="https://www.aamc.org/news/prescription-america-s-elder-boom-every-doctor-learns-geriatrics" TargetMode="External"/><Relationship Id="rId8" Type="http://schemas.openxmlformats.org/officeDocument/2006/relationships/hyperlink" Target="https://www.cdc.gov/nchs/products/databriefs/db347.htm#:~:text=Use%20of%20one%20or%20more%20prescription%20drugs%20was%20more%20common,53.3%25)%20(Figure%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