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32"/>
          <w:szCs w:val="32"/>
        </w:rPr>
        <w:t xml:space="preserve">CHAPTER FIVE</w:t>
      </w:r>
    </w:p>
    <w:p>
      <w:pPr>
        <w:spacing w:after="480"/>
        <w:jc w:val="center"/>
      </w:pPr>
      <w:r>
        <w:rPr>
          <w:rFonts w:ascii="Times New Roman" w:cs="Times New Roman" w:eastAsia="Times New Roman" w:hAnsi="Times New Roman"/>
          <w:b/>
          <w:bCs/>
          <w:sz w:val="32"/>
          <w:szCs w:val="32"/>
        </w:rPr>
        <w:t xml:space="preserve">DISCUSSION, CONCLUSION AND RECOMMENDATIONS</w:t>
      </w:r>
    </w:p>
    <w:p>
      <w:pPr>
        <w:pStyle w:val="Heading1"/>
        <w:tabs>
          <w:tab w:val="left" w:pos="863"/>
        </w:tabs>
        <w:spacing w:after="240" w:before="400" w:line="360"/>
      </w:pPr>
      <w:r>
        <w:rPr>
          <w:rFonts w:ascii="Times New Roman" w:cs="Times New Roman" w:eastAsia="Times New Roman" w:hAnsi="Times New Roman"/>
          <w:b/>
          <w:bCs/>
          <w:color w:val="000000"/>
          <w:sz w:val="28"/>
          <w:szCs w:val="28"/>
        </w:rPr>
        <w:t xml:space="preserve">5.1	Summary of Findings</w:t>
      </w:r>
    </w:p>
    <w:p>
      <w:pPr>
        <w:spacing w:after="200" w:before="0" w:line="480"/>
        <w:ind w:firstLine="720"/>
        <w:jc w:val="both"/>
      </w:pPr>
      <w:r>
        <w:rPr>
          <w:rFonts w:ascii="Times New Roman" w:cs="Times New Roman" w:eastAsia="Times New Roman" w:hAnsi="Times New Roman"/>
          <w:sz w:val="24"/>
          <w:szCs w:val="24"/>
        </w:rPr>
        <w:t xml:space="preserve">This project set out to replace the manual, informal way parking is currently managed on the KsTU campus (Section 1.2) with a web-based system that allocates parking slots by role and destination, verifies occupancy through QR codes, and gives administrators visibility and reporting over the whole operation. Chapter Three designed a rule-based allocation engine that matches a user's role against an eligible slot type and prefers their stated destination zone, falling back to the next zone with an eligible slot when the destination is full, backed by a six-collection Appwrite data model. Chapter Four implemented that design as a working Next.js application, deployed it publicly, and tested it: seventeen test cases covering registration, authentication, reservation, allocation, QR verification, role-based access control, and administration all passed, and, notably, the researcher's own use of the live deployment produced real reservations that transitioned through Completed and Expired states without any manual database intervention, confirmed in both the end-user reservation history (Figure 4.8) and the administrator's reservations table (Figure 4.14).</w:t>
      </w:r>
    </w:p>
    <w:p>
      <w:pPr>
        <w:spacing w:after="200" w:before="0" w:line="480"/>
        <w:ind w:firstLine="720"/>
        <w:jc w:val="both"/>
      </w:pPr>
      <w:r>
        <w:rPr>
          <w:rFonts w:ascii="Times New Roman" w:cs="Times New Roman" w:eastAsia="Times New Roman" w:hAnsi="Times New Roman"/>
          <w:sz w:val="24"/>
          <w:szCs w:val="24"/>
        </w:rPr>
        <w:t xml:space="preserve">Taken together, the findings show that a software-only implementation, requiring no dedicated parking-lot hardware, can deliver role-aware allocation, verifiable entry, and management-grade reporting for a campus parking service, addressing every functional and non-functional requirement identified in Section 3.2 (Table 4.6).</w:t>
      </w:r>
    </w:p>
    <w:p>
      <w:pPr>
        <w:pStyle w:val="Heading1"/>
        <w:tabs>
          <w:tab w:val="left" w:pos="863"/>
        </w:tabs>
        <w:spacing w:after="240" w:before="400" w:line="360"/>
      </w:pPr>
      <w:r>
        <w:rPr>
          <w:rFonts w:ascii="Times New Roman" w:cs="Times New Roman" w:eastAsia="Times New Roman" w:hAnsi="Times New Roman"/>
          <w:b/>
          <w:bCs/>
          <w:color w:val="000000"/>
          <w:sz w:val="28"/>
          <w:szCs w:val="28"/>
        </w:rPr>
        <w:t xml:space="preserve">5.2	Interpretation of Results</w:t>
      </w:r>
    </w:p>
    <w:p>
      <w:pPr>
        <w:spacing w:after="200" w:before="0" w:line="480"/>
        <w:ind w:firstLine="720"/>
        <w:jc w:val="both"/>
      </w:pPr>
      <w:r>
        <w:rPr>
          <w:rFonts w:ascii="Times New Roman" w:cs="Times New Roman" w:eastAsia="Times New Roman" w:hAnsi="Times New Roman"/>
          <w:sz w:val="24"/>
          <w:szCs w:val="24"/>
        </w:rPr>
        <w:t xml:space="preserve">A 100% pass rate across the seventeen test cases in Table 4.4 should be read carefully rather than as a claim of production-scale robustness. The test cases were executed manually by a single developer-tester against a demonstration dataset of three slots across two zones (Table 4.2), not against the tens of zones and hundreds of slots the system is ultimately designed for (Section 4.12), and no automated test suite or continuous-integration pipeline exercises the codebase on every change. What the results do support is a narrower, but still meaningful, claim: that the core business logic, the allocation algorithm's role-and-destination matching and fallback (Section 3.5), the one-active-reservation and thirty-minute-expiry rules (Section 4.8.2 and 4.8.4), and the QR issue-and-verify cycle (Section 4.8.3), is implemented correctly and behaves as designed under both scripted testing and ordinary, unscripted use.</w:t>
      </w:r>
    </w:p>
    <w:p>
      <w:pPr>
        <w:spacing w:after="200" w:before="0" w:line="480"/>
        <w:ind w:firstLine="720"/>
        <w:jc w:val="both"/>
      </w:pPr>
      <w:r>
        <w:rPr>
          <w:rFonts w:ascii="Times New Roman" w:cs="Times New Roman" w:eastAsia="Times New Roman" w:hAnsi="Times New Roman"/>
          <w:sz w:val="24"/>
          <w:szCs w:val="24"/>
        </w:rPr>
        <w:t xml:space="preserve">The clearest piece of evidence is not a test case at all: it is the pair of reservations in the live system's own history that expired on their own, thirty minutes after being made, without the researcher writing any code to force that outcome during the observation. That kind of evidence, generated by the system operating unattended over real elapsed time, is a stronger form of validation than a single scripted assertion, because it demonstrates the reservation lifecycle, the allocation engine, and the lazy-expiry check working together, end to end, exactly as an ordinary user or administrator would experience them.</w:t>
      </w:r>
    </w:p>
    <w:p>
      <w:pPr>
        <w:pStyle w:val="Heading1"/>
        <w:tabs>
          <w:tab w:val="left" w:pos="863"/>
        </w:tabs>
        <w:spacing w:after="240" w:before="400" w:line="360"/>
      </w:pPr>
      <w:r>
        <w:rPr>
          <w:rFonts w:ascii="Times New Roman" w:cs="Times New Roman" w:eastAsia="Times New Roman" w:hAnsi="Times New Roman"/>
          <w:b/>
          <w:bCs/>
          <w:color w:val="000000"/>
          <w:sz w:val="28"/>
          <w:szCs w:val="28"/>
        </w:rPr>
        <w:t xml:space="preserve">5.3	Whether Objectives Were Achieved</w:t>
      </w:r>
    </w:p>
    <w:p>
      <w:pPr>
        <w:spacing w:after="200" w:before="0" w:line="480"/>
        <w:jc w:val="both"/>
      </w:pPr>
      <w:r>
        <w:rPr>
          <w:rFonts w:ascii="Times New Roman" w:cs="Times New Roman" w:eastAsia="Times New Roman" w:hAnsi="Times New Roman"/>
          <w:sz w:val="24"/>
          <w:szCs w:val="24"/>
        </w:rPr>
        <w:t xml:space="preserve">Table 5.1 revisits the seven objectives set out in Section 1.4 and states, against the evidence presented in Chapters Two through Four, whether each was achieved.</w:t>
      </w:r>
    </w:p>
    <w:tbl>
      <w:tblPr>
        <w:tblW w:type="dxa" w:w="8306"/>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tblGrid>
      <w:tr>
        <w:tc>
          <w:tcPr>
            <w:tcW w:type="dxa" w:w="400"/>
            <w:shd w:fill="D9D9D9" w:val="clear"/>
            <w:tcMar>
              <w:top w:type="dxa" w:w="60"/>
              <w:left w:type="dxa" w:w="80"/>
              <w:bottom w:type="dxa" w:w="60"/>
              <w:right w:type="dxa" w:w="80"/>
            </w:tcMar>
            <w:vAlign w:val="center"/>
          </w:tcPr>
          <w:p>
            <w:pPr>
              <w:spacing w:line="260"/>
              <w:jc w:val="center"/>
            </w:pPr>
            <w:r>
              <w:rPr>
                <w:rFonts w:ascii="Times New Roman" w:cs="Times New Roman" w:eastAsia="Times New Roman" w:hAnsi="Times New Roman"/>
                <w:b/>
                <w:bCs/>
                <w:sz w:val="20"/>
                <w:szCs w:val="20"/>
              </w:rPr>
              <w:t xml:space="preserve">#</w:t>
            </w:r>
          </w:p>
        </w:tc>
        <w:tc>
          <w:tcPr>
            <w:tcW w:type="dxa" w:w="3400"/>
            <w:shd w:fill="D9D9D9" w:val="clear"/>
            <w:tcMar>
              <w:top w:type="dxa" w:w="60"/>
              <w:left w:type="dxa" w:w="80"/>
              <w:bottom w:type="dxa" w:w="60"/>
              <w:right w:type="dxa" w:w="80"/>
            </w:tcMar>
            <w:vAlign w:val="center"/>
          </w:tcPr>
          <w:p>
            <w:pPr>
              <w:spacing w:line="260"/>
              <w:jc w:val="center"/>
            </w:pPr>
            <w:r>
              <w:rPr>
                <w:rFonts w:ascii="Times New Roman" w:cs="Times New Roman" w:eastAsia="Times New Roman" w:hAnsi="Times New Roman"/>
                <w:b/>
                <w:bCs/>
                <w:sz w:val="20"/>
                <w:szCs w:val="20"/>
              </w:rPr>
              <w:t xml:space="preserve">Objective</w:t>
            </w:r>
          </w:p>
        </w:tc>
        <w:tc>
          <w:tcPr>
            <w:tcW w:type="dxa" w:w="1500"/>
            <w:shd w:fill="D9D9D9" w:val="clear"/>
            <w:tcMar>
              <w:top w:type="dxa" w:w="60"/>
              <w:left w:type="dxa" w:w="80"/>
              <w:bottom w:type="dxa" w:w="60"/>
              <w:right w:type="dxa" w:w="80"/>
            </w:tcMar>
            <w:vAlign w:val="center"/>
          </w:tcPr>
          <w:p>
            <w:pPr>
              <w:spacing w:line="260"/>
              <w:jc w:val="center"/>
            </w:pPr>
            <w:r>
              <w:rPr>
                <w:rFonts w:ascii="Times New Roman" w:cs="Times New Roman" w:eastAsia="Times New Roman" w:hAnsi="Times New Roman"/>
                <w:b/>
                <w:bCs/>
                <w:sz w:val="20"/>
                <w:szCs w:val="20"/>
              </w:rPr>
              <w:t xml:space="preserve">Status</w:t>
            </w:r>
          </w:p>
        </w:tc>
        <w:tc>
          <w:tcPr>
            <w:tcW w:type="dxa" w:w="3006"/>
            <w:shd w:fill="D9D9D9" w:val="clear"/>
            <w:tcMar>
              <w:top w:type="dxa" w:w="60"/>
              <w:left w:type="dxa" w:w="80"/>
              <w:bottom w:type="dxa" w:w="60"/>
              <w:right w:type="dxa" w:w="80"/>
            </w:tcMar>
            <w:vAlign w:val="center"/>
          </w:tcPr>
          <w:p>
            <w:pPr>
              <w:spacing w:line="260"/>
              <w:jc w:val="center"/>
            </w:pPr>
            <w:r>
              <w:rPr>
                <w:rFonts w:ascii="Times New Roman" w:cs="Times New Roman" w:eastAsia="Times New Roman" w:hAnsi="Times New Roman"/>
                <w:b/>
                <w:bCs/>
                <w:sz w:val="20"/>
                <w:szCs w:val="20"/>
              </w:rPr>
              <w:t xml:space="preserve">Evidence</w:t>
            </w:r>
          </w:p>
        </w:tc>
      </w:tr>
      <w:tr>
        <w:tc>
          <w:tcPr>
            <w:tcW w:type="dxa" w:w="4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1</w:t>
            </w:r>
          </w:p>
        </w:tc>
        <w:tc>
          <w:tcPr>
            <w:tcW w:type="dxa" w:w="34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Review existing campus parking approaches and smart-parking technologies to identify requirements</w:t>
            </w:r>
          </w:p>
        </w:tc>
        <w:tc>
          <w:tcPr>
            <w:tcW w:type="dxa" w:w="15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Achieved</w:t>
            </w:r>
          </w:p>
        </w:tc>
        <w:tc>
          <w:tcPr>
            <w:tcW w:type="dxa" w:w="3006"/>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Chapter 2 (literature review and gap analysis, Section 2.5)</w:t>
            </w:r>
          </w:p>
        </w:tc>
      </w:tr>
      <w:tr>
        <w:tc>
          <w:tcPr>
            <w:tcW w:type="dxa" w:w="4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2</w:t>
            </w:r>
          </w:p>
        </w:tc>
        <w:tc>
          <w:tcPr>
            <w:tcW w:type="dxa" w:w="34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Design a role-based, rule-driven allocation algorithm with destination preference and fallback</w:t>
            </w:r>
          </w:p>
        </w:tc>
        <w:tc>
          <w:tcPr>
            <w:tcW w:type="dxa" w:w="15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Achieved</w:t>
            </w:r>
          </w:p>
        </w:tc>
        <w:tc>
          <w:tcPr>
            <w:tcW w:type="dxa" w:w="3006"/>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Section 3.5 (allocateSlot); Table 4.4, TC06–TC07</w:t>
            </w:r>
          </w:p>
        </w:tc>
      </w:tr>
      <w:tr>
        <w:tc>
          <w:tcPr>
            <w:tcW w:type="dxa" w:w="4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3</w:t>
            </w:r>
          </w:p>
        </w:tc>
        <w:tc>
          <w:tcPr>
            <w:tcW w:type="dxa" w:w="34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Design and implement a data model and Appwrite backend for users, vehicles, zones, slots, reservations, and notification logs</w:t>
            </w:r>
          </w:p>
        </w:tc>
        <w:tc>
          <w:tcPr>
            <w:tcW w:type="dxa" w:w="15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Achieved</w:t>
            </w:r>
          </w:p>
        </w:tc>
        <w:tc>
          <w:tcPr>
            <w:tcW w:type="dxa" w:w="3006"/>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Section 4.4, Table 4.2</w:t>
            </w:r>
          </w:p>
        </w:tc>
      </w:tr>
      <w:tr>
        <w:tc>
          <w:tcPr>
            <w:tcW w:type="dxa" w:w="4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4</w:t>
            </w:r>
          </w:p>
        </w:tc>
        <w:tc>
          <w:tcPr>
            <w:tcW w:type="dxa" w:w="34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Develop a Next.js/React web application covering the stated user and administrator capabilities</w:t>
            </w:r>
          </w:p>
        </w:tc>
        <w:tc>
          <w:tcPr>
            <w:tcW w:type="dxa" w:w="15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Achieved</w:t>
            </w:r>
          </w:p>
        </w:tc>
        <w:tc>
          <w:tcPr>
            <w:tcW w:type="dxa" w:w="3006"/>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Section 4.7 (Figures 4.1–4.15)</w:t>
            </w:r>
          </w:p>
        </w:tc>
      </w:tr>
      <w:tr>
        <w:tc>
          <w:tcPr>
            <w:tcW w:type="dxa" w:w="4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5</w:t>
            </w:r>
          </w:p>
        </w:tc>
        <w:tc>
          <w:tcPr>
            <w:tcW w:type="dxa" w:w="34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Implement QR-code-based reservation verification for use by security or an administrator</w:t>
            </w:r>
          </w:p>
        </w:tc>
        <w:tc>
          <w:tcPr>
            <w:tcW w:type="dxa" w:w="15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Achieved</w:t>
            </w:r>
          </w:p>
        </w:tc>
        <w:tc>
          <w:tcPr>
            <w:tcW w:type="dxa" w:w="3006"/>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Section 4.8.3; Table 4.4, TC10–TC11</w:t>
            </w:r>
          </w:p>
        </w:tc>
      </w:tr>
      <w:tr>
        <w:tc>
          <w:tcPr>
            <w:tcW w:type="dxa" w:w="4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6</w:t>
            </w:r>
          </w:p>
        </w:tc>
        <w:tc>
          <w:tcPr>
            <w:tcW w:type="dxa" w:w="34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Implement a reporting and analytics module for administrators</w:t>
            </w:r>
          </w:p>
        </w:tc>
        <w:tc>
          <w:tcPr>
            <w:tcW w:type="dxa" w:w="15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Achieved</w:t>
            </w:r>
          </w:p>
        </w:tc>
        <w:tc>
          <w:tcPr>
            <w:tcW w:type="dxa" w:w="3006"/>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Figure 4.15; Table 4.4, TC17</w:t>
            </w:r>
          </w:p>
        </w:tc>
      </w:tr>
      <w:tr>
        <w:tc>
          <w:tcPr>
            <w:tcW w:type="dxa" w:w="4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7</w:t>
            </w:r>
          </w:p>
        </w:tc>
        <w:tc>
          <w:tcPr>
            <w:tcW w:type="dxa" w:w="34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Test the system for functional correctness, usability, and reliability, and evaluate it against its objectives</w:t>
            </w:r>
          </w:p>
        </w:tc>
        <w:tc>
          <w:tcPr>
            <w:tcW w:type="dxa" w:w="15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Substantially achieved</w:t>
            </w:r>
          </w:p>
        </w:tc>
        <w:tc>
          <w:tcPr>
            <w:tcW w:type="dxa" w:w="3006"/>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Sections 4.9–4.13; reliability was assessed through manual and live-use evidence rather than automated or load testing (Section 4.12)</w:t>
            </w:r>
          </w:p>
        </w:tc>
      </w:tr>
    </w:tbl>
    <w:p>
      <w:pPr>
        <w:spacing w:after="300" w:before="120"/>
      </w:pPr>
      <w:r>
        <w:rPr>
          <w:rFonts w:ascii="Times New Roman" w:cs="Times New Roman" w:eastAsia="Times New Roman" w:hAnsi="Times New Roman"/>
          <w:i/>
          <w:iCs/>
          <w:sz w:val="20"/>
          <w:szCs w:val="20"/>
        </w:rPr>
        <w:t xml:space="preserve">Table 5.1: Achievement of the study's stated objectives (Section 1.4).</w:t>
      </w:r>
    </w:p>
    <w:p>
      <w:pPr>
        <w:spacing w:after="200" w:before="0" w:line="480"/>
        <w:ind w:firstLine="720"/>
        <w:jc w:val="both"/>
      </w:pPr>
      <w:r>
        <w:rPr>
          <w:rFonts w:ascii="Times New Roman" w:cs="Times New Roman" w:eastAsia="Times New Roman" w:hAnsi="Times New Roman"/>
          <w:sz w:val="24"/>
          <w:szCs w:val="24"/>
        </w:rPr>
        <w:t xml:space="preserve">Six of the seven objectives were fully achieved. The seventh, testing and evaluation, was substantially rather than fully achieved: functional correctness and usability were established through the seventeen test cases and the interface walkthroughs in Chapter Four, but reliability, in the stricter sense of behaviour under sustained or concurrent load, was assessed only qualitatively (Section 4.12), because formal benchmarking tooling was outside the scope available to a single-developer undergraduate project. This gap is addressed directly in the recommendations in Section 5.9.</w:t>
      </w:r>
    </w:p>
    <w:p>
      <w:pPr>
        <w:pStyle w:val="Heading1"/>
        <w:tabs>
          <w:tab w:val="left" w:pos="863"/>
        </w:tabs>
        <w:spacing w:after="240" w:before="400" w:line="360"/>
      </w:pPr>
      <w:r>
        <w:rPr>
          <w:rFonts w:ascii="Times New Roman" w:cs="Times New Roman" w:eastAsia="Times New Roman" w:hAnsi="Times New Roman"/>
          <w:b/>
          <w:bCs/>
          <w:color w:val="000000"/>
          <w:sz w:val="28"/>
          <w:szCs w:val="28"/>
        </w:rPr>
        <w:t xml:space="preserve">5.4	Comparison with Existing Systems</w:t>
      </w:r>
    </w:p>
    <w:p>
      <w:pPr>
        <w:spacing w:after="200" w:before="0" w:line="480"/>
        <w:jc w:val="both"/>
      </w:pPr>
      <w:r>
        <w:rPr>
          <w:rFonts w:ascii="Times New Roman" w:cs="Times New Roman" w:eastAsia="Times New Roman" w:hAnsi="Times New Roman"/>
          <w:sz w:val="24"/>
          <w:szCs w:val="24"/>
        </w:rPr>
        <w:t xml:space="preserve">Section 2.5 identified four gaps in the systems and studies reviewed in Chapter Two: a reliance on dedicated per-slot hardware, allocation models that consider only user preference rather than role-based eligibility, QR verification demonstrated in isolation rather than as part of a full reservation workflow, and an absence of any evaluated system in a Ghanaian or West African tertiary-campus context. Table 5.2 compares the implemented system against the specific studies that motivated each gap.</w:t>
      </w:r>
    </w:p>
    <w:tbl>
      <w:tblPr>
        <w:tblW w:type="dxa" w:w="8306"/>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tblGrid>
      <w:tr>
        <w:tc>
          <w:tcPr>
            <w:tcW w:type="dxa" w:w="1806"/>
            <w:shd w:fill="D9D9D9" w:val="clear"/>
            <w:tcMar>
              <w:top w:type="dxa" w:w="60"/>
              <w:left w:type="dxa" w:w="80"/>
              <w:bottom w:type="dxa" w:w="60"/>
              <w:right w:type="dxa" w:w="80"/>
            </w:tcMar>
            <w:vAlign w:val="center"/>
          </w:tcPr>
          <w:p>
            <w:pPr>
              <w:spacing w:line="260"/>
              <w:jc w:val="center"/>
            </w:pPr>
            <w:r>
              <w:rPr>
                <w:rFonts w:ascii="Times New Roman" w:cs="Times New Roman" w:eastAsia="Times New Roman" w:hAnsi="Times New Roman"/>
                <w:b/>
                <w:bCs/>
                <w:sz w:val="20"/>
                <w:szCs w:val="20"/>
              </w:rPr>
              <w:t xml:space="preserve">Reviewed system</w:t>
            </w:r>
          </w:p>
        </w:tc>
        <w:tc>
          <w:tcPr>
            <w:tcW w:type="dxa" w:w="2800"/>
            <w:shd w:fill="D9D9D9" w:val="clear"/>
            <w:tcMar>
              <w:top w:type="dxa" w:w="60"/>
              <w:left w:type="dxa" w:w="80"/>
              <w:bottom w:type="dxa" w:w="60"/>
              <w:right w:type="dxa" w:w="80"/>
            </w:tcMar>
            <w:vAlign w:val="center"/>
          </w:tcPr>
          <w:p>
            <w:pPr>
              <w:spacing w:line="260"/>
              <w:jc w:val="center"/>
            </w:pPr>
            <w:r>
              <w:rPr>
                <w:rFonts w:ascii="Times New Roman" w:cs="Times New Roman" w:eastAsia="Times New Roman" w:hAnsi="Times New Roman"/>
                <w:b/>
                <w:bCs/>
                <w:sz w:val="20"/>
                <w:szCs w:val="20"/>
              </w:rPr>
              <w:t xml:space="preserve">Approach</w:t>
            </w:r>
          </w:p>
        </w:tc>
        <w:tc>
          <w:tcPr>
            <w:tcW w:type="dxa" w:w="3700"/>
            <w:shd w:fill="D9D9D9" w:val="clear"/>
            <w:tcMar>
              <w:top w:type="dxa" w:w="60"/>
              <w:left w:type="dxa" w:w="80"/>
              <w:bottom w:type="dxa" w:w="60"/>
              <w:right w:type="dxa" w:w="80"/>
            </w:tcMar>
            <w:vAlign w:val="center"/>
          </w:tcPr>
          <w:p>
            <w:pPr>
              <w:spacing w:line="260"/>
              <w:jc w:val="center"/>
            </w:pPr>
            <w:r>
              <w:rPr>
                <w:rFonts w:ascii="Times New Roman" w:cs="Times New Roman" w:eastAsia="Times New Roman" w:hAnsi="Times New Roman"/>
                <w:b/>
                <w:bCs/>
                <w:sz w:val="20"/>
                <w:szCs w:val="20"/>
              </w:rPr>
              <w:t xml:space="preserve">How this system differs</w:t>
            </w:r>
          </w:p>
        </w:tc>
      </w:tr>
      <w:tr>
        <w:tc>
          <w:tcPr>
            <w:tcW w:type="dxa" w:w="1806"/>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Jabbar et al. (2021)</w:t>
            </w:r>
          </w:p>
        </w:tc>
        <w:tc>
          <w:tcPr>
            <w:tcW w:type="dxa" w:w="28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IoT sensor network at every monitored slot</w:t>
            </w:r>
          </w:p>
        </w:tc>
        <w:tc>
          <w:tcPr>
            <w:tcW w:type="dxa" w:w="37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Requires no per-slot hardware; allocation and verification are entirely software-based</w:t>
            </w:r>
          </w:p>
        </w:tc>
      </w:tr>
      <w:tr>
        <w:tc>
          <w:tcPr>
            <w:tcW w:type="dxa" w:w="1806"/>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Shimi et al. (2022)</w:t>
            </w:r>
          </w:p>
        </w:tc>
        <w:tc>
          <w:tcPr>
            <w:tcW w:type="dxa" w:w="28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RFID tags/readers with preference-based matching</w:t>
            </w:r>
          </w:p>
        </w:tc>
        <w:tc>
          <w:tcPr>
            <w:tcW w:type="dxa" w:w="37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Matches on role-based eligibility in addition to preference, and needs no RFID infrastructure</w:t>
            </w:r>
          </w:p>
        </w:tc>
      </w:tr>
      <w:tr>
        <w:tc>
          <w:tcPr>
            <w:tcW w:type="dxa" w:w="1806"/>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Mohandes et al. (2019)</w:t>
            </w:r>
          </w:p>
        </w:tc>
        <w:tc>
          <w:tcPr>
            <w:tcW w:type="dxa" w:w="28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Preference-based allocation, single dimension</w:t>
            </w:r>
          </w:p>
        </w:tc>
        <w:tc>
          <w:tcPr>
            <w:tcW w:type="dxa" w:w="37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Adds a role-eligibility layer and a destination-then-fallback rule the preference-only model lacks</w:t>
            </w:r>
          </w:p>
        </w:tc>
      </w:tr>
      <w:tr>
        <w:tc>
          <w:tcPr>
            <w:tcW w:type="dxa" w:w="1806"/>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Hussain et al. (2023)</w:t>
            </w:r>
          </w:p>
        </w:tc>
        <w:tc>
          <w:tcPr>
            <w:tcW w:type="dxa" w:w="28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QR verification applied to admission/payment, in isolation</w:t>
            </w:r>
          </w:p>
        </w:tc>
        <w:tc>
          <w:tcPr>
            <w:tcW w:type="dxa" w:w="37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Integrates QR verification into a full reservation lifecycle plus administrative reporting</w:t>
            </w:r>
          </w:p>
        </w:tc>
      </w:tr>
      <w:tr>
        <w:tc>
          <w:tcPr>
            <w:tcW w:type="dxa" w:w="1806"/>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Elfaki et al. (2024)</w:t>
            </w:r>
          </w:p>
        </w:tc>
        <w:tc>
          <w:tcPr>
            <w:tcW w:type="dxa" w:w="28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Constraint-optimisation allocation model</w:t>
            </w:r>
          </w:p>
        </w:tc>
        <w:tc>
          <w:tcPr>
            <w:tcW w:type="dxa" w:w="37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Trades some allocation optimality for a simpler, explainable, auditable rule-based approach appropriate to campus-scale use</w:t>
            </w:r>
          </w:p>
        </w:tc>
      </w:tr>
      <w:tr>
        <w:tc>
          <w:tcPr>
            <w:tcW w:type="dxa" w:w="1806"/>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Ntim et al. (2023)</w:t>
            </w:r>
          </w:p>
        </w:tc>
        <w:tc>
          <w:tcPr>
            <w:tcW w:type="dxa" w:w="28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Documents informal, ungoverned on-street parking in Kumasi; proposes no digital system</w:t>
            </w:r>
          </w:p>
        </w:tc>
        <w:tc>
          <w:tcPr>
            <w:tcW w:type="dxa" w:w="37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Directly digitises the allocation and verification of parking for a Kumasi tertiary campus</w:t>
            </w:r>
          </w:p>
        </w:tc>
      </w:tr>
    </w:tbl>
    <w:p>
      <w:pPr>
        <w:spacing w:after="300" w:before="120"/>
      </w:pPr>
      <w:r>
        <w:rPr>
          <w:rFonts w:ascii="Times New Roman" w:cs="Times New Roman" w:eastAsia="Times New Roman" w:hAnsi="Times New Roman"/>
          <w:i/>
          <w:iCs/>
          <w:sz w:val="20"/>
          <w:szCs w:val="20"/>
        </w:rPr>
        <w:t xml:space="preserve">Table 5.2: Comparison of the Smart Campus Parking Management System with systems reviewed in Chapter Two.</w:t>
      </w:r>
    </w:p>
    <w:p>
      <w:pPr>
        <w:spacing w:after="200" w:before="0" w:line="480"/>
        <w:ind w:firstLine="720"/>
        <w:jc w:val="both"/>
      </w:pPr>
      <w:r>
        <w:rPr>
          <w:rFonts w:ascii="Times New Roman" w:cs="Times New Roman" w:eastAsia="Times New Roman" w:hAnsi="Times New Roman"/>
          <w:sz w:val="24"/>
          <w:szCs w:val="24"/>
        </w:rPr>
        <w:t xml:space="preserve">The comparison suggests the implemented system occupies a deliberate middle ground: it is more capable than the pure preference-matching approaches of Mohandes et al. (2019) and Shimi et al. (2022) because it adds role-based eligibility and zone fallback, and it is simpler and cheaper to deploy than the hardware-dependent systems of Jabbar et al. (2021) and the ANPR-based systems catalogued by Raj and Shetty (2024), at the acknowledged cost of depending on an administrator or security officer to actively scan each QR code rather than detecting occupancy automatically (Section 1.8). Against Elfaki et al.'s (2024) constraint-optimisation model, the system trades a degree of theoretical allocation optimality for a rule set simple enough to explain, audit, and reason about within the scope of an undergraduate project, a trade-off consistent with the design rationale set out in Section 3.5.</w:t>
      </w:r>
    </w:p>
    <w:p>
      <w:pPr>
        <w:pStyle w:val="Heading1"/>
        <w:tabs>
          <w:tab w:val="left" w:pos="863"/>
        </w:tabs>
        <w:spacing w:after="240" w:before="400" w:line="360"/>
      </w:pPr>
      <w:r>
        <w:rPr>
          <w:rFonts w:ascii="Times New Roman" w:cs="Times New Roman" w:eastAsia="Times New Roman" w:hAnsi="Times New Roman"/>
          <w:b/>
          <w:bCs/>
          <w:color w:val="000000"/>
          <w:sz w:val="28"/>
          <w:szCs w:val="28"/>
        </w:rPr>
        <w:t xml:space="preserve">5.5	Advantages of the New System</w:t>
      </w:r>
    </w:p>
    <w:p>
      <w:pPr>
        <w:spacing w:after="120" w:line="360"/>
        <w:ind w:left="1080" w:hanging="360"/>
        <w:jc w:val="both"/>
      </w:pPr>
      <w:r>
        <w:rPr>
          <w:rFonts w:ascii="Times New Roman" w:cs="Times New Roman" w:eastAsia="Times New Roman" w:hAnsi="Times New Roman"/>
          <w:sz w:val="24"/>
          <w:szCs w:val="24"/>
        </w:rPr>
        <w:t xml:space="preserve">•	No dedicated parking hardware: allocation and verification rely only on a reservation made through a browser and a QR code scanned with an existing smartphone or laptop camera, avoiding the sensor, RFID, or ANPR infrastructure required by several of the systems reviewed in Chapter Two (Section 5.4).</w:t>
      </w:r>
    </w:p>
    <w:p>
      <w:pPr>
        <w:spacing w:after="120" w:line="360"/>
        <w:ind w:left="1080" w:hanging="360"/>
        <w:jc w:val="both"/>
      </w:pPr>
      <w:r>
        <w:rPr>
          <w:rFonts w:ascii="Times New Roman" w:cs="Times New Roman" w:eastAsia="Times New Roman" w:hAnsi="Times New Roman"/>
          <w:sz w:val="24"/>
          <w:szCs w:val="24"/>
        </w:rPr>
        <w:t xml:space="preserve">•	Role-aware, destination-first allocation: unlike single-dimension preference matching, the allocation engine restricts each slot type to eligible roles and prefers the user's stated destination zone before falling back, better matching how a mixed campus population of students, lecturers, staff, and visitors actually needs to be treated (Section 3.5).</w:t>
      </w:r>
    </w:p>
    <w:p>
      <w:pPr>
        <w:spacing w:after="120" w:line="360"/>
        <w:ind w:left="1080" w:hanging="360"/>
        <w:jc w:val="both"/>
      </w:pPr>
      <w:r>
        <w:rPr>
          <w:rFonts w:ascii="Times New Roman" w:cs="Times New Roman" w:eastAsia="Times New Roman" w:hAnsi="Times New Roman"/>
          <w:sz w:val="24"/>
          <w:szCs w:val="24"/>
        </w:rPr>
        <w:t xml:space="preserve">•	Real-time occupancy visibility: the live parking map (Figure 4.6) lets a user see, before travelling, whether a slot is likely to be available in their destination zone, directly addressing the uncertainty described in the problem statement (Section 1.2).</w:t>
      </w:r>
    </w:p>
    <w:p>
      <w:pPr>
        <w:spacing w:after="120" w:line="360"/>
        <w:ind w:left="1080" w:hanging="360"/>
        <w:jc w:val="both"/>
      </w:pPr>
      <w:r>
        <w:rPr>
          <w:rFonts w:ascii="Times New Roman" w:cs="Times New Roman" w:eastAsia="Times New Roman" w:hAnsi="Times New Roman"/>
          <w:sz w:val="24"/>
          <w:szCs w:val="24"/>
        </w:rPr>
        <w:t xml:space="preserve">•	Auditable, tamper-resistant verification: each reservation's QR code encodes a token unique to that reservation, checked against status and expiry at scan time (Section 4.8.3), giving security staff a fast way to confirm legitimacy without manual lookup.</w:t>
      </w:r>
    </w:p>
    <w:p>
      <w:pPr>
        <w:spacing w:after="120" w:line="360"/>
        <w:ind w:left="1080" w:hanging="360"/>
        <w:jc w:val="both"/>
      </w:pPr>
      <w:r>
        <w:rPr>
          <w:rFonts w:ascii="Times New Roman" w:cs="Times New Roman" w:eastAsia="Times New Roman" w:hAnsi="Times New Roman"/>
          <w:sz w:val="24"/>
          <w:szCs w:val="24"/>
        </w:rPr>
        <w:t xml:space="preserve">•	Self-cleaning reservations: the lazy, check-on-read expiry logic (Section 4.8.4) releases unused slots back to the pool after thirty minutes without any administrator intervention or scheduled job to maintain.</w:t>
      </w:r>
    </w:p>
    <w:p>
      <w:pPr>
        <w:spacing w:after="120" w:line="360"/>
        <w:ind w:left="1080" w:hanging="360"/>
        <w:jc w:val="both"/>
      </w:pPr>
      <w:r>
        <w:rPr>
          <w:rFonts w:ascii="Times New Roman" w:cs="Times New Roman" w:eastAsia="Times New Roman" w:hAnsi="Times New Roman"/>
          <w:sz w:val="24"/>
          <w:szCs w:val="24"/>
        </w:rPr>
        <w:t xml:space="preserve">•	Built-in administrative reporting: the Reports dashboard (Figure 4.15) turns parking, previously an unmeasured activity (Section 1.2), directly into occupancy and usage figures administrators can act on.</w:t>
      </w:r>
    </w:p>
    <w:p>
      <w:pPr>
        <w:spacing w:after="120" w:line="360"/>
        <w:ind w:left="1080" w:hanging="360"/>
        <w:jc w:val="both"/>
      </w:pPr>
      <w:r>
        <w:rPr>
          <w:rFonts w:ascii="Times New Roman" w:cs="Times New Roman" w:eastAsia="Times New Roman" w:hAnsi="Times New Roman"/>
          <w:sz w:val="24"/>
          <w:szCs w:val="24"/>
        </w:rPr>
        <w:t xml:space="preserve">•	Low operating overhead: a single language (JavaScript) across the entire stack (Section 4.2) and a managed backend-as-a-service platform for the database and messaging (Section 4.1) mean the system can be maintained without dedicated backend infrastructure administration.</w:t>
      </w:r>
    </w:p>
    <w:p>
      <w:pPr>
        <w:pStyle w:val="Heading1"/>
        <w:tabs>
          <w:tab w:val="left" w:pos="863"/>
        </w:tabs>
        <w:spacing w:after="240" w:before="400" w:line="360"/>
      </w:pPr>
      <w:r>
        <w:rPr>
          <w:rFonts w:ascii="Times New Roman" w:cs="Times New Roman" w:eastAsia="Times New Roman" w:hAnsi="Times New Roman"/>
          <w:b/>
          <w:bCs/>
          <w:color w:val="000000"/>
          <w:sz w:val="28"/>
          <w:szCs w:val="28"/>
        </w:rPr>
        <w:t xml:space="preserve">5.6	Challenges Encountered</w:t>
      </w:r>
    </w:p>
    <w:p>
      <w:pPr>
        <w:spacing w:after="120" w:line="360"/>
        <w:ind w:left="1080" w:hanging="504"/>
        <w:jc w:val="both"/>
      </w:pPr>
      <w:r>
        <w:rPr>
          <w:rFonts w:ascii="Times New Roman" w:cs="Times New Roman" w:eastAsia="Times New Roman" w:hAnsi="Times New Roman"/>
          <w:sz w:val="24"/>
          <w:szCs w:val="24"/>
        </w:rPr>
        <w:t xml:space="preserve">1.	Modelling relational data without a relational database: Appwrite stores documents rather than relational rows, so the relationships between users, vehicles, zones, slots, and reservations shown in the entity-relationship diagram (Figure 3.3) had to be enforced in application code, through server actions that fetch and cross-check related documents, rather than through database-level foreign keys (Section 4.4).</w:t>
      </w:r>
    </w:p>
    <w:p>
      <w:pPr>
        <w:spacing w:after="120" w:line="360"/>
        <w:ind w:left="1080" w:hanging="504"/>
        <w:jc w:val="both"/>
      </w:pPr>
      <w:r>
        <w:rPr>
          <w:rFonts w:ascii="Times New Roman" w:cs="Times New Roman" w:eastAsia="Times New Roman" w:hAnsi="Times New Roman"/>
          <w:sz w:val="24"/>
          <w:szCs w:val="24"/>
        </w:rPr>
        <w:t xml:space="preserve">2.	Choosing allocation simplicity over allocation optimality: the literature reviewed in Chapter Two includes a constraint-optimisation approach (Elfaki et al., 2024) capable of more globally optimal slot assignment than a rule-based, first-match algorithm. Adopting that approach would have added mathematical and implementation complexity disproportionate to a single-campus, undergraduate-scope deployment, so a simpler, explainable rule-based design was chosen instead (Section 3.5), a trade-off that had to be justified rather than assumed.</w:t>
      </w:r>
    </w:p>
    <w:p>
      <w:pPr>
        <w:spacing w:after="120" w:line="360"/>
        <w:ind w:left="1080" w:hanging="504"/>
        <w:jc w:val="both"/>
      </w:pPr>
      <w:r>
        <w:rPr>
          <w:rFonts w:ascii="Times New Roman" w:cs="Times New Roman" w:eastAsia="Times New Roman" w:hAnsi="Times New Roman"/>
          <w:sz w:val="24"/>
          <w:szCs w:val="24"/>
        </w:rPr>
        <w:t xml:space="preserve">3.	Expiry without a background scheduler: because the system runs on serverless Next.js Server Actions rather than a continuously running server process, there was no natural place to run a scheduled background job to expire overdue reservations. The lazy, check-on-read strategy adopted instead (Section 4.8.4) is simple to deploy but means a reservation is only visibly marked Expired the next time it, or the list containing it, is read.</w:t>
      </w:r>
    </w:p>
    <w:p>
      <w:pPr>
        <w:spacing w:after="120" w:line="360"/>
        <w:ind w:left="1080" w:hanging="504"/>
        <w:jc w:val="both"/>
      </w:pPr>
      <w:r>
        <w:rPr>
          <w:rFonts w:ascii="Times New Roman" w:cs="Times New Roman" w:eastAsia="Times New Roman" w:hAnsi="Times New Roman"/>
          <w:sz w:val="24"/>
          <w:szCs w:val="24"/>
        </w:rPr>
        <w:t xml:space="preserve">4.	Testing a physical-world interaction without physical infrastructure: QR scanning is, by nature, a camera-and-real-world interaction, but the system was tested in a development and staging environment with simulated zones and reservation data rather than on live campus infrastructure (Section 1.8), so the scan-and-verify workflow (Table 4.4, TC10–TC11) could only be exercised through controlled, manual testing rather than a real gate deployment.</w:t>
      </w:r>
    </w:p>
    <w:p>
      <w:pPr>
        <w:spacing w:after="120" w:line="360"/>
        <w:ind w:left="1080" w:hanging="504"/>
        <w:jc w:val="both"/>
      </w:pPr>
      <w:r>
        <w:rPr>
          <w:rFonts w:ascii="Times New Roman" w:cs="Times New Roman" w:eastAsia="Times New Roman" w:hAnsi="Times New Roman"/>
          <w:sz w:val="24"/>
          <w:szCs w:val="24"/>
        </w:rPr>
        <w:t xml:space="preserve">5.	A blurred administrator and security role: the data model defines a single "admin" role that is used, in the current implementation, both for true system administrators and for gate or security staff scanning QR codes (Figure 4.10 lists every non-lecturer account as "admin"). This was noted as a design simplification in Chapter Three and confirmed as a real limitation once the system was implemented and evaluated (Section 4.13).</w:t>
      </w:r>
    </w:p>
    <w:p>
      <w:pPr>
        <w:spacing w:after="120" w:line="360"/>
        <w:ind w:left="1080" w:hanging="504"/>
        <w:jc w:val="both"/>
      </w:pPr>
      <w:r>
        <w:rPr>
          <w:rFonts w:ascii="Times New Roman" w:cs="Times New Roman" w:eastAsia="Times New Roman" w:hAnsi="Times New Roman"/>
          <w:sz w:val="24"/>
          <w:szCs w:val="24"/>
        </w:rPr>
        <w:t xml:space="preserve">6.	Reasoning about performance without a benchmarking tool: assessing how the allocation engine, Server Actions, and managed Appwrite services would behave under concurrent, campus-scale load had to be done qualitatively, from the architecture, rather than through a load-testing tool, since none was available within the scope of this project (Section 4.12).</w:t>
      </w:r>
    </w:p>
    <w:p>
      <w:pPr>
        <w:pStyle w:val="Heading1"/>
        <w:tabs>
          <w:tab w:val="left" w:pos="863"/>
        </w:tabs>
        <w:spacing w:after="240" w:before="400" w:line="360"/>
      </w:pPr>
      <w:r>
        <w:rPr>
          <w:rFonts w:ascii="Times New Roman" w:cs="Times New Roman" w:eastAsia="Times New Roman" w:hAnsi="Times New Roman"/>
          <w:b/>
          <w:bCs/>
          <w:color w:val="000000"/>
          <w:sz w:val="28"/>
          <w:szCs w:val="28"/>
        </w:rPr>
        <w:t xml:space="preserve">5.7	Implications of the Study</w:t>
      </w:r>
    </w:p>
    <w:p>
      <w:pPr>
        <w:spacing w:after="200" w:before="0" w:line="480"/>
        <w:ind w:firstLine="720"/>
        <w:jc w:val="both"/>
      </w:pPr>
      <w:r>
        <w:rPr>
          <w:rFonts w:ascii="Times New Roman" w:cs="Times New Roman" w:eastAsia="Times New Roman" w:hAnsi="Times New Roman"/>
          <w:sz w:val="24"/>
          <w:szCs w:val="24"/>
        </w:rPr>
        <w:t xml:space="preserve">For KsTU specifically, the study implies that campus parking, an activity Ntim et al. (2023) describe as governed informally even in a Kumasi commercial setting, can be brought under digital, data-driven management without capital investment in barrier gates, sensors, or number-plate cameras; the same reservation, allocation, and reporting pattern could plausibly extend to other resource-constrained tertiary institutions facing similar informal-parking conditions.</w:t>
      </w:r>
    </w:p>
    <w:p>
      <w:pPr>
        <w:spacing w:after="200" w:before="0" w:line="480"/>
        <w:ind w:firstLine="720"/>
        <w:jc w:val="both"/>
      </w:pPr>
      <w:r>
        <w:rPr>
          <w:rFonts w:ascii="Times New Roman" w:cs="Times New Roman" w:eastAsia="Times New Roman" w:hAnsi="Times New Roman"/>
          <w:sz w:val="24"/>
          <w:szCs w:val="24"/>
        </w:rPr>
        <w:t xml:space="preserve">More broadly, the study implies that a small development team, in this case a single undergraduate developer, can deliver a role-aware, real-time management system for a physical campus resource using only commodity web frameworks and a managed backend-as-a-service platform, without needing to operate its own servers or purchase specialised hardware. This lowers the barrier for similar future student projects, whether applied to parking or to other constrained campus resources such as library seating, laboratory equipment booking, or hostel room allocation, all of which share the same underlying shape: a limited pool of resources that must be allocated fairly among users with different roles and preferences, then verified at the point of use.</w:t>
      </w:r>
    </w:p>
    <w:p>
      <w:pPr>
        <w:pStyle w:val="Heading1"/>
        <w:tabs>
          <w:tab w:val="left" w:pos="863"/>
        </w:tabs>
        <w:spacing w:after="240" w:before="400" w:line="360"/>
      </w:pPr>
      <w:r>
        <w:rPr>
          <w:rFonts w:ascii="Times New Roman" w:cs="Times New Roman" w:eastAsia="Times New Roman" w:hAnsi="Times New Roman"/>
          <w:b/>
          <w:bCs/>
          <w:color w:val="000000"/>
          <w:sz w:val="28"/>
          <w:szCs w:val="28"/>
        </w:rPr>
        <w:t xml:space="preserve">5.8	Contribution of the Project</w:t>
      </w:r>
    </w:p>
    <w:p>
      <w:pPr>
        <w:spacing w:after="120" w:line="360"/>
        <w:ind w:left="1080" w:hanging="360"/>
        <w:jc w:val="both"/>
      </w:pPr>
      <w:r>
        <w:rPr>
          <w:rFonts w:ascii="Times New Roman" w:cs="Times New Roman" w:eastAsia="Times New Roman" w:hAnsi="Times New Roman"/>
          <w:sz w:val="24"/>
          <w:szCs w:val="24"/>
        </w:rPr>
        <w:t xml:space="preserve">•	A working, tested, and publicly deployed artefact, not only a design, demonstrating that the proposed approach functions correctly under both scripted testing and real, unscripted use (Chapter Four).</w:t>
      </w:r>
    </w:p>
    <w:p>
      <w:pPr>
        <w:spacing w:after="120" w:line="360"/>
        <w:ind w:left="1080" w:hanging="360"/>
        <w:jc w:val="both"/>
      </w:pPr>
      <w:r>
        <w:rPr>
          <w:rFonts w:ascii="Times New Roman" w:cs="Times New Roman" w:eastAsia="Times New Roman" w:hAnsi="Times New Roman"/>
          <w:sz w:val="24"/>
          <w:szCs w:val="24"/>
        </w:rPr>
        <w:t xml:space="preserve">•	A concrete, reusable role-and-destination-with-fallback slot allocation algorithm, formalised as pseudocode (Section 3.5), that other developers can adapt to similar role-eligible, zone-based resource-allocation problems.</w:t>
      </w:r>
    </w:p>
    <w:p>
      <w:pPr>
        <w:spacing w:after="120" w:line="360"/>
        <w:ind w:left="1080" w:hanging="360"/>
        <w:jc w:val="both"/>
      </w:pPr>
      <w:r>
        <w:rPr>
          <w:rFonts w:ascii="Times New Roman" w:cs="Times New Roman" w:eastAsia="Times New Roman" w:hAnsi="Times New Roman"/>
          <w:sz w:val="24"/>
          <w:szCs w:val="24"/>
        </w:rPr>
        <w:t xml:space="preserve">•	Closure of the specific literature gap identified in Section 2.5: a software-only, role-aware, QR-verified, campus-parking system with administrative reporting, evaluated in a Ghanaian tertiary-institution context, which no system or study reviewed in Chapter Two combined.</w:t>
      </w:r>
    </w:p>
    <w:p>
      <w:pPr>
        <w:spacing w:after="120" w:line="360"/>
        <w:ind w:left="1080" w:hanging="360"/>
        <w:jc w:val="both"/>
      </w:pPr>
      <w:r>
        <w:rPr>
          <w:rFonts w:ascii="Times New Roman" w:cs="Times New Roman" w:eastAsia="Times New Roman" w:hAnsi="Times New Roman"/>
          <w:sz w:val="24"/>
          <w:szCs w:val="24"/>
        </w:rPr>
        <w:t xml:space="preserve">•	A reference architecture, Next.js for the application layer, Appwrite as a managed backend, and browser-based QR generation and scanning, that lowers the implementation cost for similar future campus-resource-allocation projects (Section 5.7).</w:t>
      </w:r>
    </w:p>
    <w:p>
      <w:pPr>
        <w:spacing w:after="120" w:line="360"/>
        <w:ind w:left="1080" w:hanging="360"/>
        <w:jc w:val="both"/>
      </w:pPr>
      <w:r>
        <w:rPr>
          <w:rFonts w:ascii="Times New Roman" w:cs="Times New Roman" w:eastAsia="Times New Roman" w:hAnsi="Times New Roman"/>
          <w:sz w:val="24"/>
          <w:szCs w:val="24"/>
        </w:rPr>
        <w:t xml:space="preserve">•	Empirical evidence, gathered from the researcher's own use of the live deployment rather than simulated data alone, that a check-on-read reservation lifecycle can correctly transition reservations through active, completed, and expired states without a dedicated background scheduler (Section 4.8.4, Figures 4.8 and 4.14).</w:t>
      </w:r>
    </w:p>
    <w:p>
      <w:pPr>
        <w:pStyle w:val="Heading1"/>
        <w:tabs>
          <w:tab w:val="left" w:pos="863"/>
        </w:tabs>
        <w:spacing w:after="240" w:before="400" w:line="360"/>
      </w:pPr>
      <w:r>
        <w:rPr>
          <w:rFonts w:ascii="Times New Roman" w:cs="Times New Roman" w:eastAsia="Times New Roman" w:hAnsi="Times New Roman"/>
          <w:b/>
          <w:bCs/>
          <w:color w:val="000000"/>
          <w:sz w:val="28"/>
          <w:szCs w:val="28"/>
        </w:rPr>
        <w:t xml:space="preserve">5.9	Improvements for Future Work</w:t>
      </w:r>
    </w:p>
    <w:p>
      <w:pPr>
        <w:spacing w:after="120" w:line="360"/>
        <w:ind w:left="1080" w:hanging="504"/>
        <w:jc w:val="both"/>
      </w:pPr>
      <w:r>
        <w:rPr>
          <w:rFonts w:ascii="Times New Roman" w:cs="Times New Roman" w:eastAsia="Times New Roman" w:hAnsi="Times New Roman"/>
          <w:sz w:val="24"/>
          <w:szCs w:val="24"/>
        </w:rPr>
        <w:t xml:space="preserve">1.	Separate the administrator and security/gate-staff roles into distinct, least-privilege roles, following established role-based access control principles (Sandhu, Ferraiolo, &amp; Kuhn, 2000), rather than granting full administrative rights to staff who only need to scan QR codes at entry points.</w:t>
      </w:r>
    </w:p>
    <w:p>
      <w:pPr>
        <w:spacing w:after="120" w:line="360"/>
        <w:ind w:left="1080" w:hanging="504"/>
        <w:jc w:val="both"/>
      </w:pPr>
      <w:r>
        <w:rPr>
          <w:rFonts w:ascii="Times New Roman" w:cs="Times New Roman" w:eastAsia="Times New Roman" w:hAnsi="Times New Roman"/>
          <w:sz w:val="24"/>
          <w:szCs w:val="24"/>
        </w:rPr>
        <w:t xml:space="preserve">2.	Add an explicit consent or privacy notice to the registration flow (Figure 4.1), stating what account data is collected and how it is used, addressing the ethical-considerations gap noted in Section 3.8.</w:t>
      </w:r>
    </w:p>
    <w:p>
      <w:pPr>
        <w:spacing w:after="120" w:line="360"/>
        <w:ind w:left="1080" w:hanging="504"/>
        <w:jc w:val="both"/>
      </w:pPr>
      <w:r>
        <w:rPr>
          <w:rFonts w:ascii="Times New Roman" w:cs="Times New Roman" w:eastAsia="Times New Roman" w:hAnsi="Times New Roman"/>
          <w:sz w:val="24"/>
          <w:szCs w:val="24"/>
        </w:rPr>
        <w:t xml:space="preserve">3.	Conduct formal, tool-based load and performance benchmarking under simulated concurrent traffic before any live campus pilot, closing the qualitative-only performance evaluation carried out in Section 4.12.</w:t>
      </w:r>
    </w:p>
    <w:p>
      <w:pPr>
        <w:spacing w:after="120" w:line="360"/>
        <w:ind w:left="1080" w:hanging="504"/>
        <w:jc w:val="both"/>
      </w:pPr>
      <w:r>
        <w:rPr>
          <w:rFonts w:ascii="Times New Roman" w:cs="Times New Roman" w:eastAsia="Times New Roman" w:hAnsi="Times New Roman"/>
          <w:sz w:val="24"/>
          <w:szCs w:val="24"/>
        </w:rPr>
        <w:t xml:space="preserve">4.	Replace or supplement the lazy, check-on-read expiry logic (Section 4.8.4) with a scheduled background job, so that overdue reservations release their slots in near real time rather than only on the next read.</w:t>
      </w:r>
    </w:p>
    <w:p>
      <w:pPr>
        <w:spacing w:after="120" w:line="360"/>
        <w:ind w:left="1080" w:hanging="504"/>
        <w:jc w:val="both"/>
      </w:pPr>
      <w:r>
        <w:rPr>
          <w:rFonts w:ascii="Times New Roman" w:cs="Times New Roman" w:eastAsia="Times New Roman" w:hAnsi="Times New Roman"/>
          <w:sz w:val="24"/>
          <w:szCs w:val="24"/>
        </w:rPr>
        <w:t xml:space="preserve">5.	Pilot the system on live KsTU campus infrastructure with real students, lecturers, staff, and visitors, replacing the simulated, staging-environment dataset used throughout this project's testing (Section 1.8) and validating the findings under genuine field conditions.</w:t>
      </w:r>
    </w:p>
    <w:p>
      <w:pPr>
        <w:spacing w:after="120" w:line="360"/>
        <w:ind w:left="1080" w:hanging="504"/>
        <w:jc w:val="both"/>
      </w:pPr>
      <w:r>
        <w:rPr>
          <w:rFonts w:ascii="Times New Roman" w:cs="Times New Roman" w:eastAsia="Times New Roman" w:hAnsi="Times New Roman"/>
          <w:sz w:val="24"/>
          <w:szCs w:val="24"/>
        </w:rPr>
        <w:t xml:space="preserve">6.	Explore predictive or machine-learning-based demand forecasting to complement the current rule-based allocation, drawing on the constraint-optimisation and machine-learning directions surveyed in Chapter Two (Elfaki et al., 2024; Raj &amp; Shetty, 2024), once enough historical reservation data has accumulated to train such a model.</w:t>
      </w:r>
    </w:p>
    <w:p>
      <w:pPr>
        <w:spacing w:after="120" w:line="360"/>
        <w:ind w:left="1080" w:hanging="504"/>
        <w:jc w:val="both"/>
      </w:pPr>
      <w:r>
        <w:rPr>
          <w:rFonts w:ascii="Times New Roman" w:cs="Times New Roman" w:eastAsia="Times New Roman" w:hAnsi="Times New Roman"/>
          <w:sz w:val="24"/>
          <w:szCs w:val="24"/>
        </w:rPr>
        <w:t xml:space="preserve">7.	Extend notifications beyond email, for example to push notifications through an installable mobile or progressive web app, so that confirmation, cancellation, and expiry alerts (Section 4.5) reach users more immediately.</w:t>
      </w:r>
    </w:p>
    <w:p>
      <w:pPr>
        <w:spacing w:after="120" w:line="360"/>
        <w:ind w:left="1080" w:hanging="504"/>
        <w:jc w:val="both"/>
      </w:pPr>
      <w:r>
        <w:rPr>
          <w:rFonts w:ascii="Times New Roman" w:cs="Times New Roman" w:eastAsia="Times New Roman" w:hAnsi="Times New Roman"/>
          <w:sz w:val="24"/>
          <w:szCs w:val="24"/>
        </w:rPr>
        <w:t xml:space="preserve">8.	Offer optional hardware integration, such as automatic number-plate recognition cameras or boom gates, as an additional, opt-in layer for institutions able to invest in it, built on top of the existing software-only baseline rather than replacing it, preserving the low-cost deployment path this project demonstrates.</w:t>
      </w:r>
    </w:p>
    <w:p>
      <w:pPr>
        <w:pStyle w:val="Heading1"/>
        <w:tabs>
          <w:tab w:val="left" w:pos="863"/>
        </w:tabs>
        <w:spacing w:after="240" w:before="400" w:line="360"/>
      </w:pPr>
      <w:r>
        <w:rPr>
          <w:rFonts w:ascii="Times New Roman" w:cs="Times New Roman" w:eastAsia="Times New Roman" w:hAnsi="Times New Roman"/>
          <w:b/>
          <w:bCs/>
          <w:color w:val="000000"/>
          <w:sz w:val="28"/>
          <w:szCs w:val="28"/>
        </w:rPr>
        <w:t xml:space="preserve">Concluding Remarks</w:t>
      </w:r>
    </w:p>
    <w:p>
      <w:pPr>
        <w:spacing w:after="200" w:before="0" w:line="480"/>
        <w:jc w:val="both"/>
      </w:pPr>
      <w:r>
        <w:rPr>
          <w:rFonts w:ascii="Times New Roman" w:cs="Times New Roman" w:eastAsia="Times New Roman" w:hAnsi="Times New Roman"/>
          <w:sz w:val="24"/>
          <w:szCs w:val="24"/>
        </w:rPr>
        <w:t xml:space="preserve">This project set out to answer a practical question: whether a role-aware, destination-based parking allocation system, verified by QR code and reported on through an administrative dashboard, could be built for a Ghanaian tertiary campus using only commodity web and cloud technologies, without dedicated parking hardware. The evidence gathered across Chapters Three and Four, seventeen passing test cases, a fully implemented six-collection data model, a working allocation engine, and, most convincingly, real reservations observed transitioning through their full lifecycle on a live public deployment, answers that question in the affirmative within the scope tested. The system is not presented as a finished, production-ready campus solution; Sections 5.6 and 5.9 are explicit about the role-separation, performance-testing, and field-piloting work that remains. What the project does demonstrate is that the underlying approach is sound, implementable by a small team, and worth carrying forward toward a real deployment at Kumasi Technical University.</w:t>
      </w:r>
    </w:p>
    <w:p>
      <w:r>
        <w:br/>
        <w:t xml:space="preserve"/>
      </w:r>
    </w:p>
    <w:p>
      <w:pPr>
        <w:pStyle w:val="Heading1"/>
        <w:tabs>
          <w:tab w:val="left" w:pos="863"/>
        </w:tabs>
        <w:spacing w:after="240" w:before="400" w:line="360"/>
      </w:pPr>
      <w:r>
        <w:rPr>
          <w:rFonts w:ascii="Times New Roman" w:cs="Times New Roman" w:eastAsia="Times New Roman" w:hAnsi="Times New Roman"/>
          <w:b/>
          <w:bCs/>
          <w:color w:val="000000"/>
          <w:sz w:val="28"/>
          <w:szCs w:val="28"/>
        </w:rPr>
        <w:t xml:space="preserve">References (Chapter 5 sources)</w:t>
      </w:r>
    </w:p>
    <w:p>
      <w:pPr>
        <w:spacing w:after="200" w:line="480"/>
        <w:ind w:left="720" w:hanging="720"/>
        <w:jc w:val="both"/>
      </w:pPr>
      <w:r>
        <w:rPr>
          <w:rFonts w:ascii="Times New Roman" w:cs="Times New Roman" w:eastAsia="Times New Roman" w:hAnsi="Times New Roman"/>
          <w:sz w:val="24"/>
          <w:szCs w:val="24"/>
        </w:rPr>
        <w:t xml:space="preserve">Elfaki, A. O., Messoudi, W., Bushnag, A., Abuzneid, S., &amp; Alhmiedat, T. (2024). Constraint optimization model for dynamic parking space allocation. Sensors, 24(12), 3988. https://doi.org/10.3390/s24123988</w:t>
      </w:r>
    </w:p>
    <w:p>
      <w:pPr>
        <w:spacing w:after="200" w:line="480"/>
        <w:ind w:left="720" w:hanging="720"/>
        <w:jc w:val="both"/>
      </w:pPr>
      <w:r>
        <w:rPr>
          <w:rFonts w:ascii="Times New Roman" w:cs="Times New Roman" w:eastAsia="Times New Roman" w:hAnsi="Times New Roman"/>
          <w:sz w:val="24"/>
          <w:szCs w:val="24"/>
        </w:rPr>
        <w:t xml:space="preserve">Hussain, M. A., Varsha, K. S., Krishnamraju, K., Lavanya, K., &amp; Chakradhar, B. (2023). QR-based ticket verification and parking system. In Algorithms for Intelligent Systems. Springer. https://doi.org/10.1007/978-981-19-1484-3_14</w:t>
      </w:r>
    </w:p>
    <w:p>
      <w:pPr>
        <w:spacing w:after="200" w:line="480"/>
        <w:ind w:left="720" w:hanging="720"/>
        <w:jc w:val="both"/>
      </w:pPr>
      <w:r>
        <w:rPr>
          <w:rFonts w:ascii="Times New Roman" w:cs="Times New Roman" w:eastAsia="Times New Roman" w:hAnsi="Times New Roman"/>
          <w:sz w:val="24"/>
          <w:szCs w:val="24"/>
        </w:rPr>
        <w:t xml:space="preserve">Jabbar, W. A., Wei, C. W., Azmi, N. A. A. M., &amp; Haironnazli, N. A. (2021). An IoT Raspberry Pi-based parking management system for smart campus. Internet of Things, 14, 100387.</w:t>
      </w:r>
    </w:p>
    <w:p>
      <w:pPr>
        <w:spacing w:after="200" w:line="480"/>
        <w:ind w:left="720" w:hanging="720"/>
        <w:jc w:val="both"/>
      </w:pPr>
      <w:r>
        <w:rPr>
          <w:rFonts w:ascii="Times New Roman" w:cs="Times New Roman" w:eastAsia="Times New Roman" w:hAnsi="Times New Roman"/>
          <w:sz w:val="24"/>
          <w:szCs w:val="24"/>
        </w:rPr>
        <w:t xml:space="preserve">Mohandes, M., Deriche, M., Abuelma'atti, M. T., &amp; Tasadduq, N. (2019). Preference-based smart parking system in a university campus. IET Intelligent Transport Systems, 13(2), 259–269. https://doi.org/10.1049/iet-its.2018.5207</w:t>
      </w:r>
    </w:p>
    <w:p>
      <w:pPr>
        <w:spacing w:after="200" w:line="480"/>
        <w:ind w:left="720" w:hanging="720"/>
        <w:jc w:val="both"/>
      </w:pPr>
      <w:r>
        <w:rPr>
          <w:rFonts w:ascii="Times New Roman" w:cs="Times New Roman" w:eastAsia="Times New Roman" w:hAnsi="Times New Roman"/>
          <w:sz w:val="24"/>
          <w:szCs w:val="24"/>
        </w:rPr>
        <w:t xml:space="preserve">Ntim, J. A., Anokye, P., &amp; Asibey, M. O. (2023). City challenge: User perception on the governance and quality of parking spaces in central business district of Kumasi, Ghana. Transportation in Developing Economies. https://doi.org/10.1007/s40890-022-00174-3</w:t>
      </w:r>
    </w:p>
    <w:p>
      <w:pPr>
        <w:spacing w:after="200" w:line="480"/>
        <w:ind w:left="720" w:hanging="720"/>
        <w:jc w:val="both"/>
      </w:pPr>
      <w:r>
        <w:rPr>
          <w:rFonts w:ascii="Times New Roman" w:cs="Times New Roman" w:eastAsia="Times New Roman" w:hAnsi="Times New Roman"/>
          <w:sz w:val="24"/>
          <w:szCs w:val="24"/>
        </w:rPr>
        <w:t xml:space="preserve">Raj, A., &amp; Shetty, S. D. (2024). Smart parking systems technologies, tools, and challenges for implementing in a smart city environment: A survey based on IoT &amp; ML perspective. International Journal of Machine Learning and Cybernetics. https://doi.org/10.1007/s13042-023-02056-5</w:t>
      </w:r>
    </w:p>
    <w:p>
      <w:pPr>
        <w:spacing w:after="200" w:line="480"/>
        <w:ind w:left="720" w:hanging="720"/>
        <w:jc w:val="both"/>
      </w:pPr>
      <w:r>
        <w:rPr>
          <w:rFonts w:ascii="Times New Roman" w:cs="Times New Roman" w:eastAsia="Times New Roman" w:hAnsi="Times New Roman"/>
          <w:sz w:val="24"/>
          <w:szCs w:val="24"/>
        </w:rPr>
        <w:t xml:space="preserve">Sandhu, R., Ferraiolo, D., &amp; Kuhn, R. (2000). The NIST model for role-based access control: Towards a unified standard. Proceedings of the Fifth ACM Workshop on Role-Based Access Control, 47–63. https://doi.org/10.1145/344287.344301</w:t>
      </w:r>
    </w:p>
    <w:p>
      <w:pPr>
        <w:spacing w:after="200" w:line="480"/>
        <w:ind w:left="720" w:hanging="720"/>
        <w:jc w:val="both"/>
      </w:pPr>
      <w:r>
        <w:rPr>
          <w:rFonts w:ascii="Times New Roman" w:cs="Times New Roman" w:eastAsia="Times New Roman" w:hAnsi="Times New Roman"/>
          <w:sz w:val="24"/>
          <w:szCs w:val="24"/>
        </w:rPr>
        <w:t xml:space="preserve">Shimi, A., Ebrahimi Dishabi, M. R., &amp; Abdollahi Azgomi, M. (2022). An intelligent parking management system using RFID technology based on user preferences. Soft Computing, 26, 13869–13884. https://doi.org/10.1007/s00500-022-07411-2</w:t>
      </w:r>
    </w:p>
    <w:sectPr>
      <w:headerReference w:type="default" r:id="rId7"/>
      <w:footerReference w:type="default" r:id="rId8"/>
      <w:pgSz w:w="11906" w:h="16838" w:orient="portrait"/>
      <w:pgMar w:top="1440" w:right="1440" w:bottom="144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20"/>
        <w:szCs w:val="20"/>
      </w:rPr>
      <w:t xml:space="preserve">Smart Campus Parking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2026-09-09T06:10:16.351Z</dcterms:created>
  <dcterms:modified xsi:type="dcterms:W3CDTF">2026-09-09T06:10:16.392Z</dcterms:modified>
</cp:coreProperties>
</file>

<file path=docProps/custom.xml><?xml version="1.0" encoding="utf-8"?>
<Properties xmlns="http://schemas.openxmlformats.org/officeDocument/2006/custom-properties" xmlns:vt="http://schemas.openxmlformats.org/officeDocument/2006/docPropsVTypes"/>
</file>