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8976B" w14:textId="1B0839BD" w:rsidR="001E6735" w:rsidRDefault="00B41EDC" w:rsidP="001E6735">
      <w:pPr>
        <w:rPr>
          <w:lang w:val="en-US"/>
        </w:rPr>
      </w:pPr>
      <w:r>
        <w:rPr>
          <w:noProof/>
        </w:rPr>
        <w:pict w14:anchorId="3ED730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53.65pt;height:58.5pt;mso-width-percent:0;mso-height-percent:0;mso-width-percent:0;mso-height-percent:0">
            <v:imagedata r:id="rId12" o:title="new_logo_MIB"/>
          </v:shape>
        </w:pict>
      </w:r>
    </w:p>
    <w:p w14:paraId="5CD5DC81" w14:textId="77777777" w:rsidR="001E6735" w:rsidRPr="00164E8B" w:rsidRDefault="001E6735" w:rsidP="001E6735"/>
    <w:p w14:paraId="13792BA4" w14:textId="77777777" w:rsidR="001E6735" w:rsidRDefault="001E6735" w:rsidP="001E6735"/>
    <w:p w14:paraId="2A8BDFD6" w14:textId="77777777" w:rsidR="001E6735" w:rsidRPr="00164E8B" w:rsidRDefault="001E6735" w:rsidP="001E6735"/>
    <w:p w14:paraId="5316E37E" w14:textId="77777777" w:rsidR="001E6735" w:rsidRDefault="001E6735" w:rsidP="001E6735">
      <w:pPr>
        <w:spacing w:before="0" w:after="0"/>
        <w:contextualSpacing/>
        <w:rPr>
          <w:b/>
          <w:color w:val="00897B"/>
          <w:sz w:val="52"/>
          <w:lang w:val="en-US"/>
        </w:rPr>
      </w:pPr>
      <w:r w:rsidRPr="00164E8B">
        <w:rPr>
          <w:b/>
          <w:color w:val="00897B"/>
          <w:sz w:val="52"/>
          <w:lang w:val="en-US"/>
        </w:rPr>
        <w:t>M</w:t>
      </w:r>
      <w:r>
        <w:rPr>
          <w:b/>
          <w:color w:val="00897B"/>
          <w:sz w:val="52"/>
          <w:lang w:val="en-US"/>
        </w:rPr>
        <w:t>BA in International Business</w:t>
      </w:r>
    </w:p>
    <w:p w14:paraId="30222EF1" w14:textId="77777777" w:rsidR="001E6735" w:rsidRDefault="001E6735" w:rsidP="001E6735">
      <w:pPr>
        <w:spacing w:before="0" w:after="0"/>
        <w:contextualSpacing/>
        <w:rPr>
          <w:sz w:val="36"/>
          <w:lang w:val="en-US"/>
        </w:rPr>
      </w:pPr>
      <w:r>
        <w:rPr>
          <w:sz w:val="36"/>
          <w:lang w:val="en-US"/>
        </w:rPr>
        <w:t>XXXV</w:t>
      </w:r>
      <w:r w:rsidRPr="0037628A">
        <w:rPr>
          <w:sz w:val="36"/>
          <w:lang w:val="en-US"/>
        </w:rPr>
        <w:t xml:space="preserve">I </w:t>
      </w:r>
      <w:r>
        <w:rPr>
          <w:sz w:val="36"/>
          <w:lang w:val="en-US"/>
        </w:rPr>
        <w:t>edition</w:t>
      </w:r>
    </w:p>
    <w:p w14:paraId="2A6FA90C" w14:textId="77777777" w:rsidR="001E6735" w:rsidRDefault="001E6735" w:rsidP="001E6735">
      <w:pPr>
        <w:spacing w:before="0" w:after="0"/>
        <w:contextualSpacing/>
        <w:rPr>
          <w:sz w:val="36"/>
          <w:lang w:val="en-US"/>
        </w:rPr>
      </w:pPr>
    </w:p>
    <w:p w14:paraId="18B4EE81" w14:textId="77777777" w:rsidR="001E6735" w:rsidRPr="00EF58DF" w:rsidRDefault="001E6735" w:rsidP="001E6735">
      <w:pPr>
        <w:spacing w:before="0" w:after="0"/>
        <w:contextualSpacing/>
        <w:rPr>
          <w:sz w:val="36"/>
          <w:lang w:val="en-US"/>
        </w:rPr>
      </w:pPr>
    </w:p>
    <w:p w14:paraId="702E86BA" w14:textId="77777777" w:rsidR="001E6735" w:rsidRPr="005A7338" w:rsidRDefault="001E6735" w:rsidP="001E6735">
      <w:pPr>
        <w:spacing w:before="0" w:after="0"/>
        <w:contextualSpacing/>
        <w:rPr>
          <w:sz w:val="36"/>
          <w:lang w:val="en-US"/>
        </w:rPr>
      </w:pPr>
      <w:r w:rsidRPr="005A7338">
        <w:rPr>
          <w:sz w:val="36"/>
          <w:lang w:val="en-US"/>
        </w:rPr>
        <w:t>FINAL REPORT</w:t>
      </w:r>
    </w:p>
    <w:p w14:paraId="72534DEF" w14:textId="397C83DB" w:rsidR="001E6735" w:rsidRPr="001E6735" w:rsidRDefault="001E6735" w:rsidP="001E6735">
      <w:pPr>
        <w:spacing w:before="0" w:after="0"/>
        <w:contextualSpacing/>
        <w:rPr>
          <w:b/>
          <w:i/>
          <w:iCs/>
          <w:sz w:val="36"/>
          <w:lang w:val="en-US"/>
        </w:rPr>
      </w:pPr>
      <w:r w:rsidRPr="00351C5B">
        <w:rPr>
          <w:b/>
          <w:i/>
          <w:iCs/>
          <w:sz w:val="52"/>
          <w:lang w:val="en-US"/>
        </w:rPr>
        <w:t>AI Washing or Credible Disclosure? Patterns and Clusters in Corporate AI Disclosures</w:t>
      </w:r>
    </w:p>
    <w:p w14:paraId="00E1C203" w14:textId="77777777" w:rsidR="001E6735" w:rsidRPr="005A7338" w:rsidRDefault="001E6735" w:rsidP="001E6735">
      <w:pPr>
        <w:spacing w:before="0" w:after="0"/>
        <w:contextualSpacing/>
        <w:rPr>
          <w:sz w:val="36"/>
          <w:lang w:val="en-US"/>
        </w:rPr>
      </w:pPr>
    </w:p>
    <w:p w14:paraId="6FDCAE0D" w14:textId="77777777" w:rsidR="001E6735" w:rsidRPr="001479DE" w:rsidRDefault="001E6735" w:rsidP="001E6735">
      <w:pPr>
        <w:spacing w:before="0" w:after="0"/>
        <w:contextualSpacing/>
        <w:rPr>
          <w:sz w:val="36"/>
        </w:rPr>
      </w:pPr>
      <w:r w:rsidRPr="001479DE">
        <w:rPr>
          <w:sz w:val="36"/>
        </w:rPr>
        <w:t>By</w:t>
      </w:r>
    </w:p>
    <w:p w14:paraId="303ADD63" w14:textId="77777777" w:rsidR="001E6735" w:rsidRPr="001479DE" w:rsidRDefault="001E6735" w:rsidP="001E6735">
      <w:pPr>
        <w:spacing w:before="0" w:after="0"/>
        <w:contextualSpacing/>
        <w:rPr>
          <w:i/>
          <w:iCs/>
          <w:sz w:val="36"/>
        </w:rPr>
      </w:pPr>
      <w:r w:rsidRPr="001479DE">
        <w:rPr>
          <w:i/>
          <w:iCs/>
          <w:sz w:val="36"/>
        </w:rPr>
        <w:t>Germán Oviedo</w:t>
      </w:r>
    </w:p>
    <w:p w14:paraId="374B2B95" w14:textId="77777777" w:rsidR="001E6735" w:rsidRPr="001479DE" w:rsidRDefault="001E6735" w:rsidP="001E6735">
      <w:pPr>
        <w:spacing w:before="0" w:after="0"/>
        <w:contextualSpacing/>
        <w:rPr>
          <w:sz w:val="36"/>
        </w:rPr>
      </w:pPr>
    </w:p>
    <w:p w14:paraId="59D3B704" w14:textId="77777777" w:rsidR="001E6735" w:rsidRPr="001479DE" w:rsidRDefault="001E6735" w:rsidP="001E6735">
      <w:pPr>
        <w:spacing w:before="0" w:after="0"/>
        <w:contextualSpacing/>
        <w:rPr>
          <w:sz w:val="36"/>
        </w:rPr>
      </w:pPr>
    </w:p>
    <w:p w14:paraId="2A20EB4C" w14:textId="77777777" w:rsidR="001E6735" w:rsidRPr="001479DE" w:rsidRDefault="001E6735" w:rsidP="001E6735">
      <w:pPr>
        <w:pBdr>
          <w:top w:val="single" w:sz="4" w:space="1" w:color="00897B"/>
        </w:pBdr>
        <w:spacing w:before="0" w:after="0"/>
        <w:contextualSpacing/>
        <w:rPr>
          <w:sz w:val="36"/>
        </w:rPr>
      </w:pPr>
      <w:r w:rsidRPr="001479DE">
        <w:rPr>
          <w:sz w:val="36"/>
        </w:rPr>
        <w:t>DISCUSSANT:</w:t>
      </w:r>
    </w:p>
    <w:p w14:paraId="4BEF8A17" w14:textId="564794F9" w:rsidR="001E6735" w:rsidRPr="001479DE" w:rsidRDefault="001E6735" w:rsidP="001E6735">
      <w:pPr>
        <w:spacing w:before="0" w:after="0"/>
        <w:contextualSpacing/>
        <w:rPr>
          <w:i/>
          <w:iCs/>
          <w:sz w:val="36"/>
        </w:rPr>
      </w:pPr>
      <w:r w:rsidRPr="001479DE">
        <w:rPr>
          <w:i/>
          <w:iCs/>
          <w:sz w:val="36"/>
        </w:rPr>
        <w:t>Francesco Venier</w:t>
      </w:r>
    </w:p>
    <w:p w14:paraId="75F9E31C" w14:textId="32D5602B" w:rsidR="00E61A7C" w:rsidRPr="001479DE" w:rsidRDefault="00E61A7C" w:rsidP="00EA05F9">
      <w:pPr>
        <w:rPr>
          <w:sz w:val="32"/>
          <w:szCs w:val="32"/>
        </w:rPr>
      </w:pPr>
    </w:p>
    <w:p>
      <w:r>
        <w:br w:type="page"/>
      </w:r>
    </w:p>
    <w:p/>
    <w:p>
      <w:r>
        <w:br w:type="page"/>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0" w:name="executive-summary"/>
    <w:p>
      <w:pPr>
        <w:pStyle w:val="Ttulo1"/>
      </w:pPr>
      <w:r>
        <w:rPr>
          <w:caps/>
          <w:smallCaps w:val="0"/>
        </w:rPr>
        <w:t xml:space="preserve">Executive Summary</w:t>
      </w:r>
    </w:p>
    <w:p>
      <w:pPr>
        <w:pStyle w:val="FirstParagraph"/>
      </w:pPr>
      <w:r>
        <w:t xml:space="preserve">Mentions of artificial intelligence became nearly universal across the S&amp;P 500 by the end of 2025. What separates firms is no longer whether they discuss AI, but how: in which register they write, which operations they claim, and how much of that claim they document. This thesis measures how far those three things diverge within a firm, how the resulting patterns sort across sectors and venues, and which of the differences carry information about firm risk and performance.</w:t>
      </w:r>
    </w:p>
    <w:p>
      <w:pPr>
        <w:pStyle w:val="Textoindependiente"/>
      </w:pPr>
      <w:r>
        <w:t xml:space="preserve">The study analyzes a corpus of 9.7 million paragraphs from 59,820 SEC filings and earnings calls, distinguishing narrative volume, communication posture, reported operational activities, and their documentary grounding. From it the study catalogs 46,855 operational AI activities in 471 firms.</w:t>
      </w:r>
    </w:p>
    <w:p>
      <w:pPr>
        <w:pStyle w:val="Textoindependiente"/>
      </w:pPr>
      <w:r>
        <w:t xml:space="preserve">Three communication postures recur across the index: Vocal Substantives, who emphasize customer-facing AI applications; Governance-Led firms, who emphasize governance and oversight; and Defensive Disclosers, who emphasize risks and caveats. At comparable disclosure intensity, communication postures distinguish firms’ reported activity portfolios and customer-facing integration. Firms commonly present AI initiatives under their own brands, while providing much less detail about the external models, platforms, and infrastructure supporting them.</w:t>
      </w:r>
    </w:p>
    <w:p>
      <w:pPr>
        <w:pStyle w:val="Textoindependiente"/>
      </w:pPr>
      <w:r>
        <w:t xml:space="preserve">Narrative grew faster than the evidence behind it: the 2023–2025 surge added activity volume without improving average grounding. The gap between volume and substance has a persistent within-firm component, whether that reflects a stable disclosure practice or reused language. Inside the same firm and fiscal year, earnings calls are more promotional, and carry more quantified claims, than the statutory filings, so the two venues are not interchangeable.</w:t>
      </w:r>
    </w:p>
    <w:p>
      <w:pPr>
        <w:pStyle w:val="Textoindependiente"/>
      </w:pPr>
      <w:r>
        <w:t xml:space="preserve">The study also tests whether disclosure patterns are associated with subsequent market and accounting outcomes, finding selective relationships. Accumulated decoupling between communication and documentary evidence and sustained disclosure volume are associated with a more positive change in beta around earnings calls, while single-call decoupling shows no association that survives multiple-testing correction. Relative to Defensive disclosure, a governance-oriented composition is associated with a lower beta shift, higher subsequent abnormal returns, and slower revenue growth. No associations survive multiple-testing correction for announcement-window returns or weekly crash risk.</w:t>
      </w:r>
    </w:p>
    <w:p>
      <w:pPr>
        <w:pStyle w:val="Textoindependiente"/>
      </w:pPr>
      <w:r>
        <w:t xml:space="preserve">These findings provide the basis for a practical framework for reading and writing corporate AI communication. It identifies communication posture, checks documentary grounding, and compares operational claims across channels, then prioritizes material claims and specifies the verification each requires. An issuer can check its own communication against what it can document; an investor or board can decide which external claims deserve verification before committing capital. What the routine diagnoses is documentary distance, not fraud and not technological maturity, and an adaptation to early-stage ventures is proposed rather than estimated.</w:t>
      </w:r>
    </w:p>
    <w:p>
      <w:r>
        <w:br w:type="page"/>
      </w:r>
    </w:p>
    <w:bookmarkEnd w:id="0"/>
    <w:bookmarkStart w:id="1" w:name="introduction"/>
    <w:p>
      <w:pPr>
        <w:pStyle w:val="Ttulo1"/>
      </w:pPr>
      <w:r>
        <w:rPr>
          <w:caps/>
          <w:smallCaps w:val="0"/>
        </w:rPr>
        <w:t xml:space="preserve">1. Introduction</w:t>
      </w:r>
    </w:p>
    <w:bookmarkStart w:id="2" w:name="problem-and-practical-relevance"/>
    <w:p>
      <w:pPr>
        <w:pStyle w:val="Ttulo2"/>
      </w:pPr>
      <w:r>
        <w:t xml:space="preserve">1.1 Problem and practical relevance</w:t>
      </w:r>
    </w:p>
    <w:p>
      <w:pPr>
        <w:pStyle w:val="FirstParagraph"/>
      </w:pPr>
      <w:r>
        <w:t xml:space="preserve">As the use of artificial intelligence proliferated after ChatGPT’s release in November 2022, corporate AI disclosure has become harder and harder to read. Investors and analysts need to separate firms with real AI adoption from firms that are mostly making promotional claims, because real adoption can move productivity and firm value</w:t>
      </w:r>
      <w:r>
        <w:t xml:space="preserve"> </w:t>
      </w:r>
      <w:r>
        <w:t xml:space="preserve">(</w:t>
      </w:r>
      <w:hyperlink w:anchor="ref-basnet2025">
        <w:r>
          <w:rPr>
            <w:rStyle w:val="Hipervnculo"/>
          </w:rPr>
          <w:t xml:space="preserve">Basnet et al. 2025</w:t>
        </w:r>
      </w:hyperlink>
      <w:r>
        <w:t xml:space="preserve">;</w:t>
      </w:r>
      <w:r>
        <w:t xml:space="preserve"> </w:t>
      </w:r>
      <w:hyperlink w:anchor="ref-eisfeldt2023">
        <w:r>
          <w:rPr>
            <w:rStyle w:val="Hipervnculo"/>
          </w:rPr>
          <w:t xml:space="preserve">Eisfeldt et al. 2023</w:t>
        </w:r>
      </w:hyperlink>
      <w:r>
        <w:t xml:space="preserve">)</w:t>
      </w:r>
      <w:r>
        <w:t xml:space="preserve">. Managers and boards have the same problem seen from the inside: they have to communicate technical initiatives without overstating how mature they are, because the distance between what a firm says and what it can show is now a legal and reputational exposure. Regulators have made that exposure concrete and have named overstated AI capability as a form of misstatement</w:t>
      </w:r>
      <w:r>
        <w:t xml:space="preserve"> </w:t>
      </w:r>
      <w:r>
        <w:t xml:space="preserve">(</w:t>
      </w:r>
      <w:hyperlink w:anchor="ref-gensler2023">
        <w:r>
          <w:rPr>
            <w:rStyle w:val="Hipervnculo"/>
          </w:rPr>
          <w:t xml:space="preserve">Gensler 2024</w:t>
        </w:r>
      </w:hyperlink>
      <w:r>
        <w:t xml:space="preserve">;</w:t>
      </w:r>
      <w:r>
        <w:t xml:space="preserve"> </w:t>
      </w:r>
      <w:hyperlink w:anchor="ref-sec2024pressrelease">
        <w:r>
          <w:rPr>
            <w:rStyle w:val="Hipervnculo"/>
          </w:rPr>
          <w:t xml:space="preserve">U.S. Securities and Exchange Commission 2024</w:t>
        </w:r>
      </w:hyperlink>
      <w:r>
        <w:t xml:space="preserve">)</w:t>
      </w:r>
      <w:r>
        <w:t xml:space="preserve">, and SEC comment letters show that an inconsistency between a promotional earnings call and the formal filings can attract direct scrutiny</w:t>
      </w:r>
      <w:r>
        <w:t xml:space="preserve"> </w:t>
      </w:r>
      <w:r>
        <w:t xml:space="preserve">(</w:t>
      </w:r>
      <w:hyperlink w:anchor="ref-welltower2025letter">
        <w:r>
          <w:rPr>
            <w:rStyle w:val="Hipervnculo"/>
          </w:rPr>
          <w:t xml:space="preserve">U.S. Securities and Exchange Commission 2025</w:t>
        </w:r>
      </w:hyperlink>
      <w:r>
        <w:t xml:space="preserve">)</w:t>
      </w:r>
      <w:r>
        <w:t xml:space="preserve">.</w:t>
      </w:r>
    </w:p>
    <w:p>
      <w:pPr>
        <w:pStyle w:val="Textoindependiente"/>
      </w:pPr>
      <w:r>
        <w:t xml:space="preserve">AI rapidly became a standard topic of corporate communication after ChatGPT’s release</w:t>
      </w:r>
      <w:r>
        <w:t xml:space="preserve"> </w:t>
      </w:r>
      <w:r>
        <w:t xml:space="preserve">(</w:t>
      </w:r>
      <w:hyperlink w:anchor="ref-anantharaman2026">
        <w:r>
          <w:rPr>
            <w:rStyle w:val="Hipervnculo"/>
          </w:rPr>
          <w:t xml:space="preserve">Anantharaman, Parker, and Rozario 2026</w:t>
        </w:r>
      </w:hyperlink>
      <w:r>
        <w:t xml:space="preserve">)</w:t>
      </w:r>
      <w:r>
        <w:t xml:space="preserve">. In the S&amp;P 500, the share of firms mentioning AI in SEC filings went from 34% in 2021 to 93% in 2025. Over the same period, narrative intensity across the panel increased 7.3-fold and, when annualizing 2026 observations, reaches approximately 12 times its 2021 level.</w:t>
      </w:r>
    </w:p>
    <w:p>
      <w:pPr>
        <w:pStyle w:val="Textoindependiente"/>
      </w:pPr>
      <w:r>
        <w:t xml:space="preserve">The usual textual methods in finance work with keyword frequencies or dictionary-based sentiment</w:t>
      </w:r>
      <w:r>
        <w:t xml:space="preserve"> </w:t>
      </w:r>
      <w:r>
        <w:t xml:space="preserve">(</w:t>
      </w:r>
      <w:hyperlink w:anchor="ref-loughran2011">
        <w:r>
          <w:rPr>
            <w:rStyle w:val="Hipervnculo"/>
          </w:rPr>
          <w:t xml:space="preserve">Loughran and McDonald 2011</w:t>
        </w:r>
      </w:hyperlink>
      <w:r>
        <w:t xml:space="preserve">)</w:t>
      </w:r>
      <w:r>
        <w:t xml:space="preserve">, and such methods give the same weight to a routine risk disclaimer and to a detailed account of an AI deployment or a commercial partnership. To judge the substance and the credibility of corporate AI disclosure one has to move past how often a firm mentions AI and look instead at how it frames the claim, what operational activity it reports, and how concretely that activity is backed by disclosed evidence.</w:t>
      </w:r>
    </w:p>
    <w:bookmarkEnd w:id="1"/>
    <w:bookmarkStart w:id="3" w:name="main-research-question"/>
    <w:p>
      <w:pPr>
        <w:pStyle w:val="Ttulo2"/>
      </w:pPr>
      <w:r>
        <w:t xml:space="preserve">1.2 Main research question</w:t>
      </w:r>
    </w:p>
    <w:p>
      <w:pPr>
        <w:pStyle w:val="FirstParagraph"/>
      </w:pPr>
      <w:r>
        <w:t xml:space="preserve">These tensions lead to one central question:</w:t>
      </w:r>
    </w:p>
    <w:p>
      <w:pPr>
        <w:pStyle w:val="BlockText"/>
      </w:pPr>
      <w:r>
        <w:rPr>
          <w:b/>
          <w:bCs/>
        </w:rPr>
        <w:t xml:space="preserve">To what extent do public firms exhibit strategic heterogeneity in their corporate AI disclosures, and does distinguishing disclosure volume, communication posture, and grounded operational substance carry incremental economic information?</w:t>
      </w:r>
    </w:p>
    <w:bookmarkEnd w:id="2"/>
    <w:bookmarkStart w:id="4" w:name="objectives-and-contributions"/>
    <w:p>
      <w:pPr>
        <w:pStyle w:val="Ttulo2"/>
      </w:pPr>
      <w:r>
        <w:t xml:space="preserve">1.3 Objectives and contributions</w:t>
      </w:r>
    </w:p>
    <w:p>
      <w:pPr>
        <w:pStyle w:val="FirstParagraph"/>
      </w:pPr>
      <w:r>
        <w:t xml:space="preserve">This thesis studies how S&amp;P 500 firms communicate about artificial intelligence across 59,820 SEC filings and earnings-call transcripts, and reads that communication in four places: the text itself, the choice of disclosure channel, regulatory comment letters, and market prices.</w:t>
      </w:r>
    </w:p>
    <w:p>
      <w:pPr>
        <w:pStyle w:val="Textoindependiente"/>
      </w:pPr>
      <w:r>
        <w:t xml:space="preserve">The thesis makes three contributions:</w:t>
      </w:r>
    </w:p>
    <w:p>
      <w:pPr>
        <w:pStyle w:val="Compact"/>
        <w:numPr>
          <w:ilvl w:val="0"/>
          <w:numId w:val="18"/>
        </w:numPr>
      </w:pPr>
      <w:r>
        <w:rPr>
          <w:b/>
          <w:bCs/>
        </w:rPr>
        <w:t xml:space="preserve">Evidence on how firms communicate about AI:</w:t>
      </w:r>
      <w:r>
        <w:t xml:space="preserve"> </w:t>
      </w:r>
      <w:r>
        <w:t xml:space="preserve">three recurring communication postures; activity portfolios that differ between them at the same disclosure volume; a narrative that grew faster than the documentary evidence behind it; a within-firm gap between what is said on a call and what is filed; and selective associations between these measures and market and operating outcomes.</w:t>
      </w:r>
    </w:p>
    <w:p>
      <w:pPr>
        <w:pStyle w:val="Compact"/>
        <w:numPr>
          <w:ilvl w:val="0"/>
          <w:numId w:val="18"/>
        </w:numPr>
      </w:pPr>
      <w:r>
        <w:rPr>
          <w:b/>
          <w:bCs/>
        </w:rPr>
        <w:t xml:space="preserve">A textual measurement architecture with several dimensions:</w:t>
      </w:r>
      <w:r>
        <w:t xml:space="preserve"> </w:t>
      </w:r>
      <w:r>
        <w:t xml:space="preserve">instead of counting words, it combines a gradient-boosted filter with zero-shot LLM frame extraction to build six constructs (</w:t>
      </w:r>
      <m:oMath>
        <m:r>
          <w:rPr>
            <w:sz w:val="22"/>
          </w:rPr>
          <m:t>D</m:t>
        </m:r>
        <m:r>
          <m:rPr>
            <m:sty m:val="p"/>
          </m:rPr>
          <w:rPr>
            <w:sz w:val="22"/>
          </w:rPr>
          <m:t>,</m:t>
        </m:r>
        <m:r>
          <w:rPr>
            <w:sz w:val="22"/>
          </w:rPr>
          <m:t>P</m:t>
        </m:r>
        <m:r>
          <m:rPr>
            <m:sty m:val="p"/>
          </m:rPr>
          <w:rPr>
            <w:sz w:val="22"/>
          </w:rPr>
          <m:t>,</m:t>
        </m:r>
        <m:r>
          <w:rPr>
            <w:sz w:val="22"/>
          </w:rPr>
          <m:t>A</m:t>
        </m:r>
        <m:r>
          <m:rPr>
            <m:sty m:val="p"/>
          </m:rPr>
          <w:rPr>
            <w:sz w:val="22"/>
          </w:rPr>
          <m:t>,</m:t>
        </m:r>
        <m:r>
          <w:rPr>
            <w:sz w:val="22"/>
          </w:rPr>
          <m:t>G</m:t>
        </m:r>
        <m:r>
          <m:rPr>
            <m:sty m:val="p"/>
          </m:rPr>
          <w:rPr>
            <w:sz w:val="22"/>
          </w:rPr>
          <m:t>,</m:t>
        </m:r>
        <m:r>
          <w:rPr>
            <w:sz w:val="22"/>
          </w:rPr>
          <m:t>S</m:t>
        </m:r>
        <m:r>
          <m:rPr>
            <m:sty m:val="p"/>
          </m:rPr>
          <w:rPr>
            <w:sz w:val="22"/>
          </w:rPr>
          <m:t>,</m:t>
        </m:r>
        <m:r>
          <w:rPr>
            <w:sz w:val="22"/>
          </w:rPr>
          <m:t>W</m:t>
        </m:r>
      </m:oMath>
      <w:r>
        <w:t xml:space="preserve">) that put informal earnings calls and statutory filings on the same scale.</w:t>
      </w:r>
    </w:p>
    <w:p>
      <w:pPr>
        <w:pStyle w:val="Compact"/>
        <w:numPr>
          <w:ilvl w:val="0"/>
          <w:numId w:val="18"/>
        </w:numPr>
      </w:pPr>
      <w:r>
        <w:rPr>
          <w:b/>
          <w:bCs/>
        </w:rPr>
        <w:t xml:space="preserve">A credibility framework built from that evidence:</w:t>
      </w:r>
      <w:r>
        <w:t xml:space="preserve"> </w:t>
      </w:r>
      <w:r>
        <w:t xml:space="preserve">a review routine with which an issuer can compare its own disclosure against what it can document, and with which an investor can rank external claims by the verification each one needs.</w:t>
      </w:r>
    </w:p>
    <w:bookmarkEnd w:id="3"/>
    <w:bookmarkStart w:id="5" w:name="X0db8783bab66c0e9aff6949464f67b217dde5cf"/>
    <w:p>
      <w:pPr>
        <w:pStyle w:val="Ttulo2"/>
      </w:pPr>
      <w:r>
        <w:t xml:space="preserve">1.4 Theoretical foundations and state of the art</w:t>
      </w:r>
    </w:p>
    <w:p>
      <w:pPr>
        <w:pStyle w:val="FirstParagraph"/>
      </w:pPr>
      <w:r>
        <w:t xml:space="preserve">Corporate narratives carry informative signals beyond standard accounting data:</w:t>
      </w:r>
      <w:r>
        <w:t xml:space="preserve"> </w:t>
      </w:r>
      <w:r>
        <w:t xml:space="preserve">Li (</w:t>
      </w:r>
      <w:hyperlink w:anchor="ref-li2008">
        <w:r>
          <w:rPr>
            <w:rStyle w:val="Hipervnculo"/>
          </w:rPr>
          <w:t xml:space="preserve">2008</w:t>
        </w:r>
      </w:hyperlink>
      <w:r>
        <w:t xml:space="preserve">)</w:t>
      </w:r>
      <w:r>
        <w:t xml:space="preserve"> </w:t>
      </w:r>
      <w:r>
        <w:t xml:space="preserve">links readability to earnings persistence,</w:t>
      </w:r>
      <w:r>
        <w:t xml:space="preserve"> </w:t>
      </w:r>
      <w:r>
        <w:t xml:space="preserve">Loughran and McDonald (</w:t>
      </w:r>
      <w:hyperlink w:anchor="ref-loughran2011">
        <w:r>
          <w:rPr>
            <w:rStyle w:val="Hipervnculo"/>
          </w:rPr>
          <w:t xml:space="preserve">2011</w:t>
        </w:r>
      </w:hyperlink>
      <w:r>
        <w:t xml:space="preserve">)</w:t>
      </w:r>
      <w:r>
        <w:t xml:space="preserve"> </w:t>
      </w:r>
      <w:r>
        <w:t xml:space="preserve">identify financial vocabulary misclassified by general dictionaries, and</w:t>
      </w:r>
      <w:r>
        <w:t xml:space="preserve"> </w:t>
      </w:r>
      <w:r>
        <w:t xml:space="preserve">Gentzkow, Kelly, and Taddy (</w:t>
      </w:r>
      <w:hyperlink w:anchor="ref-gentzkow2019">
        <w:r>
          <w:rPr>
            <w:rStyle w:val="Hipervnculo"/>
          </w:rPr>
          <w:t xml:space="preserve">2019</w:t>
        </w:r>
      </w:hyperlink>
      <w:r>
        <w:t xml:space="preserve">)</w:t>
      </w:r>
      <w:r>
        <w:t xml:space="preserve"> </w:t>
      </w:r>
      <w:r>
        <w:t xml:space="preserve">formalize text as economic data. Following the post-2022 surge in AI disclosure</w:t>
      </w:r>
      <w:r>
        <w:t xml:space="preserve"> </w:t>
      </w:r>
      <w:r>
        <w:t xml:space="preserve">(</w:t>
      </w:r>
      <w:hyperlink w:anchor="ref-anantharaman2026">
        <w:r>
          <w:rPr>
            <w:rStyle w:val="Hipervnculo"/>
          </w:rPr>
          <w:t xml:space="preserve">Anantharaman, Parker, and Rozario 2026</w:t>
        </w:r>
      </w:hyperlink>
      <w:r>
        <w:t xml:space="preserve">)</w:t>
      </w:r>
      <w:r>
        <w:t xml:space="preserve">, studies distinguish actionable plans from boilerplate</w:t>
      </w:r>
      <w:r>
        <w:t xml:space="preserve"> </w:t>
      </w:r>
      <w:r>
        <w:t xml:space="preserve">(</w:t>
      </w:r>
      <w:hyperlink w:anchor="ref-basnet2025">
        <w:r>
          <w:rPr>
            <w:rStyle w:val="Hipervnculo"/>
          </w:rPr>
          <w:t xml:space="preserve">Basnet et al. 2025</w:t>
        </w:r>
      </w:hyperlink>
      <w:r>
        <w:t xml:space="preserve">)</w:t>
      </w:r>
      <w:r>
        <w:t xml:space="preserve">, compare disclosure with AI hiring and patents</w:t>
      </w:r>
      <w:r>
        <w:t xml:space="preserve"> </w:t>
      </w:r>
      <w:r>
        <w:t xml:space="preserve">(</w:t>
      </w:r>
      <w:hyperlink w:anchor="ref-song2026">
        <w:r>
          <w:rPr>
            <w:rStyle w:val="Hipervnculo"/>
          </w:rPr>
          <w:t xml:space="preserve">Song et al. 2026</w:t>
        </w:r>
      </w:hyperlink>
      <w:r>
        <w:t xml:space="preserve">;</w:t>
      </w:r>
      <w:r>
        <w:t xml:space="preserve"> </w:t>
      </w:r>
      <w:hyperlink w:anchor="ref-babina2024">
        <w:r>
          <w:rPr>
            <w:rStyle w:val="Hipervnculo"/>
          </w:rPr>
          <w:t xml:space="preserve">Babina et al. 2024</w:t>
        </w:r>
      </w:hyperlink>
      <w:r>
        <w:t xml:space="preserve">;</w:t>
      </w:r>
      <w:r>
        <w:t xml:space="preserve"> </w:t>
      </w:r>
      <w:hyperlink w:anchor="ref-barrios2025">
        <w:r>
          <w:rPr>
            <w:rStyle w:val="Hipervnculo"/>
          </w:rPr>
          <w:t xml:space="preserve">Barrios et al. 2025</w:t>
        </w:r>
      </w:hyperlink>
      <w:r>
        <w:t xml:space="preserve">)</w:t>
      </w:r>
      <w:r>
        <w:t xml:space="preserve">, and examine promotional language and valuations unsupported by fundamentals</w:t>
      </w:r>
      <w:r>
        <w:t xml:space="preserve"> </w:t>
      </w:r>
      <w:r>
        <w:t xml:space="preserve">(</w:t>
      </w:r>
      <w:hyperlink w:anchor="ref-cheng2019">
        <w:r>
          <w:rPr>
            <w:rStyle w:val="Hipervnculo"/>
          </w:rPr>
          <w:t xml:space="preserve">Cheng et al. 2019</w:t>
        </w:r>
      </w:hyperlink>
      <w:r>
        <w:t xml:space="preserve">;</w:t>
      </w:r>
      <w:r>
        <w:t xml:space="preserve"> </w:t>
      </w:r>
      <w:hyperlink w:anchor="ref-huang2014">
        <w:r>
          <w:rPr>
            <w:rStyle w:val="Hipervnculo"/>
          </w:rPr>
          <w:t xml:space="preserve">Huang, Teoh, and Zhang 2014</w:t>
        </w:r>
      </w:hyperlink>
      <w:r>
        <w:t xml:space="preserve">)</w:t>
      </w:r>
      <w:r>
        <w:t xml:space="preserve">. Regulatory scrutiny of AI-related misstatements</w:t>
      </w:r>
      <w:r>
        <w:t xml:space="preserve"> </w:t>
      </w:r>
      <w:r>
        <w:t xml:space="preserve">(</w:t>
      </w:r>
      <w:hyperlink w:anchor="ref-gensler2023">
        <w:r>
          <w:rPr>
            <w:rStyle w:val="Hipervnculo"/>
          </w:rPr>
          <w:t xml:space="preserve">Gensler 2024</w:t>
        </w:r>
      </w:hyperlink>
      <w:r>
        <w:t xml:space="preserve">;</w:t>
      </w:r>
      <w:r>
        <w:t xml:space="preserve"> </w:t>
      </w:r>
      <w:hyperlink w:anchor="ref-sec2024pressrelease">
        <w:r>
          <w:rPr>
            <w:rStyle w:val="Hipervnculo"/>
          </w:rPr>
          <w:t xml:space="preserve">U.S. Securities and Exchange Commission 2024</w:t>
        </w:r>
      </w:hyperlink>
      <w:r>
        <w:t xml:space="preserve">,</w:t>
      </w:r>
      <w:r>
        <w:t xml:space="preserve"> </w:t>
      </w:r>
      <w:hyperlink w:anchor="ref-welltower2025letter">
        <w:r>
          <w:rPr>
            <w:rStyle w:val="Hipervnculo"/>
          </w:rPr>
          <w:t xml:space="preserve">2025</w:t>
        </w:r>
      </w:hyperlink>
      <w:r>
        <w:t xml:space="preserve">)</w:t>
      </w:r>
      <w:r>
        <w:t xml:space="preserve"> </w:t>
      </w:r>
      <w:r>
        <w:t xml:space="preserve">mirrors the greenwashing literature’s account of selective disclosure sustained by scrutiny</w:t>
      </w:r>
      <w:r>
        <w:t xml:space="preserve"> </w:t>
      </w:r>
      <w:r>
        <w:t xml:space="preserve">(</w:t>
      </w:r>
      <w:hyperlink w:anchor="ref-delmas2011">
        <w:r>
          <w:rPr>
            <w:rStyle w:val="Hipervnculo"/>
          </w:rPr>
          <w:t xml:space="preserve">Delmas and Burbano 2011</w:t>
        </w:r>
      </w:hyperlink>
      <w:r>
        <w:t xml:space="preserve">;</w:t>
      </w:r>
      <w:r>
        <w:t xml:space="preserve"> </w:t>
      </w:r>
      <w:hyperlink w:anchor="ref-marquis2016">
        <w:r>
          <w:rPr>
            <w:rStyle w:val="Hipervnculo"/>
          </w:rPr>
          <w:t xml:space="preserve">Marquis, Toffel, and Zhou 2016</w:t>
        </w:r>
      </w:hyperlink>
      <w:r>
        <w:t xml:space="preserve">;</w:t>
      </w:r>
      <w:r>
        <w:t xml:space="preserve"> </w:t>
      </w:r>
      <w:hyperlink w:anchor="ref-seele2022">
        <w:r>
          <w:rPr>
            <w:rStyle w:val="Hipervnculo"/>
          </w:rPr>
          <w:t xml:space="preserve">Seele and Schultz 2022</w:t>
        </w:r>
      </w:hyperlink>
      <w:r>
        <w:t xml:space="preserve">)</w:t>
      </w:r>
      <w:r>
        <w:t xml:space="preserve">.</w:t>
      </w:r>
    </w:p>
    <w:p>
      <w:pPr>
        <w:pStyle w:val="Textoindependiente"/>
      </w:pPr>
      <w:r>
        <w:t xml:space="preserve">Instead of relying only on external hiring or patent proxies, this study asks whether the disclosure itself is internally consistent and factually grounded. Four theoretical mechanisms support that measurement:</w:t>
      </w:r>
    </w:p>
    <w:p>
      <w:pPr>
        <w:pStyle w:val="Compact"/>
        <w:numPr>
          <w:ilvl w:val="0"/>
          <w:numId w:val="19"/>
        </w:numPr>
      </w:pPr>
      <w:r>
        <w:rPr>
          <w:b/>
          <w:bCs/>
        </w:rPr>
        <w:t xml:space="preserve">Costly signalling and verification:</w:t>
      </w:r>
      <w:r>
        <w:t xml:space="preserve"> </w:t>
      </w:r>
      <w:r>
        <w:t xml:space="preserve">in classical signalling theory</w:t>
      </w:r>
      <w:r>
        <w:t xml:space="preserve"> </w:t>
      </w:r>
      <w:r>
        <w:t xml:space="preserve">(</w:t>
      </w:r>
      <w:hyperlink w:anchor="ref-spence1973">
        <w:r>
          <w:rPr>
            <w:rStyle w:val="Hipervnculo"/>
          </w:rPr>
          <w:t xml:space="preserve">Spence 1973</w:t>
        </w:r>
      </w:hyperlink>
      <w:r>
        <w:t xml:space="preserve">;</w:t>
      </w:r>
      <w:r>
        <w:t xml:space="preserve"> </w:t>
      </w:r>
      <w:hyperlink w:anchor="ref-crawford1982">
        <w:r>
          <w:rPr>
            <w:rStyle w:val="Hipervnculo"/>
          </w:rPr>
          <w:t xml:space="preserve">Crawford and Sobel 1982</w:t>
        </w:r>
      </w:hyperlink>
      <w:r>
        <w:t xml:space="preserve">)</w:t>
      </w:r>
      <w:r>
        <w:t xml:space="preserve">, an ungrounded narrative claim is costless</w:t>
      </w:r>
      <w:r>
        <w:t xml:space="preserve"> </w:t>
      </w:r>
      <w:r>
        <w:t xml:space="preserve">“cheap talk,”</w:t>
      </w:r>
      <w:r>
        <w:t xml:space="preserve"> </w:t>
      </w:r>
      <w:r>
        <w:t xml:space="preserve">while a disclosure that names an operational system, a commercial partner, a deployment stage or a quantitative metric carries verification and reputational cost</w:t>
      </w:r>
      <w:r>
        <w:t xml:space="preserve"> </w:t>
      </w:r>
      <w:r>
        <w:t xml:space="preserve">(</w:t>
      </w:r>
      <w:hyperlink w:anchor="ref-rogers2011">
        <w:r>
          <w:rPr>
            <w:rStyle w:val="Hipervnculo"/>
          </w:rPr>
          <w:t xml:space="preserve">Rogers, Van Buskirk, and Zechman 2011</w:t>
        </w:r>
      </w:hyperlink>
      <w:r>
        <w:t xml:space="preserve">)</w:t>
      </w:r>
      <w:r>
        <w:t xml:space="preserve">. This is the reasoning behind the evidentiary grounding construct (</w:t>
      </w:r>
      <m:oMath>
        <m:r>
          <w:rPr>
            <w:sz w:val="22"/>
          </w:rPr>
          <m:t>G</m:t>
        </m:r>
      </m:oMath>
      <w:r>
        <w:t xml:space="preserve">).</w:t>
      </w:r>
    </w:p>
    <w:p>
      <w:pPr>
        <w:pStyle w:val="Compact"/>
        <w:numPr>
          <w:ilvl w:val="0"/>
          <w:numId w:val="19"/>
        </w:numPr>
      </w:pPr>
      <w:r>
        <w:rPr>
          <w:b/>
          <w:bCs/>
        </w:rPr>
        <w:t xml:space="preserve">Institutional isomorphism:</w:t>
      </w:r>
      <w:r>
        <w:t xml:space="preserve"> </w:t>
      </w:r>
      <w:r>
        <w:t xml:space="preserve">institutional theory</w:t>
      </w:r>
      <w:r>
        <w:t xml:space="preserve"> </w:t>
      </w:r>
      <w:r>
        <w:t xml:space="preserve">(</w:t>
      </w:r>
      <w:hyperlink w:anchor="ref-dimaggio1983">
        <w:r>
          <w:rPr>
            <w:rStyle w:val="Hipervnculo"/>
          </w:rPr>
          <w:t xml:space="preserve">DiMaggio and Powell 1983</w:t>
        </w:r>
      </w:hyperlink>
      <w:r>
        <w:t xml:space="preserve">;</w:t>
      </w:r>
      <w:r>
        <w:t xml:space="preserve"> </w:t>
      </w:r>
      <w:hyperlink w:anchor="ref-meyer1977">
        <w:r>
          <w:rPr>
            <w:rStyle w:val="Hipervnculo"/>
          </w:rPr>
          <w:t xml:space="preserve">Meyer and Rowan 1977</w:t>
        </w:r>
      </w:hyperlink>
      <w:r>
        <w:t xml:space="preserve">)</w:t>
      </w:r>
      <w:r>
        <w:t xml:space="preserve"> </w:t>
      </w:r>
      <w:r>
        <w:t xml:space="preserve">predicts that firms exposed to the same regulator and to the same peers will write in the same way, whether or not their operations have changed. Raw AI mention volume (</w:t>
      </w:r>
      <m:oMath>
        <m:r>
          <w:rPr>
            <w:sz w:val="22"/>
          </w:rPr>
          <m:t>D</m:t>
        </m:r>
      </m:oMath>
      <w:r>
        <w:t xml:space="preserve">) is the measure of that mimetic pressure.</w:t>
      </w:r>
    </w:p>
    <w:p>
      <w:pPr>
        <w:pStyle w:val="Compact"/>
        <w:numPr>
          <w:ilvl w:val="0"/>
          <w:numId w:val="19"/>
        </w:numPr>
      </w:pPr>
      <w:r>
        <w:rPr>
          <w:b/>
          <w:bCs/>
        </w:rPr>
        <w:t xml:space="preserve">Organizational decoupling:</w:t>
      </w:r>
      <w:r>
        <w:t xml:space="preserve"> </w:t>
      </w:r>
      <w:r>
        <w:t xml:space="preserve">following</w:t>
      </w:r>
      <w:r>
        <w:t xml:space="preserve"> </w:t>
      </w:r>
      <w:r>
        <w:t xml:space="preserve">Westphal and Zajac (</w:t>
      </w:r>
      <w:hyperlink w:anchor="ref-westphal1994">
        <w:r>
          <w:rPr>
            <w:rStyle w:val="Hipervnculo"/>
          </w:rPr>
          <w:t xml:space="preserve">1994</w:t>
        </w:r>
      </w:hyperlink>
      <w:r>
        <w:t xml:space="preserve">)</w:t>
      </w:r>
      <w:r>
        <w:t xml:space="preserve">,</w:t>
      </w:r>
      <w:r>
        <w:t xml:space="preserve"> </w:t>
      </w:r>
      <w:r>
        <w:t xml:space="preserve">Crilly, Zollo, and Hansen (</w:t>
      </w:r>
      <w:hyperlink w:anchor="ref-crilly2012">
        <w:r>
          <w:rPr>
            <w:rStyle w:val="Hipervnculo"/>
          </w:rPr>
          <w:t xml:space="preserve">2012</w:t>
        </w:r>
      </w:hyperlink>
      <w:r>
        <w:t xml:space="preserve">)</w:t>
      </w:r>
      <w:r>
        <w:t xml:space="preserve"> </w:t>
      </w:r>
      <w:r>
        <w:t xml:space="preserve">and</w:t>
      </w:r>
      <w:r>
        <w:t xml:space="preserve"> </w:t>
      </w:r>
      <w:r>
        <w:t xml:space="preserve">Bromley and Powell (</w:t>
      </w:r>
      <w:hyperlink w:anchor="ref-bromley2012">
        <w:r>
          <w:rPr>
            <w:rStyle w:val="Hipervnculo"/>
          </w:rPr>
          <w:t xml:space="preserve">2012</w:t>
        </w:r>
      </w:hyperlink>
      <w:r>
        <w:t xml:space="preserve">)</w:t>
      </w:r>
      <w:r>
        <w:t xml:space="preserve">, organizations often decouple their formal policy statements from what they do every day. The gap between narrative volume and documented operational activity (</w:t>
      </w:r>
      <m:oMath>
        <m:r>
          <w:rPr>
            <w:sz w:val="22"/>
          </w:rPr>
          <m:t>W</m:t>
        </m:r>
      </m:oMath>
      <w:r>
        <w:t xml:space="preserve">) measures that decoupling directly.</w:t>
      </w:r>
    </w:p>
    <w:p>
      <w:pPr>
        <w:pStyle w:val="Compact"/>
        <w:numPr>
          <w:ilvl w:val="0"/>
          <w:numId w:val="19"/>
        </w:numPr>
      </w:pPr>
      <w:r>
        <w:rPr>
          <w:b/>
          <w:bCs/>
        </w:rPr>
        <w:t xml:space="preserve">Channel liability differential:</w:t>
      </w:r>
      <w:r>
        <w:t xml:space="preserve"> </w:t>
      </w:r>
      <w:r>
        <w:t xml:space="preserve">statutory filings (Form 10-K) carry strict liability under Sections 11 and 18 of the Exchange Act, while earnings calls enjoy a wider safe harbor for forward-looking statements</w:t>
      </w:r>
      <w:r>
        <w:t xml:space="preserve"> </w:t>
      </w:r>
      <w:r>
        <w:t xml:space="preserve">(</w:t>
      </w:r>
      <w:hyperlink w:anchor="ref-frankel1999">
        <w:r>
          <w:rPr>
            <w:rStyle w:val="Hipervnculo"/>
          </w:rPr>
          <w:t xml:space="preserve">Frankel, Johnson, and Skinner 1999</w:t>
        </w:r>
      </w:hyperlink>
      <w:r>
        <w:t xml:space="preserve">;</w:t>
      </w:r>
      <w:r>
        <w:t xml:space="preserve"> </w:t>
      </w:r>
      <w:hyperlink w:anchor="ref-matsumoto2011">
        <w:r>
          <w:rPr>
            <w:rStyle w:val="Hipervnculo"/>
          </w:rPr>
          <w:t xml:space="preserve">Matsumoto, Pronk, and Roelofsen 2011</w:t>
        </w:r>
      </w:hyperlink>
      <w:r>
        <w:t xml:space="preserve">)</w:t>
      </w:r>
      <w:r>
        <w:t xml:space="preserve">. Comparing the same firm across the two venues shows how far regulatory discipline holds promotional language back.</w:t>
      </w:r>
    </w:p>
    <w:bookmarkEnd w:id="4"/>
    <w:bookmarkStart w:id="6" w:name="hypotheses-and-research-questions"/>
    <w:p>
      <w:pPr>
        <w:pStyle w:val="Ttulo2"/>
      </w:pPr>
      <w:r>
        <w:t xml:space="preserve">1.5 Hypotheses and research questions</w:t>
      </w:r>
    </w:p>
    <w:p>
      <w:pPr>
        <w:pStyle w:val="FirstParagraph"/>
      </w:pPr>
      <w:r>
        <w:rPr>
          <w:b/>
          <w:bCs/>
        </w:rPr>
        <w:t xml:space="preserve">Main hypothesis.</w:t>
      </w:r>
      <w:r>
        <w:t xml:space="preserve"> </w:t>
      </w:r>
      <w:r>
        <w:t xml:space="preserve">Beyond raw narrative volume alone, corporate disclosure posture and grounded operational substance carry incremental information about firm operating characteristics (H-operational) and market risk (H-market).</w:t>
      </w:r>
    </w:p>
    <w:p>
      <w:pPr>
        <w:pStyle w:val="Textoindependiente"/>
      </w:pPr>
      <w:r>
        <w:t xml:space="preserve">Four research questions guide the empirical tests:</w:t>
      </w:r>
    </w:p>
    <w:bookmarkStart w:id="7" w:name="tbl-rq-theory"/>
    <w:p>
      <w:pPr>
        <w:keepNext/>
        <w:pStyle w:val="ImageCaption"/>
        <w:jc w:val="left"/>
        <w:spacing w:before="200"/>
        <w:ind w:firstLine="0" w:left="0" w:right="0"/>
      </w:pPr>
      <w:r>
        <w:t xml:space="preserve">Table 1: Research questions, theoretical mechanisms, and expected outcomes.</w:t>
      </w:r>
    </w:p>
    <w:tbl>
      <w:tblPr>
        <w:tblStyle w:val="Table"/>
        <w:tblW w:type="pct" w:w="5000"/>
        <w:jc w:val="center"/>
        <w:tblLayout w:type="fixed"/>
        <w:tblLook w:firstRow="1" w:lastRow="0" w:firstColumn="0" w:lastColumn="0" w:noHBand="0" w:noVBand="0" w:val="0020"/>
        <w:tblBorders>
          <w:top w:val="single" w:sz="8" w:space="0" w:color="0F172A"/>
          <w:bottom w:val="single" w:sz="8" w:space="0" w:color="0F172A"/>
          <w:left w:val="none"/>
          <w:right w:val="none"/>
          <w:insideH w:val="single" w:sz="4" w:space="0" w:color="E2E8F0"/>
          <w:insideV w:val="none"/>
        </w:tblBorders>
        <w:tblCellMar>
          <w:top w:w="26" w:type="dxa"/>
          <w:bottom w:w="26" w:type="dxa"/>
          <w:left w:w="48" w:type="dxa"/>
          <w:right w:w="48" w:type="dxa"/>
        </w:tblCellMar>
      </w:tblPr>
      <w:tblGrid>
        <w:gridCol w:w="2640"/>
        <w:gridCol w:w="2640"/>
        <w:gridCol w:w="2640"/>
      </w:tblGrid>
      <w:tr>
        <w:trPr>
          <w:tblHeader w:val="on"/>
          <w:cantSplit/>
          <w:tblHeader/>
        </w:trPr>
        <w:tc>
          <w:tcPr>
            <w:shd w:fill="F1F5F9"/>
            <w:tcBorders>
              <w:bottom w:val="single" w:sz="8" w:space="0" w:color="475569"/>
            </w:tcBorders>
          </w:tcPr>
          <w:p>
            <w:pPr>
              <w:pStyle w:val="Compact"/>
              <w:keepNext/>
              <w:spacing w:before="8" w:after="8" w:line="240" w:lineRule="auto"/>
              <w:ind w:firstLine="0" w:left="0" w:right="0"/>
              <w:jc w:val="left"/>
            </w:pPr>
            <w:r>
              <w:rPr>
                <w:rFonts w:ascii="Calibri" w:hAnsi="Calibri"/>
                <w:b/>
                <w:color w:val="0F172A"/>
                <w:sz w:val="16"/>
              </w:rPr>
              <w:t xml:space="preserve">RQ</w:t>
            </w:r>
          </w:p>
        </w:tc>
        <w:tc>
          <w:tcPr>
            <w:shd w:fill="F1F5F9"/>
            <w:tcBorders>
              <w:bottom w:val="single" w:sz="8" w:space="0" w:color="475569"/>
            </w:tcBorders>
          </w:tcPr>
          <w:p>
            <w:pPr>
              <w:pStyle w:val="Compact"/>
              <w:keepNext/>
              <w:spacing w:before="8" w:after="8" w:line="240" w:lineRule="auto"/>
              <w:ind w:firstLine="0" w:left="0" w:right="0"/>
              <w:jc w:val="left"/>
            </w:pPr>
            <w:r>
              <w:rPr>
                <w:rFonts w:ascii="Calibri" w:hAnsi="Calibri"/>
                <w:b/>
                <w:color w:val="0F172A"/>
                <w:sz w:val="16"/>
              </w:rPr>
              <w:t xml:space="preserve">Theoretical mechanism</w:t>
            </w:r>
          </w:p>
        </w:tc>
        <w:tc>
          <w:tcPr>
            <w:shd w:fill="F1F5F9"/>
            <w:tcBorders>
              <w:bottom w:val="single" w:sz="8" w:space="0" w:color="475569"/>
            </w:tcBorders>
          </w:tcPr>
          <w:p>
            <w:pPr>
              <w:pStyle w:val="Compact"/>
              <w:keepNext/>
              <w:spacing w:before="8" w:after="8" w:line="240" w:lineRule="auto"/>
              <w:ind w:firstLine="0" w:left="0" w:right="0"/>
              <w:jc w:val="left"/>
            </w:pPr>
            <w:r>
              <w:rPr>
                <w:rFonts w:ascii="Calibri" w:hAnsi="Calibri"/>
                <w:b/>
                <w:color w:val="0F172A"/>
                <w:sz w:val="16"/>
              </w:rPr>
              <w:t xml:space="preserve">Expected outcome</w:t>
            </w:r>
          </w:p>
        </w:tc>
      </w:tr>
      <w:tr>
        <w:trPr>
          <w:cantSplit/>
        </w:trPr>
        <w:tc>
          <w:tcPr/>
          <w:p>
            <w:pPr>
              <w:pStyle w:val="Compact"/>
              <w:keepNext/>
              <w:spacing w:before="8" w:after="8" w:line="240" w:lineRule="auto"/>
              <w:ind w:firstLine="0" w:left="0" w:right="0"/>
              <w:jc w:val="left"/>
            </w:pPr>
            <w:r>
              <w:rPr>
                <w:rFonts w:ascii="Calibri" w:hAnsi="Calibri"/>
                <w:b/>
                <w:bCs/>
                <w:sz w:val="16"/>
              </w:rPr>
              <w:t xml:space="preserve">RQ1: Evolution and composition</w:t>
            </w:r>
          </w:p>
        </w:tc>
        <w:tc>
          <w:tcPr/>
          <w:p>
            <w:pPr>
              <w:pStyle w:val="Compact"/>
              <w:keepNext/>
              <w:spacing w:before="8" w:after="8" w:line="240" w:lineRule="auto"/>
              <w:ind w:firstLine="0" w:left="0" w:right="0"/>
              <w:jc w:val="left"/>
            </w:pPr>
            <w:r>
              <w:rPr>
                <w:rFonts w:ascii="Calibri" w:hAnsi="Calibri"/>
                <w:sz w:val="16"/>
              </w:rPr>
              <w:t xml:space="preserve">Institutional isomorphism</w:t>
            </w:r>
            <w:r>
              <w:rPr>
                <w:rFonts w:ascii="Calibri" w:hAnsi="Calibri"/>
                <w:sz w:val="16"/>
              </w:rPr>
              <w:t xml:space="preserve"> </w:t>
            </w:r>
            <w:r>
              <w:rPr>
                <w:rFonts w:ascii="Calibri" w:hAnsi="Calibri"/>
                <w:sz w:val="16"/>
              </w:rPr>
              <w:t xml:space="preserve">(</w:t>
            </w:r>
            <w:hyperlink w:anchor="ref-dimaggio1983">
              <w:r>
                <w:rPr>
                  <w:rStyle w:val="Hipervnculo"/>
                  <w:rFonts w:ascii="Calibri" w:hAnsi="Calibri"/>
                  <w:sz w:val="16"/>
                </w:rPr>
                <w:t xml:space="preserve">DiMaggio and Powell 1983</w:t>
              </w:r>
            </w:hyperlink>
            <w:r>
              <w:rPr>
                <w:rFonts w:ascii="Calibri" w:hAnsi="Calibri"/>
                <w:sz w:val="16"/>
              </w:rPr>
              <w:t xml:space="preserve">)</w:t>
            </w:r>
          </w:p>
        </w:tc>
        <w:tc>
          <w:tcPr/>
          <w:p>
            <w:pPr>
              <w:pStyle w:val="Compact"/>
              <w:keepNext/>
              <w:spacing w:before="8" w:after="8" w:line="240" w:lineRule="auto"/>
              <w:ind w:firstLine="0" w:left="0" w:right="0"/>
              <w:jc w:val="left"/>
            </w:pPr>
            <w:r>
              <w:rPr>
                <w:rFonts w:ascii="Calibri" w:hAnsi="Calibri"/>
                <w:sz w:val="16"/>
              </w:rPr>
              <w:t xml:space="preserve">AI narrative volume diffuses rapidly across all sectors, whereas concrete, verifiable activities expand at a substantially slower rate.</w:t>
            </w:r>
          </w:p>
        </w:tc>
      </w:tr>
      <w:tr>
        <w:trPr>
          <w:cantSplit/>
        </w:trPr>
        <w:tc>
          <w:tcPr/>
          <w:p>
            <w:pPr>
              <w:pStyle w:val="Compact"/>
              <w:keepNext/>
              <w:spacing w:before="8" w:after="8" w:line="240" w:lineRule="auto"/>
              <w:ind w:firstLine="0" w:left="0" w:right="0"/>
              <w:jc w:val="left"/>
            </w:pPr>
            <w:r>
              <w:rPr>
                <w:rFonts w:ascii="Calibri" w:hAnsi="Calibri"/>
                <w:b/>
                <w:bCs/>
                <w:sz w:val="16"/>
              </w:rPr>
              <w:t xml:space="preserve">RQ2: Strategic heterogeneity</w:t>
            </w:r>
          </w:p>
        </w:tc>
        <w:tc>
          <w:tcPr/>
          <w:p>
            <w:pPr>
              <w:pStyle w:val="Compact"/>
              <w:keepNext/>
              <w:spacing w:before="8" w:after="8" w:line="240" w:lineRule="auto"/>
              <w:ind w:firstLine="0" w:left="0" w:right="0"/>
              <w:jc w:val="left"/>
            </w:pPr>
            <w:r>
              <w:rPr>
                <w:rFonts w:ascii="Calibri" w:hAnsi="Calibri"/>
                <w:sz w:val="16"/>
              </w:rPr>
              <w:t xml:space="preserve">Signalling theory</w:t>
            </w:r>
            <w:r>
              <w:rPr>
                <w:rFonts w:ascii="Calibri" w:hAnsi="Calibri"/>
                <w:sz w:val="16"/>
              </w:rPr>
              <w:t xml:space="preserve"> </w:t>
            </w:r>
            <w:r>
              <w:rPr>
                <w:rFonts w:ascii="Calibri" w:hAnsi="Calibri"/>
                <w:sz w:val="16"/>
              </w:rPr>
              <w:t xml:space="preserve">(</w:t>
            </w:r>
            <w:hyperlink w:anchor="ref-spence1973">
              <w:r>
                <w:rPr>
                  <w:rStyle w:val="Hipervnculo"/>
                  <w:rFonts w:ascii="Calibri" w:hAnsi="Calibri"/>
                  <w:sz w:val="16"/>
                </w:rPr>
                <w:t xml:space="preserve">Spence 1973</w:t>
              </w:r>
            </w:hyperlink>
            <w:r>
              <w:rPr>
                <w:rFonts w:ascii="Calibri" w:hAnsi="Calibri"/>
                <w:sz w:val="16"/>
              </w:rPr>
              <w:t xml:space="preserve">)</w:t>
            </w:r>
            <w:r>
              <w:rPr>
                <w:rFonts w:ascii="Calibri" w:hAnsi="Calibri"/>
                <w:sz w:val="16"/>
              </w:rPr>
              <w:t xml:space="preserve"> </w:t>
            </w:r>
            <w:r>
              <w:rPr>
                <w:rFonts w:ascii="Calibri" w:hAnsi="Calibri"/>
                <w:sz w:val="16"/>
              </w:rPr>
              <w:t xml:space="preserve">&amp; organizational configurations</w:t>
            </w:r>
          </w:p>
        </w:tc>
        <w:tc>
          <w:tcPr/>
          <w:p>
            <w:pPr>
              <w:pStyle w:val="Compact"/>
              <w:keepNext/>
              <w:spacing w:before="8" w:after="8" w:line="240" w:lineRule="auto"/>
              <w:ind w:firstLine="0" w:left="0" w:right="0"/>
              <w:jc w:val="left"/>
            </w:pPr>
            <w:r>
              <w:rPr>
                <w:rFonts w:ascii="Calibri" w:hAnsi="Calibri"/>
                <w:sz w:val="16"/>
              </w:rPr>
              <w:t xml:space="preserve">Stable communication archetypes emerge, where disclosure posture predicts verified operational activity and firm fundamentals beyond raw volume.</w:t>
            </w:r>
          </w:p>
        </w:tc>
      </w:tr>
      <w:tr>
        <w:trPr>
          <w:cantSplit/>
        </w:trPr>
        <w:tc>
          <w:tcPr/>
          <w:p>
            <w:pPr>
              <w:pStyle w:val="Compact"/>
              <w:keepNext/>
              <w:spacing w:before="8" w:after="8" w:line="240" w:lineRule="auto"/>
              <w:ind w:firstLine="0" w:left="0" w:right="0"/>
              <w:jc w:val="left"/>
            </w:pPr>
            <w:r>
              <w:rPr>
                <w:rFonts w:ascii="Calibri" w:hAnsi="Calibri"/>
                <w:b/>
                <w:bCs/>
                <w:sz w:val="16"/>
              </w:rPr>
              <w:t xml:space="preserve">RQ3: Decoupling and venue divergence</w:t>
            </w:r>
          </w:p>
        </w:tc>
        <w:tc>
          <w:tcPr/>
          <w:p>
            <w:pPr>
              <w:pStyle w:val="Compact"/>
              <w:keepNext/>
              <w:spacing w:before="8" w:after="8" w:line="240" w:lineRule="auto"/>
              <w:ind w:firstLine="0" w:left="0" w:right="0"/>
              <w:jc w:val="left"/>
            </w:pPr>
            <w:r>
              <w:rPr>
                <w:rFonts w:ascii="Calibri" w:hAnsi="Calibri"/>
                <w:sz w:val="16"/>
              </w:rPr>
              <w:t xml:space="preserve">Organizational decoupling</w:t>
            </w:r>
            <w:r>
              <w:rPr>
                <w:rFonts w:ascii="Calibri" w:hAnsi="Calibri"/>
                <w:sz w:val="16"/>
              </w:rPr>
              <w:t xml:space="preserve"> </w:t>
            </w:r>
            <w:r>
              <w:rPr>
                <w:rFonts w:ascii="Calibri" w:hAnsi="Calibri"/>
                <w:sz w:val="16"/>
              </w:rPr>
              <w:t xml:space="preserve">(</w:t>
            </w:r>
            <w:hyperlink w:anchor="ref-crilly2012">
              <w:r>
                <w:rPr>
                  <w:rStyle w:val="Hipervnculo"/>
                  <w:rFonts w:ascii="Calibri" w:hAnsi="Calibri"/>
                  <w:sz w:val="16"/>
                </w:rPr>
                <w:t xml:space="preserve">Crilly, Zollo, and Hansen 2012</w:t>
              </w:r>
            </w:hyperlink>
            <w:r>
              <w:rPr>
                <w:rFonts w:ascii="Calibri" w:hAnsi="Calibri"/>
                <w:sz w:val="16"/>
              </w:rPr>
              <w:t xml:space="preserve">)</w:t>
            </w:r>
            <w:r>
              <w:rPr>
                <w:rFonts w:ascii="Calibri" w:hAnsi="Calibri"/>
                <w:sz w:val="16"/>
              </w:rPr>
              <w:t xml:space="preserve"> </w:t>
            </w:r>
            <w:r>
              <w:rPr>
                <w:rFonts w:ascii="Calibri" w:hAnsi="Calibri"/>
                <w:sz w:val="16"/>
              </w:rPr>
              <w:t xml:space="preserve">&amp; channel liability</w:t>
            </w:r>
            <w:r>
              <w:rPr>
                <w:rFonts w:ascii="Calibri" w:hAnsi="Calibri"/>
                <w:sz w:val="16"/>
              </w:rPr>
              <w:t xml:space="preserve"> </w:t>
            </w:r>
            <w:r>
              <w:rPr>
                <w:rFonts w:ascii="Calibri" w:hAnsi="Calibri"/>
                <w:sz w:val="16"/>
              </w:rPr>
              <w:t xml:space="preserve">(</w:t>
            </w:r>
            <w:hyperlink w:anchor="ref-frankel1999">
              <w:r>
                <w:rPr>
                  <w:rStyle w:val="Hipervnculo"/>
                  <w:rFonts w:ascii="Calibri" w:hAnsi="Calibri"/>
                  <w:sz w:val="16"/>
                </w:rPr>
                <w:t xml:space="preserve">Frankel, Johnson, and Skinner 1999</w:t>
              </w:r>
            </w:hyperlink>
            <w:r>
              <w:rPr>
                <w:rFonts w:ascii="Calibri" w:hAnsi="Calibri"/>
                <w:sz w:val="16"/>
              </w:rPr>
              <w:t xml:space="preserve">)</w:t>
            </w:r>
          </w:p>
        </w:tc>
        <w:tc>
          <w:tcPr/>
          <w:p>
            <w:pPr>
              <w:pStyle w:val="Compact"/>
              <w:keepNext/>
              <w:spacing w:before="8" w:after="8" w:line="240" w:lineRule="auto"/>
              <w:ind w:firstLine="0" w:left="0" w:right="0"/>
              <w:jc w:val="left"/>
            </w:pPr>
            <w:r>
              <w:rPr>
                <w:rFonts w:ascii="Calibri" w:hAnsi="Calibri"/>
                <w:sz w:val="16"/>
              </w:rPr>
              <w:t xml:space="preserve">Unbacked promotional claims appear more heavily in voluntary earnings calls than in statutory filings, with regulatory scrutiny compressing this gap.</w:t>
            </w:r>
          </w:p>
        </w:tc>
      </w:tr>
      <w:tr>
        <w:trPr>
          <w:cantSplit/>
        </w:trPr>
        <w:tc>
          <w:tcPr/>
          <w:p>
            <w:pPr>
              <w:pStyle w:val="Compact"/>
              <w:spacing w:before="8" w:after="8" w:line="240" w:lineRule="auto"/>
              <w:ind w:firstLine="0" w:left="0" w:right="0"/>
              <w:jc w:val="left"/>
            </w:pPr>
            <w:r>
              <w:rPr>
                <w:rFonts w:ascii="Calibri" w:hAnsi="Calibri"/>
                <w:b/>
                <w:bCs/>
                <w:sz w:val="16"/>
              </w:rPr>
              <w:t xml:space="preserve">RQ4: Capital market pricing</w:t>
            </w:r>
          </w:p>
        </w:tc>
        <w:tc>
          <w:tcPr/>
          <w:p>
            <w:pPr>
              <w:pStyle w:val="Compact"/>
              <w:spacing w:before="8" w:after="8" w:line="240" w:lineRule="auto"/>
              <w:ind w:firstLine="0" w:left="0" w:right="0"/>
              <w:jc w:val="left"/>
            </w:pPr>
            <w:r>
              <w:rPr>
                <w:rFonts w:ascii="Calibri" w:hAnsi="Calibri"/>
                <w:sz w:val="16"/>
              </w:rPr>
              <w:t xml:space="preserve">Costly signalling</w:t>
            </w:r>
            <w:r>
              <w:rPr>
                <w:rFonts w:ascii="Calibri" w:hAnsi="Calibri"/>
                <w:sz w:val="16"/>
              </w:rPr>
              <w:t xml:space="preserve"> </w:t>
            </w:r>
            <w:r>
              <w:rPr>
                <w:rFonts w:ascii="Calibri" w:hAnsi="Calibri"/>
                <w:sz w:val="16"/>
              </w:rPr>
              <w:t xml:space="preserve">(</w:t>
            </w:r>
            <w:hyperlink w:anchor="ref-crawford1982">
              <w:r>
                <w:rPr>
                  <w:rStyle w:val="Hipervnculo"/>
                  <w:rFonts w:ascii="Calibri" w:hAnsi="Calibri"/>
                  <w:sz w:val="16"/>
                </w:rPr>
                <w:t xml:space="preserve">Crawford and Sobel 1982</w:t>
              </w:r>
            </w:hyperlink>
            <w:r>
              <w:rPr>
                <w:rFonts w:ascii="Calibri" w:hAnsi="Calibri"/>
                <w:sz w:val="16"/>
              </w:rPr>
              <w:t xml:space="preserve">;</w:t>
            </w:r>
            <w:r>
              <w:rPr>
                <w:rFonts w:ascii="Calibri" w:hAnsi="Calibri"/>
                <w:sz w:val="16"/>
              </w:rPr>
              <w:t xml:space="preserve"> </w:t>
            </w:r>
            <w:hyperlink w:anchor="ref-rogers2011">
              <w:r>
                <w:rPr>
                  <w:rStyle w:val="Hipervnculo"/>
                  <w:rFonts w:ascii="Calibri" w:hAnsi="Calibri"/>
                  <w:sz w:val="16"/>
                </w:rPr>
                <w:t xml:space="preserve">Rogers, Van Buskirk, and Zechman 2011</w:t>
              </w:r>
            </w:hyperlink>
            <w:r>
              <w:rPr>
                <w:rFonts w:ascii="Calibri" w:hAnsi="Calibri"/>
                <w:sz w:val="16"/>
              </w:rPr>
              <w:t xml:space="preserve">)</w:t>
            </w:r>
          </w:p>
        </w:tc>
        <w:tc>
          <w:tcPr/>
          <w:p>
            <w:pPr>
              <w:pStyle w:val="Compact"/>
              <w:spacing w:before="8" w:after="8" w:line="240" w:lineRule="auto"/>
              <w:ind w:firstLine="0" w:left="0" w:right="0"/>
              <w:jc w:val="left"/>
            </w:pPr>
            <w:r>
              <w:rPr>
                <w:rFonts w:ascii="Calibri" w:hAnsi="Calibri"/>
                <w:sz w:val="16"/>
              </w:rPr>
              <w:t xml:space="preserve">Markets price accumulated decoupling, cumulative disclosure intensity, and a governance-weighted posture into systematic risk (beta) rather than reacting to unverified single-quarter narrative volume.</w:t>
            </w:r>
          </w:p>
        </w:tc>
      </w:tr>
    </w:tbl>
    <w:bookmarkEnd w:id="5"/>
    <w:p/>
    <w:bookmarkEnd w:id="6"/>
    <w:bookmarkStart w:id="8" w:name="methodology-overview"/>
    <w:p>
      <w:pPr>
        <w:keepNext/>
        <w:pStyle w:val="Ttulo2"/>
      </w:pPr>
      <w:r>
        <w:t xml:space="preserve">1.6 Methodology overview</w:t>
      </w:r>
    </w:p>
    <w:tbl xmlns:a="http://schemas.openxmlformats.org/drawingml/2006/main" xmlns:pic="http://schemas.openxmlformats.org/drawingml/2006/picture">
      <w:tblPr>
        <w:tblStyle w:val="Table"/>
        <w:tblW w:type="pct" w:w="5000"/>
        <w:tblLayout w:type="fixed"/>
        <w:tblLook w:firstRow="0" w:lastRow="0" w:firstColumn="0" w:lastColumn="0" w:noHBand="0" w:noVBand="0" w:val="0000"/>
        <w:tblBorders>
          <w:top w:val="none"/>
          <w:left w:val="none"/>
          <w:bottom w:val="none"/>
          <w:right w:val="none"/>
          <w:insideH w:val="none"/>
          <w:insideV w:val="none"/>
        </w:tblBorders>
      </w:tblPr>
      <w:tblGrid>
        <w:gridCol w:w="7920"/>
      </w:tblGrid>
      <w:tr>
        <w:trPr>
          <w:cantSplit/>
        </w:trPr>
        <w:tc>
          <w:tcPr/>
          <w:bookmarkStart w:id="9" w:name="fig-pipeline-architecture"/>
          <w:p>
            <w:pPr>
              <w:pStyle w:val="Compact"/>
              <w:jc w:val="center"/>
              <w:ind w:firstLine="0" w:left="0" w:right="0"/>
            </w:pPr>
            <w:r>
              <w:drawing>
                <wp:inline>
                  <wp:extent cx="5760085" cy="1678653"/>
                  <wp:effectExtent b="0" l="0" r="0" t="0"/>
                  <wp:docPr descr="" title="" id="1" name="Picture"/>
                  <a:graphic>
                    <a:graphicData uri="http://schemas.openxmlformats.org/drawingml/2006/picture">
                      <pic:pic>
                        <pic:nvPicPr>
                          <pic:cNvPr descr="svgs/pipeline_diagrama.svg" id="1" name="Picture"/>
                          <pic:cNvPicPr>
                            <a:picLocks noChangeArrowheads="1" noChangeAspect="1"/>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5760085" cy="1678653"/>
                          </a:xfrm>
                          <a:prstGeom prst="rect">
                            <a:avLst/>
                          </a:prstGeom>
                          <a:noFill/>
                          <a:ln w="9525">
                            <a:noFill/>
                            <a:headEnd/>
                            <a:tailEnd/>
                          </a:ln>
                        </pic:spPr>
                      </pic:pic>
                    </a:graphicData>
                  </a:graphic>
                </wp:inline>
              </w:drawing>
            </w:r>
          </w:p>
          <w:p>
            <w:pPr>
              <w:pStyle w:val="ImageCaption"/>
              <w:jc w:val="left"/>
              <w:spacing w:before="200"/>
              <w:ind w:firstLine="0" w:left="0" w:right="0"/>
            </w:pPr>
            <w:r>
              <w:t xml:space="preserve">Figure 1: End-to-end data acquisition, inference, and multi-source fusion pipeline.</w:t>
            </w:r>
          </w:p>
          <w:bookmarkEnd w:id="7"/>
        </w:tc>
      </w:tr>
    </w:tbl>
    <w:p>
      <w:pPr>
        <w:pStyle w:val="Textoindependiente"/>
      </w:pPr>
      <w:r>
        <w:t xml:space="preserve">The pipeline transforms corporate disclosures into six constructs (</w:t>
      </w:r>
      <m:oMath>
        <m:r>
          <w:rPr>
            <w:sz w:val="22"/>
          </w:rPr>
          <m:t>D</m:t>
        </m:r>
        <m:r>
          <m:rPr>
            <m:sty m:val="p"/>
          </m:rPr>
          <w:rPr>
            <w:sz w:val="22"/>
          </w:rPr>
          <m:t>,</m:t>
        </m:r>
        <m:r>
          <w:rPr>
            <w:sz w:val="22"/>
          </w:rPr>
          <m:t>P</m:t>
        </m:r>
        <m:r>
          <m:rPr>
            <m:sty m:val="p"/>
          </m:rPr>
          <w:rPr>
            <w:sz w:val="22"/>
          </w:rPr>
          <m:t>,</m:t>
        </m:r>
        <m:r>
          <w:rPr>
            <w:sz w:val="22"/>
          </w:rPr>
          <m:t>A</m:t>
        </m:r>
        <m:r>
          <m:rPr>
            <m:sty m:val="p"/>
          </m:rPr>
          <w:rPr>
            <w:sz w:val="22"/>
          </w:rPr>
          <m:t>,</m:t>
        </m:r>
        <m:r>
          <w:rPr>
            <w:sz w:val="22"/>
          </w:rPr>
          <m:t>G</m:t>
        </m:r>
        <m:r>
          <m:rPr>
            <m:sty m:val="p"/>
          </m:rPr>
          <w:rPr>
            <w:sz w:val="22"/>
          </w:rPr>
          <m:t>,</m:t>
        </m:r>
        <m:r>
          <w:rPr>
            <w:sz w:val="22"/>
          </w:rPr>
          <m:t>S</m:t>
        </m:r>
        <m:r>
          <m:rPr>
            <m:sty m:val="p"/>
          </m:rPr>
          <w:rPr>
            <w:sz w:val="22"/>
          </w:rPr>
          <m:t>,</m:t>
        </m:r>
        <m:r>
          <w:rPr>
            <w:sz w:val="22"/>
          </w:rPr>
          <m:t>W</m:t>
        </m:r>
      </m:oMath>
      <w:r>
        <w:t xml:space="preserve">) using deduplication, supervised screening and zero-shot LLM extraction (</w:t>
      </w:r>
      <w:hyperlink w:anchor="fig-pipeline-architecture">
        <w:r>
          <w:rPr>
            <w:rStyle w:val="Hipervnculo"/>
          </w:rPr>
          <w:t xml:space="preserve">Figure 1</w:t>
        </w:r>
      </w:hyperlink>
      <w:r>
        <w:t xml:space="preserve">). They support four analyses: disclosure strategies and activity portfolios; narrative–substance gaps and within-firm channel differences; changes around regulatory and technological events; and associations with subsequent market and accounting outcomes, controlling for prior outcomes, firm characteristics, and sector and year fixed effects.</w:t>
      </w:r>
      <w:r>
        <w:t xml:space="preserve"> </w:t>
      </w:r>
      <w:hyperlink w:anchor="appendix-a">
        <w:r>
          <w:rPr>
            <w:rStyle w:val="Hipervnculo"/>
          </w:rPr>
          <w:t xml:space="preserve">Appendix A</w:t>
        </w:r>
      </w:hyperlink>
      <w:r>
        <w:t xml:space="preserve"> </w:t>
      </w:r>
      <w:r>
        <w:t xml:space="preserve">details acquisition, extraction and aggregation.</w:t>
      </w:r>
    </w:p>
    <w:p>
      <w:pPr>
        <w:pStyle w:val="Textoindependiente"/>
      </w:pPr>
      <w:r>
        <w:rPr>
          <w:i/>
          <w:iCs/>
        </w:rPr>
        <w:t xml:space="preserve">Code and data availability.</w:t>
      </w:r>
      <w:r>
        <w:t xml:space="preserve"> </w:t>
      </w:r>
      <w:r>
        <w:t xml:space="preserve">Code and extraction prompts are available on GitHub</w:t>
      </w:r>
      <w:r>
        <w:t xml:space="preserve"> </w:t>
      </w:r>
      <w:r>
        <w:t xml:space="preserve">(</w:t>
      </w:r>
      <w:hyperlink w:anchor="ref-oviedo2026code">
        <w:r>
          <w:rPr>
            <w:rStyle w:val="Hipervnculo"/>
          </w:rPr>
          <w:t xml:space="preserve">Oviedo 2026c</w:t>
        </w:r>
      </w:hyperlink>
      <w:r>
        <w:t xml:space="preserve">)</w:t>
      </w:r>
      <w:r>
        <w:t xml:space="preserve">; derived datasets and fitted models are on Hugging Face Datasets</w:t>
      </w:r>
      <w:r>
        <w:t xml:space="preserve"> </w:t>
      </w:r>
      <w:r>
        <w:t xml:space="preserve">(</w:t>
      </w:r>
      <w:hyperlink w:anchor="ref-oviedo2026data">
        <w:r>
          <w:rPr>
            <w:rStyle w:val="Hipervnculo"/>
          </w:rPr>
          <w:t xml:space="preserve">Oviedo 2026a</w:t>
        </w:r>
      </w:hyperlink>
      <w:r>
        <w:t xml:space="preserve">)</w:t>
      </w:r>
      <w:r>
        <w:t xml:space="preserve"> </w:t>
      </w:r>
      <w:r>
        <w:t xml:space="preserve">and Models</w:t>
      </w:r>
      <w:r>
        <w:t xml:space="preserve"> </w:t>
      </w:r>
      <w:r>
        <w:t xml:space="preserve">(</w:t>
      </w:r>
      <w:hyperlink w:anchor="ref-oviedo2026models">
        <w:r>
          <w:rPr>
            <w:rStyle w:val="Hipervnculo"/>
          </w:rPr>
          <w:t xml:space="preserve">Oviedo 2026b</w:t>
        </w:r>
      </w:hyperlink>
      <w:r>
        <w:t xml:space="preserve">)</w:t>
      </w:r>
      <w:r>
        <w:t xml:space="preserve">, respectively. Releases and revisions are pinned to this thesis version; licensed transcripts are excluded.</w:t>
      </w:r>
      <w:r>
        <w:t xml:space="preserve"> </w:t>
      </w:r>
      <w:hyperlink w:anchor="appendix-a6">
        <w:r>
          <w:rPr>
            <w:rStyle w:val="Hipervnculo"/>
          </w:rPr>
          <w:t xml:space="preserve">Appendix A.6</w:t>
        </w:r>
      </w:hyperlink>
      <w:r>
        <w:t xml:space="preserve"> </w:t>
      </w:r>
      <w:r>
        <w:t xml:space="preserve">documents extraction, and the README provides reproduction instructions.</w:t>
      </w:r>
    </w:p>
    <w:p>
      <w:pPr>
        <w:pStyle w:val="Textoindependiente"/>
      </w:pPr>
      <w:r>
        <w:t xml:space="preserve">The subsequent chapters follow this architecture: Chapters 2 through 5 present the empirical progression from disclosure postures and operational activities to cross-venue credibility and capital-market pricing; Chapter 6 translates these empirical constructs into an operational due-diligence framework for issuers and allocators; Chapter 7 concludes.</w:t>
      </w:r>
    </w:p>
    <w:bookmarkEnd w:id="8"/>
    <w:bookmarkEnd w:id="9"/>
    <w:bookmarkStart w:id="10" w:name="corporate-ai-disclosure-strategies"/>
    <w:p>
      <w:pPr>
        <w:pStyle w:val="Ttulo1"/>
      </w:pPr>
      <w:r>
        <w:rPr>
          <w:caps/>
          <w:smallCaps w:val="0"/>
        </w:rPr>
        <w:t xml:space="preserve">2. Corporate AI Disclosure Strategies</w:t>
      </w:r>
    </w:p>
    <w:p>
      <w:pPr>
        <w:pStyle w:val="FirstParagraph"/>
      </w:pPr>
      <w:r>
        <w:t xml:space="preserve">How did corporate communication about artificial intelligence change as the technology went mainstream, and do firms write in the same way or in different ways? This chapter lays the empirical foundation for the thesis. It fixes the S&amp;P 500 study universe, presents the multi-source disclosure corpus, sets out the measurement architecture that turns narrative text into six analytical constructs, traces diffusion across the market from 2021 to 2026, and identifies the communication postures that recur among large-cap firms.</w:t>
      </w:r>
    </w:p>
    <w:bookmarkStart w:id="11" w:name="study-universe-and-data"/>
    <w:p>
      <w:pPr>
        <w:pStyle w:val="Ttulo2"/>
      </w:pPr>
      <w:r>
        <w:t xml:space="preserve">2.1 Study universe and data</w:t>
      </w:r>
    </w:p>
    <w:p>
      <w:pPr>
        <w:keepNext/>
        <w:pStyle w:val="FirstParagraph"/>
      </w:pPr>
      <w:r>
        <w:t xml:space="preserve">The study universe is the S&amp;P 500 as it stood on January 1, 2021 (499 unique issuers), followed over six annual reporting cycles (2021–2026). Fixing the cohort before generative AI was commercially available gives a clean baseline of large-cap U.S. firms and avoids look-ahead selection: a universe taken from a later roster would over-sample the technology winners that entered the index on post-2022 market capitalization. Against survivorship bias, the 39 firms later acquired or delisted stay in the panel up to their exit date. In total 498 firms have processed narrative records, 471 disclose concrete operational AI activities, and 465 firms form a balanced panel observed in all six years.</w:t>
      </w:r>
    </w:p>
    <w:tbl xmlns:a="http://schemas.openxmlformats.org/drawingml/2006/main" xmlns:pic="http://schemas.openxmlformats.org/drawingml/2006/picture">
      <w:tblPr>
        <w:tblStyle w:val="Table"/>
        <w:tblW w:type="pct" w:w="5000"/>
        <w:tblLayout w:type="fixed"/>
        <w:tblLook w:firstRow="0" w:lastRow="0" w:firstColumn="0" w:lastColumn="0" w:noHBand="0" w:noVBand="0" w:val="0000"/>
        <w:tblBorders>
          <w:top w:val="none"/>
          <w:left w:val="none"/>
          <w:bottom w:val="none"/>
          <w:right w:val="none"/>
          <w:insideH w:val="none"/>
          <w:insideV w:val="none"/>
        </w:tblBorders>
      </w:tblPr>
      <w:tblGrid>
        <w:gridCol w:w="7920"/>
      </w:tblGrid>
      <w:tr>
        <w:trPr>
          <w:cantSplit/>
        </w:trPr>
        <w:tc>
          <w:tcPr/>
          <w:bookmarkStart w:id="12" w:name="fig-sic-distribution"/>
          <w:p>
            <w:pPr>
              <w:pStyle w:val="Compact"/>
              <w:jc w:val="center"/>
              <w:ind w:firstLine="0" w:left="0" w:right="0"/>
            </w:pPr>
            <w:r>
              <w:drawing>
                <wp:inline>
                  <wp:extent cx="5760085" cy="4153786"/>
                  <wp:effectExtent b="0" l="0" r="0" t="0"/>
                  <wp:docPr descr="" title="" id="2" name="Picture"/>
                  <a:graphic>
                    <a:graphicData uri="http://schemas.openxmlformats.org/drawingml/2006/picture">
                      <pic:pic>
                        <pic:nvPicPr>
                          <pic:cNvPr descr="thesis_files/figure-docx/fig-sic-distribution-output-1.png" id="2" name="Picture"/>
                          <pic:cNvPicPr>
                            <a:picLocks noChangeArrowheads="1" noChangeAspect="1"/>
                          </pic:cNvPicPr>
                        </pic:nvPicPr>
                        <pic:blipFill>
                          <a:blip r:embed="rId23"/>
                          <a:stretch>
                            <a:fillRect/>
                          </a:stretch>
                        </pic:blipFill>
                        <pic:spPr bwMode="auto">
                          <a:xfrm>
                            <a:off x="0" y="0"/>
                            <a:ext cx="5760085" cy="4153786"/>
                          </a:xfrm>
                          <a:prstGeom prst="rect">
                            <a:avLst/>
                          </a:prstGeom>
                          <a:noFill/>
                          <a:ln w="9525">
                            <a:noFill/>
                            <a:headEnd/>
                            <a:tailEnd/>
                          </a:ln>
                        </pic:spPr>
                      </pic:pic>
                    </a:graphicData>
                  </a:graphic>
                </wp:inline>
              </w:drawing>
            </w:r>
          </w:p>
          <w:p>
            <w:pPr>
              <w:pStyle w:val="ImageCaption"/>
              <w:jc w:val="left"/>
              <w:spacing w:before="200"/>
              <w:ind w:firstLine="0" w:left="0" w:right="0"/>
            </w:pPr>
            <w:r>
              <w:t xml:space="preserve">Figure 2:</w:t>
            </w:r>
            <w:r>
              <w:t xml:space="preserve"> </w:t>
            </w:r>
            <w:r>
              <w:rPr>
                <w:rStyle w:val="CaptionText"/>
              </w:rPr>
              <w:t xml:space="preserve">Industrial distribution of the S&amp;P 500 study universe (fixed at 2021-01-01,</w:t>
            </w:r>
            <w:r>
              <w:rPr>
                <w:rStyle w:val="CaptionText"/>
              </w:rPr>
              <w:t xml:space="preserve"> </w:t>
            </w:r>
            <m:oMath>
              <m:r>
                <m:t>N</m:t>
              </m:r>
              <m:r>
                <m:rPr>
                  <m:sty m:val="p"/>
                </m:rPr>
                <m:t>=</m:t>
              </m:r>
              <m:r>
                <m:t>499</m:t>
              </m:r>
            </m:oMath>
            <w:r>
              <w:rPr>
                <w:rStyle w:val="CaptionText"/>
              </w:rPr>
              <w:t xml:space="preserve">) across three classification tiers.</w:t>
            </w:r>
            <w:r>
              <w:t xml:space="preserve"> </w:t>
            </w:r>
            <w:r>
              <w:rPr>
                <w:b w:val="0"/>
                <w:bCs w:val="0"/>
                <w:color w:val="595959"/>
              </w:rPr>
              <w:t xml:space="preserve">Panel A: broad SIC divisions. Panel B: two-digit SIC major groups (top 12 plus remaining). Panel C: 11 aggregated economic sectors.</w:t>
            </w:r>
          </w:p>
          <w:bookmarkEnd w:id="10"/>
        </w:tc>
      </w:tr>
    </w:tbl>
    <w:p>
      <w:pPr>
        <w:pStyle w:val="Textoindependiente"/>
      </w:pPr>
      <w:r>
        <w:t xml:space="preserve">The spread across divisions and 2-digit groups in</w:t>
      </w:r>
      <w:r>
        <w:t xml:space="preserve"> </w:t>
      </w:r>
      <w:hyperlink w:anchor="fig-sic-distribution">
        <w:r>
          <w:rPr>
            <w:rStyle w:val="Hipervnculo"/>
          </w:rPr>
          <w:t xml:space="preserve">Figure 2</w:t>
        </w:r>
      </w:hyperlink>
      <w:r>
        <w:t xml:space="preserve"> </w:t>
      </w:r>
      <w:r>
        <w:t xml:space="preserve">means that AI adoption here is observed under very different cost structures and capital intensities, not inside one technology cohort. Technology, financial services and healthcare account for more than half the sample and 45 smaller SIC groups cover the rest, so sectoral controls can separate economy-wide diffusion pressure from industry-specific workflow integration (</w:t>
      </w:r>
      <w:hyperlink w:anchor="appendix-a3">
        <w:r>
          <w:rPr>
            <w:rStyle w:val="Hipervnculo"/>
          </w:rPr>
          <w:t xml:space="preserve">Appendix A.3</w:t>
        </w:r>
      </w:hyperlink>
      <w:r>
        <w:t xml:space="preserve">).</w:t>
      </w:r>
    </w:p>
    <w:p>
      <w:pPr>
        <w:pStyle w:val="Textoindependiente"/>
      </w:pPr>
      <w:r>
        <w:t xml:space="preserve">The analysis draws on five data sources, textual, financial and technological: statutory SEC filings (Forms 10-K, 10-Q, DEF 14A, 8-K, 20-F) taken from EDGAR; earnings-call transcripts covering both the management presentation and the analyst Q&amp;A; daily market prices and returns; standardized accounting fundamentals from FactSet</w:t>
      </w:r>
      <w:r>
        <w:t xml:space="preserve"> </w:t>
      </w:r>
      <w:r>
        <w:t xml:space="preserve">(</w:t>
      </w:r>
      <w:hyperlink w:anchor="ref-factset">
        <w:r>
          <w:rPr>
            <w:rStyle w:val="Hipervnculo"/>
          </w:rPr>
          <w:t xml:space="preserve">FactSet Research Systems, n.d.</w:t>
        </w:r>
      </w:hyperlink>
      <w:r>
        <w:t xml:space="preserve">)</w:t>
      </w:r>
      <w:r>
        <w:t xml:space="preserve">; and OECD-classified AI patent records from Google Patents.</w:t>
      </w:r>
    </w:p>
    <w:p>
      <w:pPr>
        <w:pStyle w:val="Textoindependiente"/>
      </w:pPr>
      <w:r>
        <w:t xml:space="preserve">For statutory filings the coverage is complete: every mandated report filed while the firm was in the index. For voluntary earnings calls, three transcript sources are combined (Hugging Face community repository, a commercial transcript feed [EQ], and a financial portal archive [SA]), each record verified on ticker, host company and event type; a quarter with no transcript (16% of firm-quarters) is treated as unobserved and not as silence. Filing records run to 2026-09-03, and the 2026 observations are year-to-date (covering 423 firms with 10-Ks, 463 firms with 10-Qs, and 453 firms with calls), so trend comparisons are scaled by a same-calendar-window seasonal adjustment (</w:t>
      </w:r>
      <w:hyperlink w:anchor="appendix-a3">
        <w:r>
          <w:rPr>
            <w:rStyle w:val="Hipervnculo"/>
          </w:rPr>
          <w:t xml:space="preserve">Appendix A.3</w:t>
        </w:r>
      </w:hyperlink>
      <w:r>
        <w:t xml:space="preserve">).</w:t>
      </w:r>
      <w:r>
        <w:t xml:space="preserve"> </w:t>
      </w:r>
      <w:hyperlink w:anchor="tbl-documents-by-form-year">
        <w:r>
          <w:rPr>
            <w:rStyle w:val="Hipervnculo"/>
          </w:rPr>
          <w:t xml:space="preserve">Table 2</w:t>
        </w:r>
      </w:hyperlink>
      <w:r>
        <w:t xml:space="preserve"> </w:t>
      </w:r>
      <w:r>
        <w:t xml:space="preserve">summarizes the document corpus by form.</w:t>
      </w:r>
    </w:p>
    <w:bookmarkStart w:id="13" w:name="tbl-documents-by-form-year"/>
    <w:p>
      <w:pPr>
        <w:keepNext/>
        <w:pStyle w:val="ImageCaption"/>
        <w:jc w:val="left"/>
        <w:spacing w:before="200"/>
        <w:ind w:firstLine="0" w:left="0" w:right="0"/>
      </w:pPr>
      <w:r>
        <w:t xml:space="preserve">Table 2:</w:t>
      </w:r>
      <w:r>
        <w:t xml:space="preserve"> </w:t>
      </w:r>
      <w:r>
        <w:rPr>
          <w:rStyle w:val="CaptionText"/>
        </w:rPr>
        <w:t xml:space="preserve">Current processed U.S. corpus by form.</w:t>
      </w:r>
    </w:p>
    <w:tbl>
      <w:tblPr>
        <w:tblStyle w:val="Table"/>
        <w:tblW w:type="auto" w:w="0"/>
        <w:jc w:val="center"/>
        <w:tblLook w:firstRow="1" w:lastRow="0" w:firstColumn="0" w:lastColumn="0" w:noHBand="0" w:noVBand="0" w:val="0020"/>
        <w:tblBorders>
          <w:top w:val="single" w:sz="8" w:space="0" w:color="0F172A"/>
          <w:bottom w:val="single" w:sz="8" w:space="0" w:color="0F172A"/>
          <w:left w:val="none"/>
          <w:right w:val="none"/>
          <w:insideH w:val="single" w:sz="4" w:space="0" w:color="E2E8F0"/>
          <w:insideV w:val="none"/>
        </w:tblBorders>
        <w:tblCellMar>
          <w:top w:w="26" w:type="dxa"/>
          <w:bottom w:w="26" w:type="dxa"/>
          <w:left w:w="48" w:type="dxa"/>
          <w:right w:w="48" w:type="dxa"/>
        </w:tblCellMar>
      </w:tblPr>
      <w:tblGrid>
        <w:gridCol w:w="3960"/>
        <w:gridCol w:w="3960"/>
      </w:tblGrid>
      <w:tr>
        <w:trPr>
          <w:tblHeader w:val="on"/>
          <w:cantSplit/>
          <w:tblHeader/>
        </w:trPr>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6"/>
              </w:rPr>
              <w:t xml:space="preserve">Form</w:t>
            </w:r>
          </w:p>
        </w:tc>
        <w:tc>
          <w:tcPr>
            <w:shd w:fill="F1F5F9"/>
            <w:tcBorders>
              <w:bottom w:val="single" w:sz="8" w:space="0" w:color="475569"/>
            </w:tcBorders>
          </w:tcPr>
          <w:p>
            <w:pPr>
              <w:pStyle w:val="Compact"/>
              <w:keepNext/>
              <w:spacing w:before="8" w:after="8" w:line="240" w:lineRule="auto"/>
              <w:ind w:firstLine="0" w:left="0" w:right="0"/>
              <w:jc w:val="right"/>
              <w:jc w:val="center"/>
            </w:pPr>
            <w:r>
              <w:rPr>
                <w:rFonts w:ascii="Calibri" w:hAnsi="Calibri"/>
                <w:b/>
                <w:color w:val="0F172A"/>
                <w:sz w:val="16"/>
              </w:rPr>
              <w:t xml:space="preserve">Documents</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10-K</w:t>
            </w:r>
          </w:p>
        </w:tc>
        <w:tc>
          <w:tcPr/>
          <w:p>
            <w:pPr>
              <w:pStyle w:val="Compact"/>
              <w:keepNext/>
              <w:spacing w:before="8" w:after="8" w:line="240" w:lineRule="auto"/>
              <w:ind w:firstLine="0" w:left="0" w:right="0"/>
              <w:jc w:val="right"/>
              <w:jc w:val="center"/>
            </w:pPr>
            <w:r>
              <w:rPr>
                <w:rFonts w:ascii="Calibri" w:hAnsi="Calibri"/>
                <w:sz w:val="16"/>
              </w:rPr>
              <w:t xml:space="preserve">2,839</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10-Q</w:t>
            </w:r>
          </w:p>
        </w:tc>
        <w:tc>
          <w:tcPr/>
          <w:p>
            <w:pPr>
              <w:pStyle w:val="Compact"/>
              <w:keepNext/>
              <w:spacing w:before="8" w:after="8" w:line="240" w:lineRule="auto"/>
              <w:ind w:firstLine="0" w:left="0" w:right="0"/>
              <w:jc w:val="right"/>
              <w:jc w:val="center"/>
            </w:pPr>
            <w:r>
              <w:rPr>
                <w:rFonts w:ascii="Calibri" w:hAnsi="Calibri"/>
                <w:sz w:val="16"/>
              </w:rPr>
              <w:t xml:space="preserve">8,163</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DEF 14A</w:t>
            </w:r>
          </w:p>
        </w:tc>
        <w:tc>
          <w:tcPr/>
          <w:p>
            <w:pPr>
              <w:pStyle w:val="Compact"/>
              <w:keepNext/>
              <w:spacing w:before="8" w:after="8" w:line="240" w:lineRule="auto"/>
              <w:ind w:firstLine="0" w:left="0" w:right="0"/>
              <w:jc w:val="right"/>
              <w:jc w:val="center"/>
            </w:pPr>
            <w:r>
              <w:rPr>
                <w:rFonts w:ascii="Calibri" w:hAnsi="Calibri"/>
                <w:sz w:val="16"/>
              </w:rPr>
              <w:t xml:space="preserve">2,846</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8-K</w:t>
            </w:r>
          </w:p>
        </w:tc>
        <w:tc>
          <w:tcPr/>
          <w:p>
            <w:pPr>
              <w:pStyle w:val="Compact"/>
              <w:keepNext/>
              <w:spacing w:before="8" w:after="8" w:line="240" w:lineRule="auto"/>
              <w:ind w:firstLine="0" w:left="0" w:right="0"/>
              <w:jc w:val="right"/>
              <w:jc w:val="center"/>
            </w:pPr>
            <w:r>
              <w:rPr>
                <w:rFonts w:ascii="Calibri" w:hAnsi="Calibri"/>
                <w:sz w:val="16"/>
              </w:rPr>
              <w:t xml:space="preserve">35,322</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Earnings call</w:t>
            </w:r>
          </w:p>
        </w:tc>
        <w:tc>
          <w:tcPr/>
          <w:p>
            <w:pPr>
              <w:pStyle w:val="Compact"/>
              <w:keepNext/>
              <w:spacing w:before="8" w:after="8" w:line="240" w:lineRule="auto"/>
              <w:ind w:firstLine="0" w:left="0" w:right="0"/>
              <w:jc w:val="right"/>
              <w:jc w:val="center"/>
            </w:pPr>
            <w:r>
              <w:rPr>
                <w:rFonts w:ascii="Calibri" w:hAnsi="Calibri"/>
                <w:sz w:val="16"/>
              </w:rPr>
              <w:t xml:space="preserve">10,650</w:t>
            </w:r>
          </w:p>
        </w:tc>
      </w:tr>
      <w:tr>
        <w:trPr>
          <w:cantSplit/>
        </w:trPr>
        <w:tc>
          <w:tcPr/>
          <w:p>
            <w:pPr>
              <w:pStyle w:val="Compact"/>
              <w:spacing w:before="8" w:after="8" w:line="240" w:lineRule="auto"/>
              <w:ind w:firstLine="0" w:left="0" w:right="0"/>
              <w:jc w:val="left"/>
              <w:jc w:val="center"/>
            </w:pPr>
            <w:r>
              <w:rPr>
                <w:rFonts w:ascii="Calibri" w:hAnsi="Calibri"/>
                <w:sz w:val="16"/>
              </w:rPr>
              <w:t xml:space="preserve">Total</w:t>
            </w:r>
          </w:p>
        </w:tc>
        <w:tc>
          <w:tcPr/>
          <w:p>
            <w:pPr>
              <w:pStyle w:val="Compact"/>
              <w:spacing w:before="8" w:after="8" w:line="240" w:lineRule="auto"/>
              <w:ind w:firstLine="0" w:left="0" w:right="0"/>
              <w:jc w:val="right"/>
              <w:jc w:val="center"/>
            </w:pPr>
            <w:r>
              <w:rPr>
                <w:rFonts w:ascii="Calibri" w:hAnsi="Calibri"/>
                <w:sz w:val="16"/>
              </w:rPr>
              <w:t xml:space="preserve">59,820</w:t>
            </w:r>
          </w:p>
        </w:tc>
      </w:tr>
    </w:tbl>
    <w:bookmarkEnd w:id="11"/>
    <w:p/>
    <w:bookmarkEnd w:id="12"/>
    <w:bookmarkStart w:id="14" w:name="core-disclosure-constructs"/>
    <w:p>
      <w:pPr>
        <w:pStyle w:val="Ttulo2"/>
      </w:pPr>
      <w:r>
        <w:t xml:space="preserve">2.2 Core disclosure constructs</w:t>
      </w:r>
    </w:p>
    <w:p>
      <w:pPr>
        <w:pStyle w:val="FirstParagraph"/>
      </w:pPr>
      <w:r>
        <w:t xml:space="preserve">To keep rhetoric apart from operational initiative, the framework separates corporate claims from concrete activities:</w:t>
      </w:r>
    </w:p>
    <w:p>
      <w:pPr>
        <w:pStyle w:val="Compact"/>
        <w:numPr>
          <w:ilvl w:val="0"/>
          <w:numId w:val="20"/>
        </w:numPr>
      </w:pPr>
      <w:r>
        <w:rPr>
          <w:b/>
          <w:bCs/>
        </w:rPr>
        <w:t xml:space="preserve">From text to claims:</w:t>
      </w:r>
      <w:r>
        <w:t xml:space="preserve"> </w:t>
      </w:r>
      <w:r>
        <w:t xml:space="preserve">a zero-shot language model identifies statements about AI along seven communicative dimensions (subject, technology type, temporal stance, functional concepts, specificity signals, promotional tone and sentence anchors). Because every classification carries a sentence-level anchor, an analyst can always go back to the source text.</w:t>
      </w:r>
    </w:p>
    <w:p>
      <w:pPr>
        <w:pStyle w:val="Compact"/>
        <w:numPr>
          <w:ilvl w:val="0"/>
          <w:numId w:val="20"/>
        </w:numPr>
      </w:pPr>
      <w:r>
        <w:rPr>
          <w:b/>
          <w:bCs/>
        </w:rPr>
        <w:t xml:space="preserve">From claims to concrete activities:</w:t>
      </w:r>
      <w:r>
        <w:t xml:space="preserve"> </w:t>
      </w:r>
      <w:r>
        <w:t xml:space="preserve">when a claim describes an operational action by the firm itself, a second pass extracts an action triple (verb, technological object, business function) together with the deployment stage, the origin of the technology and the evidence offered. With this inventory, initiatives can be compared by maturity and evidence instead of by vocabulary.</w:t>
      </w:r>
    </w:p>
    <w:p>
      <w:pPr>
        <w:pStyle w:val="FirstParagraph"/>
      </w:pPr>
      <w:r>
        <w:t xml:space="preserve">Claims and activities then aggregate into six analytical constructs (</w:t>
      </w:r>
      <w:hyperlink w:anchor="tbl-six-constructs">
        <w:r>
          <w:rPr>
            <w:rStyle w:val="Hipervnculo"/>
          </w:rPr>
          <w:t xml:space="preserve">Table 3</w:t>
        </w:r>
      </w:hyperlink>
      <w:r>
        <w:t xml:space="preserve">):</w:t>
      </w:r>
    </w:p>
    <w:bookmarkStart w:id="15" w:name="tbl-six-constructs"/>
    <w:p>
      <w:pPr>
        <w:keepNext/>
        <w:pStyle w:val="ImageCaption"/>
        <w:jc w:val="left"/>
        <w:spacing w:before="200"/>
        <w:ind w:firstLine="0" w:left="0" w:right="0"/>
      </w:pPr>
      <w:r>
        <w:t xml:space="preserve">Table 3: The six core disclosure constructs. Constructs</w:t>
      </w:r>
      <w:r>
        <w:t xml:space="preserve"> </w:t>
      </w:r>
      <m:oMath>
        <m:r>
          <w:rPr>
            <w:sz w:val="22"/>
          </w:rPr>
          <m:t>D</m:t>
        </m:r>
      </m:oMath>
      <w:r>
        <w:t xml:space="preserve"> </w:t>
      </w:r>
      <w:r>
        <w:t xml:space="preserve">and</w:t>
      </w:r>
      <w:r>
        <w:t xml:space="preserve"> </w:t>
      </w:r>
      <m:oMath>
        <m:r>
          <w:rPr>
            <w:sz w:val="22"/>
          </w:rPr>
          <m:t>P</m:t>
        </m:r>
      </m:oMath>
      <w:r>
        <w:t xml:space="preserve"> </w:t>
      </w:r>
      <w:r>
        <w:t xml:space="preserve">capture corporate communication;</w:t>
      </w:r>
      <w:r>
        <w:t xml:space="preserve"> </w:t>
      </w:r>
      <m:oMath>
        <m:r>
          <w:rPr>
            <w:sz w:val="22"/>
          </w:rPr>
          <m:t>A</m:t>
        </m:r>
      </m:oMath>
      <w:r>
        <w:t xml:space="preserve">,</w:t>
      </w:r>
      <w:r>
        <w:t xml:space="preserve"> </w:t>
      </w:r>
      <m:oMath>
        <m:r>
          <w:rPr>
            <w:sz w:val="22"/>
          </w:rPr>
          <m:t>G</m:t>
        </m:r>
      </m:oMath>
      <w:r>
        <w:t xml:space="preserve">, and</w:t>
      </w:r>
      <w:r>
        <w:t xml:space="preserve"> </w:t>
      </w:r>
      <m:oMath>
        <m:r>
          <w:rPr>
            <w:sz w:val="22"/>
          </w:rPr>
          <m:t>S</m:t>
        </m:r>
      </m:oMath>
      <w:r>
        <w:t xml:space="preserve"> </w:t>
      </w:r>
      <w:r>
        <w:t xml:space="preserve">evaluate disclosed operational activity and documentary grounding; and</w:t>
      </w:r>
      <w:r>
        <w:t xml:space="preserve"> </w:t>
      </w:r>
      <m:oMath>
        <m:r>
          <w:rPr>
            <w:sz w:val="22"/>
          </w:rPr>
          <m:t>W</m:t>
        </m:r>
      </m:oMath>
      <w:r>
        <w:t xml:space="preserve"> </w:t>
      </w:r>
      <w:r>
        <w:t xml:space="preserve">identifies narrative-substance discrepancies.</w:t>
      </w:r>
    </w:p>
    <w:tbl>
      <w:tblPr>
        <w:tblStyle w:val="Table"/>
        <w:tblW w:type="pct" w:w="5000"/>
        <w:jc w:val="center"/>
        <w:tblLayout w:type="fixed"/>
        <w:tblLook w:firstRow="1" w:lastRow="0" w:firstColumn="0" w:lastColumn="0" w:noHBand="0" w:noVBand="0" w:val="0020"/>
        <w:tblBorders>
          <w:top w:val="single" w:sz="8" w:space="0" w:color="0F172A"/>
          <w:bottom w:val="single" w:sz="8" w:space="0" w:color="0F172A"/>
          <w:left w:val="none"/>
          <w:right w:val="none"/>
          <w:insideH w:val="single" w:sz="4" w:space="0" w:color="E2E8F0"/>
          <w:insideV w:val="none"/>
        </w:tblBorders>
        <w:tblCellMar>
          <w:top w:w="26" w:type="dxa"/>
          <w:bottom w:w="26" w:type="dxa"/>
          <w:left w:w="48" w:type="dxa"/>
          <w:right w:w="48" w:type="dxa"/>
        </w:tblCellMar>
      </w:tblPr>
      <w:tblGrid>
        <w:gridCol w:w="1980"/>
        <w:gridCol w:w="1980"/>
        <w:gridCol w:w="1980"/>
        <w:gridCol w:w="1980"/>
      </w:tblGrid>
      <w:tr>
        <w:trPr>
          <w:tblHeader w:val="on"/>
          <w:cantSplit/>
          <w:tblHeader/>
        </w:trPr>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6"/>
              </w:rPr>
              <w:t xml:space="preserve">Construct</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6"/>
              </w:rPr>
              <w:t xml:space="preserve">Symbol</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6"/>
              </w:rPr>
              <w:t xml:space="preserve">Core Definition and Formula</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6"/>
              </w:rPr>
              <w:t xml:space="preserve">Managerial and Empirical Interpretation</w:t>
            </w:r>
          </w:p>
        </w:tc>
      </w:tr>
      <w:tr>
        <w:trPr>
          <w:cantSplit/>
        </w:trPr>
        <w:tc>
          <w:tcPr/>
          <w:p>
            <w:pPr>
              <w:pStyle w:val="Compact"/>
              <w:keepNext/>
              <w:spacing w:before="8" w:after="8" w:line="240" w:lineRule="auto"/>
              <w:ind w:firstLine="0" w:left="0" w:right="0"/>
              <w:jc w:val="left"/>
              <w:jc w:val="center"/>
            </w:pPr>
            <w:r>
              <w:rPr>
                <w:rFonts w:ascii="Calibri" w:hAnsi="Calibri"/>
                <w:b/>
                <w:bCs/>
                <w:sz w:val="16"/>
              </w:rPr>
              <w:t xml:space="preserve">AI Disclosure Intensity</w:t>
            </w:r>
          </w:p>
        </w:tc>
        <w:tc>
          <w:tcPr/>
          <w:p>
            <w:pPr>
              <w:pStyle w:val="Compact"/>
              <w:keepNext/>
              <w:spacing w:before="8" w:after="8" w:line="240" w:lineRule="auto"/>
              <w:ind w:firstLine="0" w:left="0" w:right="0"/>
              <w:jc w:val="left"/>
              <w:jc w:val="center"/>
            </w:pPr>
            <m:oMath>
              <m:r>
                <w:rPr>
                  <w:sz w:val="16"/>
                </w:rPr>
                <m:t>D</m:t>
              </m:r>
            </m:oMath>
          </w:p>
        </w:tc>
        <w:tc>
          <w:tcPr/>
          <w:p>
            <w:pPr>
              <w:pStyle w:val="Compact"/>
              <w:keepNext/>
              <w:spacing w:before="8" w:after="8" w:line="240" w:lineRule="auto"/>
              <w:ind w:firstLine="0" w:left="0" w:right="0"/>
              <w:jc w:val="left"/>
              <w:jc w:val="center"/>
            </w:pPr>
            <m:oMath>
              <m:sSub>
                <m:e>
                  <m:r>
                    <w:rPr>
                      <w:sz w:val="16"/>
                    </w:rPr>
                    <m:t>D</m:t>
                  </m:r>
                </m:e>
                <m:sub>
                  <m:r>
                    <w:rPr>
                      <w:sz w:val="16"/>
                    </w:rPr>
                    <m:t>i</m:t>
                  </m:r>
                  <m:r>
                    <w:rPr>
                      <w:sz w:val="16"/>
                    </w:rPr>
                    <m:t>t</m:t>
                  </m:r>
                </m:sub>
              </m:sSub>
              <m:r>
                <m:rPr>
                  <m:sty m:val="p"/>
                </m:rPr>
                <w:rPr>
                  <w:sz w:val="16"/>
                </w:rPr>
                <m:t>=</m:t>
              </m:r>
              <m:f>
                <m:fPr>
                  <m:type m:val="bar"/>
                </m:fPr>
                <m:num>
                  <m:sSub>
                    <m:e>
                      <m:r>
                        <m:rPr>
                          <m:nor/>
                          <m:sty m:val="p"/>
                        </m:rPr>
                        <w:rPr>
                          <w:sz w:val="16"/>
                        </w:rPr>
                        <m:t>AI frames</m:t>
                      </m:r>
                    </m:e>
                    <m:sub>
                      <m:r>
                        <w:rPr>
                          <w:sz w:val="16"/>
                        </w:rPr>
                        <m:t>i</m:t>
                      </m:r>
                      <m:r>
                        <w:rPr>
                          <w:sz w:val="16"/>
                        </w:rPr>
                        <m:t>t</m:t>
                      </m:r>
                    </m:sub>
                  </m:sSub>
                </m:num>
                <m:den>
                  <m:sSub>
                    <m:e>
                      <m:r>
                        <m:rPr>
                          <m:nor/>
                          <m:sty m:val="p"/>
                        </m:rPr>
                        <w:rPr>
                          <w:sz w:val="16"/>
                        </w:rPr>
                        <m:t>words</m:t>
                      </m:r>
                    </m:e>
                    <m:sub>
                      <m:r>
                        <w:rPr>
                          <w:sz w:val="16"/>
                        </w:rPr>
                        <m:t>i</m:t>
                      </m:r>
                      <m:r>
                        <w:rPr>
                          <w:sz w:val="16"/>
                        </w:rPr>
                        <m:t>t</m:t>
                      </m:r>
                    </m:sub>
                  </m:sSub>
                  <m:r>
                    <m:rPr>
                      <m:sty m:val="p"/>
                    </m:rPr>
                    <w:rPr>
                      <w:sz w:val="16"/>
                    </w:rPr>
                    <m:t>/</m:t>
                  </m:r>
                  <m:r>
                    <w:rPr>
                      <w:sz w:val="16"/>
                    </w:rPr>
                    <m:t>1</m:t>
                  </m:r>
                  <m:r>
                    <m:rPr>
                      <m:sty m:val="p"/>
                    </m:rPr>
                    <w:rPr>
                      <w:sz w:val="16"/>
                    </w:rPr>
                    <m:t>,</m:t>
                  </m:r>
                  <m:r>
                    <w:rPr>
                      <w:sz w:val="16"/>
                    </w:rPr>
                    <m:t>000</m:t>
                  </m:r>
                </m:den>
              </m:f>
            </m:oMath>
          </w:p>
        </w:tc>
        <w:tc>
          <w:tcPr/>
          <w:p>
            <w:pPr>
              <w:pStyle w:val="Compact"/>
              <w:keepNext/>
              <w:spacing w:before="8" w:after="8" w:line="240" w:lineRule="auto"/>
              <w:ind w:firstLine="0" w:left="0" w:right="0"/>
              <w:jc w:val="left"/>
              <w:jc w:val="center"/>
            </w:pPr>
            <w:r>
              <w:rPr>
                <w:rFonts w:ascii="Calibri" w:hAnsi="Calibri"/>
                <w:sz w:val="16"/>
              </w:rPr>
              <w:t xml:space="preserve">Narrative volume: frequency of AI claims normalized by scorable document length</w:t>
            </w:r>
          </w:p>
        </w:tc>
      </w:tr>
      <w:tr>
        <w:trPr>
          <w:cantSplit/>
        </w:trPr>
        <w:tc>
          <w:tcPr/>
          <w:p>
            <w:pPr>
              <w:pStyle w:val="Compact"/>
              <w:keepNext/>
              <w:spacing w:before="8" w:after="8" w:line="240" w:lineRule="auto"/>
              <w:ind w:firstLine="0" w:left="0" w:right="0"/>
              <w:jc w:val="left"/>
              <w:jc w:val="center"/>
            </w:pPr>
            <w:r>
              <w:rPr>
                <w:rFonts w:ascii="Calibri" w:hAnsi="Calibri"/>
                <w:b/>
                <w:bCs/>
                <w:sz w:val="16"/>
              </w:rPr>
              <w:t xml:space="preserve">Communication Posture</w:t>
            </w:r>
          </w:p>
        </w:tc>
        <w:tc>
          <w:tcPr/>
          <w:p>
            <w:pPr>
              <w:pStyle w:val="Compact"/>
              <w:keepNext/>
              <w:spacing w:before="8" w:after="8" w:line="240" w:lineRule="auto"/>
              <w:ind w:firstLine="0" w:left="0" w:right="0"/>
              <w:jc w:val="left"/>
              <w:jc w:val="center"/>
            </w:pPr>
            <m:oMath>
              <m:r>
                <w:rPr>
                  <w:sz w:val="16"/>
                </w:rPr>
                <m:t>P</m:t>
              </m:r>
            </m:oMath>
          </w:p>
        </w:tc>
        <w:tc>
          <w:tcPr/>
          <w:p>
            <w:pPr>
              <w:pStyle w:val="Compact"/>
              <w:keepNext/>
              <w:spacing w:before="8" w:after="8" w:line="240" w:lineRule="auto"/>
              <w:ind w:firstLine="0" w:left="0" w:right="0"/>
              <w:jc w:val="left"/>
              <w:jc w:val="center"/>
            </w:pPr>
            <w:r>
              <w:rPr>
                <w:rFonts w:ascii="Calibri" w:hAnsi="Calibri"/>
                <w:sz w:val="16"/>
              </w:rPr>
              <w:t xml:space="preserve">7-dimensional profile: promotional, hedging, risk, governance, realization, customer-facing, specificity</w:t>
            </w:r>
          </w:p>
        </w:tc>
        <w:tc>
          <w:tcPr/>
          <w:p>
            <w:pPr>
              <w:pStyle w:val="Compact"/>
              <w:keepNext/>
              <w:spacing w:before="8" w:after="8" w:line="240" w:lineRule="auto"/>
              <w:ind w:firstLine="0" w:left="0" w:right="0"/>
              <w:jc w:val="left"/>
              <w:jc w:val="center"/>
            </w:pPr>
            <w:r>
              <w:rPr>
                <w:rFonts w:ascii="Calibri" w:hAnsi="Calibri"/>
                <w:sz w:val="16"/>
              </w:rPr>
              <w:t xml:space="preserve">Communicative register:</w:t>
            </w:r>
            <w:r>
              <w:rPr>
                <w:rFonts w:ascii="Calibri" w:hAnsi="Calibri"/>
                <w:sz w:val="16"/>
              </w:rPr>
              <w:t xml:space="preserve"> </w:t>
            </w:r>
            <w:r>
              <w:rPr>
                <w:rFonts w:ascii="Calibri" w:hAnsi="Calibri"/>
                <w:i/>
                <w:iCs/>
                <w:sz w:val="16"/>
              </w:rPr>
              <w:t xml:space="preserve">how</w:t>
            </w:r>
            <w:r>
              <w:rPr>
                <w:rFonts w:ascii="Calibri" w:hAnsi="Calibri"/>
                <w:sz w:val="16"/>
              </w:rPr>
              <w:t xml:space="preserve"> </w:t>
            </w:r>
            <w:r>
              <w:rPr>
                <w:rFonts w:ascii="Calibri" w:hAnsi="Calibri"/>
                <w:sz w:val="16"/>
              </w:rPr>
              <w:t xml:space="preserve">management frames AI rather than how much it speaks</w:t>
            </w:r>
          </w:p>
        </w:tc>
      </w:tr>
      <w:tr>
        <w:trPr>
          <w:cantSplit/>
        </w:trPr>
        <w:tc>
          <w:tcPr/>
          <w:p>
            <w:pPr>
              <w:pStyle w:val="Compact"/>
              <w:keepNext/>
              <w:spacing w:before="8" w:after="8" w:line="240" w:lineRule="auto"/>
              <w:ind w:firstLine="0" w:left="0" w:right="0"/>
              <w:jc w:val="left"/>
              <w:jc w:val="center"/>
            </w:pPr>
            <w:r>
              <w:rPr>
                <w:rFonts w:ascii="Calibri" w:hAnsi="Calibri"/>
                <w:b/>
                <w:bCs/>
                <w:sz w:val="16"/>
              </w:rPr>
              <w:t xml:space="preserve">Disclosed AI Activity</w:t>
            </w:r>
          </w:p>
        </w:tc>
        <w:tc>
          <w:tcPr/>
          <w:p>
            <w:pPr>
              <w:pStyle w:val="Compact"/>
              <w:keepNext/>
              <w:spacing w:before="8" w:after="8" w:line="240" w:lineRule="auto"/>
              <w:ind w:firstLine="0" w:left="0" w:right="0"/>
              <w:jc w:val="left"/>
              <w:jc w:val="center"/>
            </w:pPr>
            <m:oMath>
              <m:r>
                <w:rPr>
                  <w:sz w:val="16"/>
                </w:rPr>
                <m:t>A</m:t>
              </m:r>
            </m:oMath>
          </w:p>
        </w:tc>
        <w:tc>
          <w:tcPr/>
          <w:p>
            <w:pPr>
              <w:pStyle w:val="Compact"/>
              <w:keepNext/>
              <w:spacing w:before="8" w:after="8" w:line="240" w:lineRule="auto"/>
              <w:ind w:firstLine="0" w:left="0" w:right="0"/>
              <w:jc w:val="left"/>
              <w:jc w:val="center"/>
            </w:pPr>
            <w:r>
              <w:rPr>
                <w:rFonts w:ascii="Calibri" w:hAnsi="Calibri"/>
                <w:sz w:val="16"/>
              </w:rPr>
              <w:t xml:space="preserve">Count of discrete operational action triples (</w:t>
            </w:r>
            <m:oMath>
              <m:sSub>
                <m:e>
                  <m:r>
                    <w:rPr>
                      <w:sz w:val="16"/>
                    </w:rPr>
                    <m:t>n</m:t>
                  </m:r>
                </m:e>
                <m:sub>
                  <m:r>
                    <m:rPr>
                      <m:nor/>
                      <m:sty m:val="p"/>
                    </m:rPr>
                    <w:rPr>
                      <w:sz w:val="16"/>
                    </w:rPr>
                    <m:t>activities</m:t>
                  </m:r>
                </m:sub>
              </m:sSub>
            </m:oMath>
            <w:r>
              <w:rPr>
                <w:rFonts w:ascii="Calibri" w:hAnsi="Calibri"/>
                <w:sz w:val="16"/>
              </w:rPr>
              <w:t xml:space="preserve">) across 6 business domains</w:t>
            </w:r>
          </w:p>
        </w:tc>
        <w:tc>
          <w:tcPr/>
          <w:p>
            <w:pPr>
              <w:pStyle w:val="Compact"/>
              <w:keepNext/>
              <w:spacing w:before="8" w:after="8" w:line="240" w:lineRule="auto"/>
              <w:ind w:firstLine="0" w:left="0" w:right="0"/>
              <w:jc w:val="left"/>
              <w:jc w:val="center"/>
            </w:pPr>
            <w:r>
              <w:rPr>
                <w:rFonts w:ascii="Calibri" w:hAnsi="Calibri"/>
                <w:sz w:val="16"/>
              </w:rPr>
              <w:t xml:space="preserve">Breadth of reported execution: volume of distinct operational initiatives</w:t>
            </w:r>
          </w:p>
        </w:tc>
      </w:tr>
      <w:tr>
        <w:trPr>
          <w:cantSplit/>
        </w:trPr>
        <w:tc>
          <w:tcPr/>
          <w:p>
            <w:pPr>
              <w:pStyle w:val="Compact"/>
              <w:keepNext/>
              <w:spacing w:before="8" w:after="8" w:line="240" w:lineRule="auto"/>
              <w:ind w:firstLine="0" w:left="0" w:right="0"/>
              <w:jc w:val="left"/>
              <w:jc w:val="center"/>
            </w:pPr>
            <w:r>
              <w:rPr>
                <w:rFonts w:ascii="Calibri" w:hAnsi="Calibri"/>
                <w:b/>
                <w:bCs/>
                <w:sz w:val="16"/>
              </w:rPr>
              <w:t xml:space="preserve">AI Activity Grounding</w:t>
            </w:r>
          </w:p>
        </w:tc>
        <w:tc>
          <w:tcPr/>
          <w:p>
            <w:pPr>
              <w:pStyle w:val="Compact"/>
              <w:keepNext/>
              <w:spacing w:before="8" w:after="8" w:line="240" w:lineRule="auto"/>
              <w:ind w:firstLine="0" w:left="0" w:right="0"/>
              <w:jc w:val="left"/>
              <w:jc w:val="center"/>
            </w:pPr>
            <m:oMath>
              <m:r>
                <w:rPr>
                  <w:sz w:val="16"/>
                </w:rPr>
                <m:t>G</m:t>
              </m:r>
            </m:oMath>
          </w:p>
        </w:tc>
        <w:tc>
          <w:tcPr/>
          <w:p>
            <w:pPr>
              <w:pStyle w:val="Compact"/>
              <w:keepNext/>
              <w:spacing w:before="8" w:after="8" w:line="240" w:lineRule="auto"/>
              <w:ind w:firstLine="0" w:left="0" w:right="0"/>
              <w:jc w:val="left"/>
              <w:jc w:val="center"/>
            </w:pPr>
            <w:r>
              <w:rPr>
                <w:rFonts w:ascii="Calibri" w:hAnsi="Calibri"/>
                <w:sz w:val="16"/>
              </w:rPr>
              <w:t xml:space="preserve">Mean share of 5 evidentiary attributes (function, production stage, product, metric, vendor)</w:t>
            </w:r>
            <w:r>
              <w:rPr>
                <w:rFonts w:ascii="Calibri" w:hAnsi="Calibri"/>
                <w:sz w:val="16"/>
              </w:rPr>
              <w:t xml:space="preserve"> </w:t>
            </w:r>
            <m:oMath>
              <m:r>
                <m:rPr>
                  <m:sty m:val="p"/>
                </m:rPr>
                <w:rPr>
                  <w:sz w:val="16"/>
                </w:rPr>
                <m:t>∈</m:t>
              </m:r>
              <m:d>
                <m:dPr>
                  <m:begChr m:val="["/>
                  <m:sepChr m:val=""/>
                  <m:endChr m:val="]"/>
                  <m:grow/>
                </m:dPr>
                <m:e>
                  <m:r>
                    <w:rPr>
                      <w:sz w:val="16"/>
                    </w:rPr>
                    <m:t>0</m:t>
                  </m:r>
                  <m:r>
                    <m:rPr>
                      <m:sty m:val="p"/>
                    </m:rPr>
                    <w:rPr>
                      <w:sz w:val="16"/>
                    </w:rPr>
                    <m:t>,</m:t>
                  </m:r>
                  <m:r>
                    <w:rPr>
                      <w:sz w:val="16"/>
                    </w:rPr>
                    <m:t>1</m:t>
                  </m:r>
                </m:e>
              </m:d>
            </m:oMath>
          </w:p>
        </w:tc>
        <w:tc>
          <w:tcPr/>
          <w:p>
            <w:pPr>
              <w:pStyle w:val="Compact"/>
              <w:keepNext/>
              <w:spacing w:before="8" w:after="8" w:line="240" w:lineRule="auto"/>
              <w:ind w:firstLine="0" w:left="0" w:right="0"/>
              <w:jc w:val="left"/>
              <w:jc w:val="center"/>
            </w:pPr>
            <w:r>
              <w:rPr>
                <w:rFonts w:ascii="Calibri" w:hAnsi="Calibri"/>
                <w:sz w:val="16"/>
              </w:rPr>
              <w:t xml:space="preserve">Factual verifiability: documentary backing anchoring reported initiatives</w:t>
            </w:r>
          </w:p>
        </w:tc>
      </w:tr>
      <w:tr>
        <w:trPr>
          <w:cantSplit/>
        </w:trPr>
        <w:tc>
          <w:tcPr/>
          <w:p>
            <w:pPr>
              <w:pStyle w:val="Compact"/>
              <w:keepNext/>
              <w:spacing w:before="8" w:after="8" w:line="240" w:lineRule="auto"/>
              <w:ind w:firstLine="0" w:left="0" w:right="0"/>
              <w:jc w:val="left"/>
              <w:jc w:val="center"/>
            </w:pPr>
            <w:r>
              <w:rPr>
                <w:rFonts w:ascii="Calibri" w:hAnsi="Calibri"/>
                <w:b/>
                <w:bCs/>
                <w:sz w:val="16"/>
              </w:rPr>
              <w:t xml:space="preserve">Disclosed Substance</w:t>
            </w:r>
          </w:p>
        </w:tc>
        <w:tc>
          <w:tcPr/>
          <w:p>
            <w:pPr>
              <w:pStyle w:val="Compact"/>
              <w:keepNext/>
              <w:spacing w:before="8" w:after="8" w:line="240" w:lineRule="auto"/>
              <w:ind w:firstLine="0" w:left="0" w:right="0"/>
              <w:jc w:val="left"/>
              <w:jc w:val="center"/>
            </w:pPr>
            <m:oMath>
              <m:r>
                <w:rPr>
                  <w:sz w:val="16"/>
                </w:rPr>
                <m:t>S</m:t>
              </m:r>
            </m:oMath>
          </w:p>
        </w:tc>
        <w:tc>
          <w:tcPr/>
          <w:p>
            <w:pPr>
              <w:pStyle w:val="Compact"/>
              <w:keepNext/>
              <w:spacing w:before="8" w:after="8" w:line="240" w:lineRule="auto"/>
              <w:ind w:firstLine="0" w:left="0" w:right="0"/>
              <w:jc w:val="left"/>
              <w:jc w:val="center"/>
            </w:pPr>
            <m:oMath>
              <m:sSub>
                <m:e>
                  <m:r>
                    <w:rPr>
                      <w:sz w:val="16"/>
                    </w:rPr>
                    <m:t>S</m:t>
                  </m:r>
                </m:e>
                <m:sub>
                  <m:r>
                    <w:rPr>
                      <w:sz w:val="16"/>
                    </w:rPr>
                    <m:t>i</m:t>
                  </m:r>
                  <m:r>
                    <w:rPr>
                      <w:sz w:val="16"/>
                    </w:rPr>
                    <m:t>t</m:t>
                  </m:r>
                </m:sub>
              </m:sSub>
              <m:r>
                <m:rPr>
                  <m:sty m:val="p"/>
                </m:rPr>
                <w:rPr>
                  <w:sz w:val="16"/>
                </w:rPr>
                <m:t>=</m:t>
              </m:r>
              <m:r>
                <m:rPr>
                  <m:sty m:val="p"/>
                </m:rPr>
                <w:rPr>
                  <w:sz w:val="16"/>
                </w:rPr>
                <m:t>log</m:t>
              </m:r>
              <m:d>
                <m:dPr>
                  <m:begChr m:val="("/>
                  <m:sepChr m:val=""/>
                  <m:endChr m:val=")"/>
                  <m:grow/>
                </m:dPr>
                <m:e>
                  <m:r>
                    <w:rPr>
                      <w:sz w:val="16"/>
                    </w:rPr>
                    <m:t>1</m:t>
                  </m:r>
                  <m:r>
                    <m:rPr>
                      <m:sty m:val="p"/>
                    </m:rPr>
                    <w:rPr>
                      <w:sz w:val="16"/>
                    </w:rPr>
                    <m:t>+</m:t>
                  </m:r>
                  <m:sSub>
                    <m:e>
                      <m:r>
                        <w:rPr>
                          <w:sz w:val="16"/>
                        </w:rPr>
                        <m:t>n</m:t>
                      </m:r>
                    </m:e>
                    <m:sub>
                      <m:r>
                        <m:rPr>
                          <m:nor/>
                          <m:sty m:val="p"/>
                        </m:rPr>
                        <w:rPr>
                          <w:sz w:val="16"/>
                        </w:rPr>
                        <m:t>activities</m:t>
                      </m:r>
                      <m:r>
                        <m:rPr>
                          <m:sty m:val="p"/>
                        </m:rPr>
                        <w:rPr>
                          <w:sz w:val="16"/>
                        </w:rPr>
                        <m:t>,</m:t>
                      </m:r>
                      <m:r>
                        <w:rPr>
                          <w:sz w:val="16"/>
                        </w:rPr>
                        <m:t>i</m:t>
                      </m:r>
                      <m:r>
                        <w:rPr>
                          <w:sz w:val="16"/>
                        </w:rPr>
                        <m:t>t</m:t>
                      </m:r>
                    </m:sub>
                  </m:sSub>
                </m:e>
              </m:d>
              <m:r>
                <m:rPr>
                  <m:sty m:val="p"/>
                </m:rPr>
                <w:rPr>
                  <w:sz w:val="16"/>
                </w:rPr>
                <m:t>×</m:t>
              </m:r>
              <m:sSub>
                <m:e>
                  <m:r>
                    <w:rPr>
                      <w:sz w:val="16"/>
                    </w:rPr>
                    <m:t>G</m:t>
                  </m:r>
                </m:e>
                <m:sub>
                  <m:r>
                    <w:rPr>
                      <w:sz w:val="16"/>
                    </w:rPr>
                    <m:t>i</m:t>
                  </m:r>
                  <m:r>
                    <w:rPr>
                      <w:sz w:val="16"/>
                    </w:rPr>
                    <m:t>t</m:t>
                  </m:r>
                </m:sub>
              </m:sSub>
            </m:oMath>
          </w:p>
        </w:tc>
        <w:tc>
          <w:tcPr/>
          <w:p>
            <w:pPr>
              <w:pStyle w:val="Compact"/>
              <w:keepNext/>
              <w:spacing w:before="8" w:after="8" w:line="240" w:lineRule="auto"/>
              <w:ind w:firstLine="0" w:left="0" w:right="0"/>
              <w:jc w:val="left"/>
              <w:jc w:val="center"/>
            </w:pPr>
            <w:r>
              <w:rPr>
                <w:rFonts w:ascii="Calibri" w:hAnsi="Calibri"/>
                <w:sz w:val="16"/>
              </w:rPr>
              <w:t xml:space="preserve">Grounded operational volume: activity count weighted by evidentiary strength</w:t>
            </w:r>
          </w:p>
        </w:tc>
      </w:tr>
      <w:tr>
        <w:trPr>
          <w:cantSplit/>
        </w:trPr>
        <w:tc>
          <w:tcPr/>
          <w:p>
            <w:pPr>
              <w:pStyle w:val="Compact"/>
              <w:spacing w:before="8" w:after="8" w:line="240" w:lineRule="auto"/>
              <w:ind w:firstLine="0" w:left="0" w:right="0"/>
              <w:jc w:val="left"/>
              <w:jc w:val="center"/>
            </w:pPr>
            <w:r>
              <w:rPr>
                <w:rFonts w:ascii="Calibri" w:hAnsi="Calibri"/>
                <w:b/>
                <w:bCs/>
                <w:sz w:val="16"/>
              </w:rPr>
              <w:t xml:space="preserve">Decoupling</w:t>
            </w:r>
          </w:p>
        </w:tc>
        <w:tc>
          <w:tcPr/>
          <w:p>
            <w:pPr>
              <w:pStyle w:val="Compact"/>
              <w:spacing w:before="8" w:after="8" w:line="240" w:lineRule="auto"/>
              <w:ind w:firstLine="0" w:left="0" w:right="0"/>
              <w:jc w:val="left"/>
              <w:jc w:val="center"/>
            </w:pPr>
            <m:oMath>
              <m:r>
                <w:rPr>
                  <w:sz w:val="16"/>
                </w:rPr>
                <m:t>W</m:t>
              </m:r>
            </m:oMath>
          </w:p>
        </w:tc>
        <w:tc>
          <w:tcPr/>
          <w:p>
            <w:pPr>
              <w:pStyle w:val="Compact"/>
              <w:spacing w:before="8" w:after="8" w:line="240" w:lineRule="auto"/>
              <w:ind w:firstLine="0" w:left="0" w:right="0"/>
              <w:jc w:val="left"/>
              <w:jc w:val="center"/>
            </w:pPr>
            <m:oMath>
              <m:sSub>
                <m:e>
                  <m:r>
                    <w:rPr>
                      <w:sz w:val="16"/>
                    </w:rPr>
                    <m:t>W</m:t>
                  </m:r>
                </m:e>
                <m:sub>
                  <m:r>
                    <w:rPr>
                      <w:sz w:val="16"/>
                    </w:rPr>
                    <m:t>i</m:t>
                  </m:r>
                  <m:r>
                    <w:rPr>
                      <w:sz w:val="16"/>
                    </w:rPr>
                    <m:t>t</m:t>
                  </m:r>
                </m:sub>
              </m:sSub>
              <m:r>
                <m:rPr>
                  <m:sty m:val="p"/>
                </m:rPr>
                <w:rPr>
                  <w:sz w:val="16"/>
                </w:rPr>
                <m:t>=</m:t>
              </m:r>
              <m:r>
                <m:rPr>
                  <m:nor/>
                  <m:sty m:val="p"/>
                </m:rPr>
                <w:rPr>
                  <w:sz w:val="16"/>
                </w:rPr>
                <m:t>rank</m:t>
              </m:r>
              <m:d>
                <m:dPr>
                  <m:begChr m:val="("/>
                  <m:sepChr m:val=""/>
                  <m:endChr m:val=")"/>
                  <m:grow/>
                </m:dPr>
                <m:e>
                  <m:sSub>
                    <m:e>
                      <m:r>
                        <w:rPr>
                          <w:sz w:val="16"/>
                        </w:rPr>
                        <m:t>D</m:t>
                      </m:r>
                    </m:e>
                    <m:sub>
                      <m:r>
                        <w:rPr>
                          <w:sz w:val="16"/>
                        </w:rPr>
                        <m:t>i</m:t>
                      </m:r>
                      <m:r>
                        <w:rPr>
                          <w:sz w:val="16"/>
                        </w:rPr>
                        <m:t>t</m:t>
                      </m:r>
                    </m:sub>
                  </m:sSub>
                </m:e>
              </m:d>
              <m:r>
                <m:rPr>
                  <m:sty m:val="p"/>
                </m:rPr>
                <w:rPr>
                  <w:sz w:val="16"/>
                </w:rPr>
                <m:t>−</m:t>
              </m:r>
              <m:r>
                <m:rPr>
                  <m:nor/>
                  <m:sty m:val="p"/>
                </m:rPr>
                <w:rPr>
                  <w:sz w:val="16"/>
                </w:rPr>
                <m:t>rank</m:t>
              </m:r>
              <m:d>
                <m:dPr>
                  <m:begChr m:val="("/>
                  <m:sepChr m:val=""/>
                  <m:endChr m:val=")"/>
                  <m:grow/>
                </m:dPr>
                <m:e>
                  <m:sSub>
                    <m:e>
                      <m:r>
                        <w:rPr>
                          <w:sz w:val="16"/>
                        </w:rPr>
                        <m:t>S</m:t>
                      </m:r>
                    </m:e>
                    <m:sub>
                      <m:r>
                        <w:rPr>
                          <w:sz w:val="16"/>
                        </w:rPr>
                        <m:t>i</m:t>
                      </m:r>
                      <m:r>
                        <w:rPr>
                          <w:sz w:val="16"/>
                        </w:rPr>
                        <m:t>t</m:t>
                      </m:r>
                    </m:sub>
                  </m:sSub>
                </m:e>
              </m:d>
              <m:r>
                <m:rPr>
                  <m:sty m:val="p"/>
                </m:rPr>
                <w:rPr>
                  <w:sz w:val="16"/>
                </w:rPr>
                <m:t>∈</m:t>
              </m:r>
              <m:d>
                <m:dPr>
                  <m:begChr m:val="["/>
                  <m:sepChr m:val=""/>
                  <m:endChr m:val="]"/>
                  <m:grow/>
                </m:dPr>
                <m:e>
                  <m:r>
                    <m:rPr>
                      <m:sty m:val="p"/>
                    </m:rPr>
                    <w:rPr>
                      <w:sz w:val="16"/>
                    </w:rPr>
                    <m:t>−</m:t>
                  </m:r>
                  <m:r>
                    <w:rPr>
                      <w:sz w:val="16"/>
                    </w:rPr>
                    <m:t>1</m:t>
                  </m:r>
                  <m:r>
                    <m:rPr>
                      <m:sty m:val="p"/>
                    </m:rPr>
                    <w:rPr>
                      <w:sz w:val="16"/>
                    </w:rPr>
                    <m:t>,</m:t>
                  </m:r>
                  <m:r>
                    <w:rPr>
                      <w:sz w:val="16"/>
                    </w:rPr>
                    <m:t>1</m:t>
                  </m:r>
                </m:e>
              </m:d>
            </m:oMath>
          </w:p>
        </w:tc>
        <w:tc>
          <w:tcPr/>
          <w:p>
            <w:pPr>
              <w:pStyle w:val="Compact"/>
              <w:spacing w:before="8" w:after="8" w:line="240" w:lineRule="auto"/>
              <w:ind w:firstLine="0" w:left="0" w:right="0"/>
              <w:jc w:val="left"/>
              <w:jc w:val="center"/>
            </w:pPr>
            <w:r>
              <w:rPr>
                <w:rFonts w:ascii="Calibri" w:hAnsi="Calibri"/>
                <w:sz w:val="16"/>
              </w:rPr>
              <w:t xml:space="preserve">Disclosure gap: narrative volume rank minus substance rank (</w:t>
            </w:r>
            <w:r>
              <w:rPr>
                <w:rFonts w:ascii="Calibri" w:hAnsi="Calibri"/>
                <w:sz w:val="16"/>
              </w:rPr>
              <w:t xml:space="preserve">“AI washing”</w:t>
            </w:r>
            <w:r>
              <w:rPr>
                <w:rFonts w:ascii="Calibri" w:hAnsi="Calibri"/>
                <w:sz w:val="16"/>
              </w:rPr>
              <w:t xml:space="preserve">)</w:t>
            </w:r>
          </w:p>
        </w:tc>
      </w:tr>
    </w:tbl>
    <w:bookmarkEnd w:id="13"/>
    <w:p/>
    <w:p>
      <w:pPr>
        <w:pStyle w:val="Textoindependiente"/>
      </w:pPr>
      <m:oMath>
        <m:r>
          <w:rPr>
            <w:sz w:val="22"/>
          </w:rPr>
          <m:t>D</m:t>
        </m:r>
      </m:oMath>
      <w:r>
        <w:t xml:space="preserve"> </w:t>
      </w:r>
      <w:r>
        <w:t xml:space="preserve">and</w:t>
      </w:r>
      <w:r>
        <w:t xml:space="preserve"> </w:t>
      </w:r>
      <m:oMath>
        <m:r>
          <w:rPr>
            <w:sz w:val="22"/>
          </w:rPr>
          <m:t>P</m:t>
        </m:r>
      </m:oMath>
      <w:r>
        <w:t xml:space="preserve"> </w:t>
      </w:r>
      <w:r>
        <w:t xml:space="preserve">describe the communication,</w:t>
      </w:r>
      <w:r>
        <w:t xml:space="preserve"> </w:t>
      </w:r>
      <m:oMath>
        <m:r>
          <w:rPr>
            <w:sz w:val="22"/>
          </w:rPr>
          <m:t>A</m:t>
        </m:r>
      </m:oMath>
      <w:r>
        <w:t xml:space="preserve">,</w:t>
      </w:r>
      <w:r>
        <w:t xml:space="preserve"> </w:t>
      </w:r>
      <m:oMath>
        <m:r>
          <w:rPr>
            <w:sz w:val="22"/>
          </w:rPr>
          <m:t>G</m:t>
        </m:r>
      </m:oMath>
      <w:r>
        <w:t xml:space="preserve"> </w:t>
      </w:r>
      <w:r>
        <w:t xml:space="preserve">and</w:t>
      </w:r>
      <w:r>
        <w:t xml:space="preserve"> </w:t>
      </w:r>
      <m:oMath>
        <m:r>
          <w:rPr>
            <w:sz w:val="22"/>
          </w:rPr>
          <m:t>S</m:t>
        </m:r>
      </m:oMath>
      <w:r>
        <w:t xml:space="preserve"> </w:t>
      </w:r>
      <w:r>
        <w:t xml:space="preserve">the disclosed activity and its documentary evidence, and</w:t>
      </w:r>
      <w:r>
        <w:t xml:space="preserve"> </w:t>
      </w:r>
      <m:oMath>
        <m:r>
          <w:rPr>
            <w:sz w:val="22"/>
          </w:rPr>
          <m:t>W</m:t>
        </m:r>
      </m:oMath>
      <w:r>
        <w:t xml:space="preserve"> </w:t>
      </w:r>
      <w:r>
        <w:t xml:space="preserve">ranks the discrepancies that deserve review. All measures aggregate to the firm-year through median document rates (</w:t>
      </w:r>
      <w:hyperlink w:anchor="appendix-a6">
        <w:r>
          <w:rPr>
            <w:rStyle w:val="Hipervnculo"/>
          </w:rPr>
          <w:t xml:space="preserve">Appendix A.6</w:t>
        </w:r>
      </w:hyperlink>
      <w:r>
        <w:t xml:space="preserve">).</w:t>
      </w:r>
    </w:p>
    <w:p>
      <w:pPr>
        <w:pStyle w:val="Textoindependiente"/>
      </w:pPr>
      <w:r>
        <w:rPr>
          <w:i/>
          <w:iCs/>
        </w:rPr>
        <w:t xml:space="preserve">Measurement validation.</w:t>
      </w:r>
      <w:r>
        <w:t xml:space="preserve"> </w:t>
      </w:r>
      <w:r>
        <w:t xml:space="preserve">Held-out samples labelled by an independent language model give the screen a weighted precision of 0.67 and a recall of 0.97 on forms it was not trained on, and the measures line up with OECD AI patent portfolios (</w:t>
      </w:r>
      <w:hyperlink w:anchor="appendix-a10">
        <w:r>
          <w:rPr>
            <w:rStyle w:val="Hipervnculo"/>
          </w:rPr>
          <w:t xml:space="preserve">Appendix A.10</w:t>
        </w:r>
      </w:hyperlink>
      <w:r>
        <w:t xml:space="preserve">). Systematic human verification is still to be run: the atomic validator built for it is described in the appendix.</w:t>
      </w:r>
    </w:p>
    <w:p>
      <w:pPr>
        <w:pStyle w:val="Textoindependiente"/>
      </w:pPr>
      <w:r>
        <w:t xml:space="preserve">With the measurement in place, what follows is the diffusion of AI disclosure across the market and the communication postures that appear inside the S&amp;P 500.</w:t>
      </w:r>
    </w:p>
    <w:bookmarkEnd w:id="14"/>
    <w:bookmarkStart w:id="16" w:name="Xb2fcc8d8e31adba56a7f794440b3ba70d0fa170"/>
    <w:p>
      <w:pPr>
        <w:pStyle w:val="Ttulo2"/>
      </w:pPr>
      <w:r>
        <w:t xml:space="preserve">2.3 The expansion and diffusion of AI disclosures</w:t>
      </w:r>
    </w:p>
    <w:p>
      <w:pPr>
        <w:keepNext/>
        <w:pStyle w:val="FirstParagraph"/>
      </w:pPr>
      <w:r>
        <w:t xml:space="preserve">Between 2021 and 2025 AI moved from being an emerging topic to being a standard reporting item (</w:t>
      </w:r>
      <w:hyperlink w:anchor="fig-ai-diffusion">
        <w:r>
          <w:rPr>
            <w:rStyle w:val="Hipervnculo"/>
          </w:rPr>
          <w:t xml:space="preserve">Figure 3</w:t>
        </w:r>
      </w:hyperlink>
      <w:r>
        <w:t xml:space="preserve">): the share of S&amp;P 500 firms mentioning AI rose from 34.3% to 93.5%. A balanced cohort of the 465 firms observed continuously from 2021 to 2026 follows the same path (35% to 94%), so the growth reflects adoption across the whole market rather than survivorship or index rebalancing.</w:t>
      </w:r>
    </w:p>
    <w:tbl xmlns:a="http://schemas.openxmlformats.org/drawingml/2006/main" xmlns:pic="http://schemas.openxmlformats.org/drawingml/2006/picture">
      <w:tblPr>
        <w:tblStyle w:val="Table"/>
        <w:tblW w:type="pct" w:w="5000"/>
        <w:tblLayout w:type="fixed"/>
        <w:tblLook w:firstRow="0" w:lastRow="0" w:firstColumn="0" w:lastColumn="0" w:noHBand="0" w:noVBand="0" w:val="0000"/>
        <w:tblBorders>
          <w:top w:val="none"/>
          <w:left w:val="none"/>
          <w:bottom w:val="none"/>
          <w:right w:val="none"/>
          <w:insideH w:val="none"/>
          <w:insideV w:val="none"/>
        </w:tblBorders>
      </w:tblPr>
      <w:tblGrid>
        <w:gridCol w:w="7920"/>
      </w:tblGrid>
      <w:tr>
        <w:trPr>
          <w:cantSplit/>
        </w:trPr>
        <w:tc>
          <w:tcPr/>
          <w:bookmarkStart w:id="17" w:name="fig-ai-diffusion"/>
          <w:p>
            <w:pPr>
              <w:pStyle w:val="Compact"/>
              <w:jc w:val="center"/>
              <w:ind w:firstLine="0" w:left="0" w:right="0"/>
            </w:pPr>
            <w:r>
              <w:drawing>
                <wp:inline>
                  <wp:extent cx="5760085" cy="2278379"/>
                  <wp:effectExtent b="0" l="0" r="0" t="0"/>
                  <wp:docPr descr="" title="" id="3" name="Picture"/>
                  <a:graphic>
                    <a:graphicData uri="http://schemas.openxmlformats.org/drawingml/2006/picture">
                      <pic:pic>
                        <pic:nvPicPr>
                          <pic:cNvPr descr="thesis_files/figure-docx/fig-ai-diffusion-output-1.png" id="3" name="Picture"/>
                          <pic:cNvPicPr>
                            <a:picLocks noChangeArrowheads="1" noChangeAspect="1"/>
                          </pic:cNvPicPr>
                        </pic:nvPicPr>
                        <pic:blipFill>
                          <a:blip r:embed="rId24"/>
                          <a:stretch>
                            <a:fillRect/>
                          </a:stretch>
                        </pic:blipFill>
                        <pic:spPr bwMode="auto">
                          <a:xfrm>
                            <a:off x="0" y="0"/>
                            <a:ext cx="5760085" cy="2278379"/>
                          </a:xfrm>
                          <a:prstGeom prst="rect">
                            <a:avLst/>
                          </a:prstGeom>
                          <a:noFill/>
                          <a:ln w="9525">
                            <a:noFill/>
                            <a:headEnd/>
                            <a:tailEnd/>
                          </a:ln>
                        </pic:spPr>
                      </pic:pic>
                    </a:graphicData>
                  </a:graphic>
                </wp:inline>
              </w:drawing>
            </w:r>
          </w:p>
          <w:p>
            <w:pPr>
              <w:pStyle w:val="ImageCaption"/>
              <w:jc w:val="left"/>
              <w:spacing w:before="200"/>
              <w:ind w:firstLine="0" w:left="0" w:right="0"/>
            </w:pPr>
            <w:r>
              <w:t xml:space="preserve">Figure 3:</w:t>
            </w:r>
            <w:r>
              <w:t xml:space="preserve"> </w:t>
            </w:r>
            <w:r>
              <w:rPr>
                <w:rStyle w:val="CaptionText"/>
              </w:rPr>
              <w:t xml:space="preserve">The diffusion of corporate AI disclosure across the S&amp;P 500, 2021–2025 (2026 shown as year-to-date).</w:t>
            </w:r>
            <w:r>
              <w:t xml:space="preserve"> </w:t>
            </w:r>
            <w:r>
              <w:rPr>
                <w:b w:val="0"/>
                <w:bCs w:val="0"/>
                <w:color w:val="595959"/>
              </w:rPr>
              <w:t xml:space="preserve">Panel A: participation, % of disclosing firms. Panel B: narrative intensity, AI frames per 1,000 words. Generative AI commercialization inflection marked.</w:t>
            </w:r>
          </w:p>
          <w:bookmarkEnd w:id="15"/>
        </w:tc>
      </w:tr>
    </w:tbl>
    <w:p>
      <w:pPr>
        <w:pStyle w:val="Textoindependiente"/>
      </w:pPr>
      <w:r>
        <w:t xml:space="preserve">Once almost every large firm talks about AI, presence alone says little. At 93.5% participation,</w:t>
      </w:r>
      <w:r>
        <w:t xml:space="preserve"> </w:t>
      </w:r>
      <w:r>
        <w:rPr>
          <w:i/>
          <w:iCs/>
        </w:rPr>
        <w:t xml:space="preserve">whether</w:t>
      </w:r>
      <w:r>
        <w:t xml:space="preserve"> </w:t>
      </w:r>
      <w:r>
        <w:t xml:space="preserve">a firm discloses AI no longer separates firms. What separates them is</w:t>
      </w:r>
      <w:r>
        <w:t xml:space="preserve"> </w:t>
      </w:r>
      <w:r>
        <w:rPr>
          <w:i/>
          <w:iCs/>
        </w:rPr>
        <w:t xml:space="preserve">how</w:t>
      </w:r>
      <w:r>
        <w:t xml:space="preserve"> </w:t>
      </w:r>
      <w:r>
        <w:t xml:space="preserve">they communicate: the framing, emphasis, risk perception, and specificity that make up their disclosure posture.</w:t>
      </w:r>
    </w:p>
    <w:bookmarkEnd w:id="16"/>
    <w:bookmarkStart w:id="18" w:name="the-dimensions-of-ai-disclosure-strategy"/>
    <w:p>
      <w:pPr>
        <w:pStyle w:val="Ttulo2"/>
      </w:pPr>
      <w:r>
        <w:t xml:space="preserve">2.4 The dimensions of AI disclosure strategy</w:t>
      </w:r>
    </w:p>
    <w:p>
      <w:pPr>
        <w:pStyle w:val="FirstParagraph"/>
      </w:pPr>
      <w:r>
        <w:t xml:space="preserve">Communication Posture (</w:t>
      </w:r>
      <m:oMath>
        <m:r>
          <w:rPr>
            <w:sz w:val="22"/>
          </w:rPr>
          <m:t>P</m:t>
        </m:r>
      </m:oMath>
      <w:r>
        <w:t xml:space="preserve">) is described by seven frame-level dimensions. Disclosure intensity (</w:t>
      </w:r>
      <m:oMath>
        <m:r>
          <w:rPr>
            <w:sz w:val="22"/>
          </w:rPr>
          <m:t>D</m:t>
        </m:r>
      </m:oMath>
      <w:r>
        <w:t xml:space="preserve">) adds narrative volume, which makes eight dimensions in total. The archetypes are fitted on the seven posture dimensions only: how much a firm discloses is a different question from how it discloses, and if the two are mixed, volume dominates the result.</w:t>
      </w:r>
      <w:r>
        <w:t xml:space="preserve"> </w:t>
      </w:r>
      <w:hyperlink w:anchor="tbl-strategy-dimensions">
        <w:r>
          <w:rPr>
            <w:rStyle w:val="Hipervnculo"/>
          </w:rPr>
          <w:t xml:space="preserve">Table 4</w:t>
        </w:r>
      </w:hyperlink>
      <w:r>
        <w:t xml:space="preserve"> </w:t>
      </w:r>
      <w:r>
        <w:t xml:space="preserve">defines each dimension and</w:t>
      </w:r>
      <w:r>
        <w:t xml:space="preserve"> </w:t>
      </w:r>
      <w:hyperlink w:anchor="fig-strategy-dimensions-dist">
        <w:r>
          <w:rPr>
            <w:rStyle w:val="Hipervnculo"/>
          </w:rPr>
          <w:t xml:space="preserve">Figure 4</w:t>
        </w:r>
      </w:hyperlink>
      <w:r>
        <w:t xml:space="preserve"> </w:t>
      </w:r>
      <w:r>
        <w:t xml:space="preserve">shows how they are distributed across the S&amp;P 500.</w:t>
      </w:r>
    </w:p>
    <w:bookmarkStart w:id="19" w:name="tbl-strategy-dimensions"/>
    <w:p>
      <w:pPr>
        <w:keepNext/>
        <w:pStyle w:val="ImageCaption"/>
        <w:jc w:val="left"/>
        <w:spacing w:before="200"/>
        <w:ind w:firstLine="0" w:left="0" w:right="0"/>
      </w:pPr>
      <w:r>
        <w:t xml:space="preserve">Table 4: Operational definitions of the eight AI disclosure strategy dimensions.</w:t>
      </w:r>
    </w:p>
    <w:tbl>
      <w:tblPr>
        <w:tblStyle w:val="Table"/>
        <w:tblW w:type="pct" w:w="5000"/>
        <w:jc w:val="center"/>
        <w:tblLayout w:type="fixed"/>
        <w:tblLook w:firstRow="1" w:lastRow="0" w:firstColumn="0" w:lastColumn="0" w:noHBand="0" w:noVBand="0" w:val="0020"/>
        <w:tblBorders>
          <w:top w:val="single" w:sz="8" w:space="0" w:color="0F172A"/>
          <w:bottom w:val="single" w:sz="8" w:space="0" w:color="0F172A"/>
          <w:left w:val="none"/>
          <w:right w:val="none"/>
          <w:insideH w:val="single" w:sz="4" w:space="0" w:color="E2E8F0"/>
          <w:insideV w:val="none"/>
        </w:tblBorders>
        <w:tblCellMar>
          <w:top w:w="26" w:type="dxa"/>
          <w:bottom w:w="26" w:type="dxa"/>
          <w:left w:w="48" w:type="dxa"/>
          <w:right w:w="48" w:type="dxa"/>
        </w:tblCellMar>
      </w:tblPr>
      <w:tblGrid>
        <w:gridCol w:w="1980"/>
        <w:gridCol w:w="1980"/>
        <w:gridCol w:w="1980"/>
        <w:gridCol w:w="1980"/>
      </w:tblGrid>
      <w:tr>
        <w:trPr>
          <w:tblHeader w:val="on"/>
          <w:cantSplit/>
          <w:tblHeader/>
        </w:trPr>
        <w:tc>
          <w:tcPr>
            <w:shd w:fill="F1F5F9"/>
            <w:tcBorders>
              <w:bottom w:val="single" w:sz="8" w:space="0" w:color="475569"/>
            </w:tcBorders>
          </w:tcPr>
          <w:p>
            <w:pPr>
              <w:pStyle w:val="Compact"/>
              <w:keepNext/>
              <w:spacing w:before="8" w:after="8" w:line="240" w:lineRule="auto"/>
              <w:ind w:firstLine="0" w:left="0" w:right="0"/>
              <w:jc w:val="left"/>
            </w:pPr>
            <w:r>
              <w:rPr>
                <w:rFonts w:ascii="Calibri" w:hAnsi="Calibri"/>
                <w:b/>
                <w:color w:val="0F172A"/>
                <w:sz w:val="16"/>
              </w:rPr>
              <w:t xml:space="preserve">Dimension</w:t>
            </w:r>
          </w:p>
        </w:tc>
        <w:tc>
          <w:tcPr>
            <w:shd w:fill="F1F5F9"/>
            <w:tcBorders>
              <w:bottom w:val="single" w:sz="8" w:space="0" w:color="475569"/>
            </w:tcBorders>
          </w:tcPr>
          <w:p>
            <w:pPr>
              <w:pStyle w:val="Compact"/>
              <w:keepNext/>
              <w:spacing w:before="8" w:after="8" w:line="240" w:lineRule="auto"/>
              <w:ind w:firstLine="0" w:left="0" w:right="0"/>
              <w:jc w:val="left"/>
            </w:pPr>
            <w:r>
              <w:rPr>
                <w:rFonts w:ascii="Calibri" w:hAnsi="Calibri"/>
                <w:b/>
                <w:color w:val="0F172A"/>
                <w:sz w:val="16"/>
              </w:rPr>
              <w:t xml:space="preserve">Operational Definition</w:t>
            </w:r>
          </w:p>
        </w:tc>
        <w:tc>
          <w:tcPr>
            <w:shd w:fill="F1F5F9"/>
            <w:tcBorders>
              <w:bottom w:val="single" w:sz="8" w:space="0" w:color="475569"/>
            </w:tcBorders>
          </w:tcPr>
          <w:p>
            <w:pPr>
              <w:pStyle w:val="Compact"/>
              <w:keepNext/>
              <w:spacing w:before="8" w:after="8" w:line="240" w:lineRule="auto"/>
              <w:ind w:firstLine="0" w:left="0" w:right="0"/>
              <w:jc w:val="left"/>
            </w:pPr>
            <w:r>
              <w:rPr>
                <w:rFonts w:ascii="Calibri" w:hAnsi="Calibri"/>
                <w:b/>
                <w:color w:val="0F172A"/>
                <w:sz w:val="16"/>
              </w:rPr>
              <w:t xml:space="preserve">Range</w:t>
            </w:r>
          </w:p>
        </w:tc>
        <w:tc>
          <w:tcPr>
            <w:shd w:fill="F1F5F9"/>
            <w:tcBorders>
              <w:bottom w:val="single" w:sz="8" w:space="0" w:color="475569"/>
            </w:tcBorders>
          </w:tcPr>
          <w:p>
            <w:pPr>
              <w:pStyle w:val="Compact"/>
              <w:keepNext/>
              <w:spacing w:before="8" w:after="8" w:line="240" w:lineRule="auto"/>
              <w:ind w:firstLine="0" w:left="0" w:right="0"/>
              <w:jc w:val="left"/>
            </w:pPr>
            <w:r>
              <w:rPr>
                <w:rFonts w:ascii="Calibri" w:hAnsi="Calibri"/>
                <w:b/>
                <w:color w:val="0F172A"/>
                <w:sz w:val="16"/>
              </w:rPr>
              <w:t xml:space="preserve">Managerial Meaning</w:t>
            </w:r>
          </w:p>
        </w:tc>
      </w:tr>
      <w:tr>
        <w:trPr>
          <w:cantSplit/>
        </w:trPr>
        <w:tc>
          <w:tcPr/>
          <w:p>
            <w:pPr>
              <w:pStyle w:val="Compact"/>
              <w:keepNext/>
              <w:spacing w:before="8" w:after="8" w:line="240" w:lineRule="auto"/>
              <w:ind w:firstLine="0" w:left="0" w:right="0"/>
              <w:jc w:val="left"/>
            </w:pPr>
            <w:r>
              <w:rPr>
                <w:rFonts w:ascii="Calibri" w:hAnsi="Calibri"/>
                <w:b/>
                <w:bCs/>
                <w:sz w:val="16"/>
              </w:rPr>
              <w:t xml:space="preserve">Promotional posture</w:t>
            </w:r>
          </w:p>
        </w:tc>
        <w:tc>
          <w:tcPr/>
          <w:p>
            <w:pPr>
              <w:pStyle w:val="Compact"/>
              <w:keepNext/>
              <w:spacing w:before="8" w:after="8" w:line="240" w:lineRule="auto"/>
              <w:ind w:firstLine="0" w:left="0" w:right="0"/>
              <w:jc w:val="left"/>
            </w:pPr>
            <w:r>
              <w:rPr>
                <w:rFonts w:ascii="Calibri" w:hAnsi="Calibri"/>
                <w:sz w:val="16"/>
              </w:rPr>
              <w:t xml:space="preserve">Average of promotional tone and strategic-importance framing</w:t>
            </w:r>
          </w:p>
        </w:tc>
        <w:tc>
          <w:tcPr/>
          <w:p>
            <w:pPr>
              <w:pStyle w:val="Compact"/>
              <w:keepNext/>
              <w:spacing w:before="8" w:after="8" w:line="240" w:lineRule="auto"/>
              <w:ind w:firstLine="0" w:left="0" w:right="0"/>
              <w:jc w:val="left"/>
            </w:pPr>
            <m:oMath>
              <m:d>
                <m:dPr>
                  <m:begChr m:val="["/>
                  <m:sepChr m:val=""/>
                  <m:endChr m:val="]"/>
                  <m:grow/>
                </m:dPr>
                <m:e>
                  <m:r>
                    <w:rPr>
                      <w:sz w:val="16"/>
                    </w:rPr>
                    <m:t>0</m:t>
                  </m:r>
                  <m:r>
                    <m:rPr>
                      <m:sty m:val="p"/>
                    </m:rPr>
                    <w:rPr>
                      <w:sz w:val="16"/>
                    </w:rPr>
                    <m:t>,</m:t>
                  </m:r>
                  <m:r>
                    <w:rPr>
                      <w:sz w:val="16"/>
                    </w:rPr>
                    <m:t>1</m:t>
                  </m:r>
                </m:e>
              </m:d>
            </m:oMath>
          </w:p>
        </w:tc>
        <w:tc>
          <w:tcPr/>
          <w:p>
            <w:pPr>
              <w:pStyle w:val="Compact"/>
              <w:keepNext/>
              <w:spacing w:before="8" w:after="8" w:line="240" w:lineRule="auto"/>
              <w:ind w:firstLine="0" w:left="0" w:right="0"/>
              <w:jc w:val="left"/>
            </w:pPr>
            <w:r>
              <w:rPr>
                <w:rFonts w:ascii="Calibri" w:hAnsi="Calibri"/>
                <w:sz w:val="16"/>
              </w:rPr>
              <w:t xml:space="preserve">Extent to which AI is communicated as a transformative strategic asset</w:t>
            </w:r>
          </w:p>
        </w:tc>
      </w:tr>
      <w:tr>
        <w:trPr>
          <w:cantSplit/>
        </w:trPr>
        <w:tc>
          <w:tcPr/>
          <w:p>
            <w:pPr>
              <w:pStyle w:val="Compact"/>
              <w:keepNext/>
              <w:spacing w:before="8" w:after="8" w:line="240" w:lineRule="auto"/>
              <w:ind w:firstLine="0" w:left="0" w:right="0"/>
              <w:jc w:val="left"/>
            </w:pPr>
            <w:r>
              <w:rPr>
                <w:rFonts w:ascii="Calibri" w:hAnsi="Calibri"/>
                <w:b/>
                <w:bCs/>
                <w:sz w:val="16"/>
              </w:rPr>
              <w:t xml:space="preserve">Hedging posture</w:t>
            </w:r>
          </w:p>
        </w:tc>
        <w:tc>
          <w:tcPr/>
          <w:p>
            <w:pPr>
              <w:pStyle w:val="Compact"/>
              <w:keepNext/>
              <w:spacing w:before="8" w:after="8" w:line="240" w:lineRule="auto"/>
              <w:ind w:firstLine="0" w:left="0" w:right="0"/>
              <w:jc w:val="left"/>
            </w:pPr>
            <w:r>
              <w:rPr>
                <w:rFonts w:ascii="Calibri" w:hAnsi="Calibri"/>
                <w:sz w:val="16"/>
              </w:rPr>
              <w:t xml:space="preserve">Share of statements framed with cautious or conditional language</w:t>
            </w:r>
          </w:p>
        </w:tc>
        <w:tc>
          <w:tcPr/>
          <w:p>
            <w:pPr>
              <w:pStyle w:val="Compact"/>
              <w:keepNext/>
              <w:spacing w:before="8" w:after="8" w:line="240" w:lineRule="auto"/>
              <w:ind w:firstLine="0" w:left="0" w:right="0"/>
              <w:jc w:val="left"/>
            </w:pPr>
            <m:oMath>
              <m:d>
                <m:dPr>
                  <m:begChr m:val="["/>
                  <m:sepChr m:val=""/>
                  <m:endChr m:val="]"/>
                  <m:grow/>
                </m:dPr>
                <m:e>
                  <m:r>
                    <w:rPr>
                      <w:sz w:val="16"/>
                    </w:rPr>
                    <m:t>0</m:t>
                  </m:r>
                  <m:r>
                    <m:rPr>
                      <m:sty m:val="p"/>
                    </m:rPr>
                    <w:rPr>
                      <w:sz w:val="16"/>
                    </w:rPr>
                    <m:t>,</m:t>
                  </m:r>
                  <m:r>
                    <w:rPr>
                      <w:sz w:val="16"/>
                    </w:rPr>
                    <m:t>1</m:t>
                  </m:r>
                </m:e>
              </m:d>
            </m:oMath>
          </w:p>
        </w:tc>
        <w:tc>
          <w:tcPr/>
          <w:p>
            <w:pPr>
              <w:pStyle w:val="Compact"/>
              <w:keepNext/>
              <w:spacing w:before="8" w:after="8" w:line="240" w:lineRule="auto"/>
              <w:ind w:firstLine="0" w:left="0" w:right="0"/>
              <w:jc w:val="left"/>
            </w:pPr>
            <w:r>
              <w:rPr>
                <w:rFonts w:ascii="Calibri" w:hAnsi="Calibri"/>
                <w:sz w:val="16"/>
              </w:rPr>
              <w:t xml:space="preserve">Degree to which AI claims are qualified rather than asserted outright</w:t>
            </w:r>
          </w:p>
        </w:tc>
      </w:tr>
      <w:tr>
        <w:trPr>
          <w:cantSplit/>
        </w:trPr>
        <w:tc>
          <w:tcPr/>
          <w:p>
            <w:pPr>
              <w:pStyle w:val="Compact"/>
              <w:keepNext/>
              <w:spacing w:before="8" w:after="8" w:line="240" w:lineRule="auto"/>
              <w:ind w:firstLine="0" w:left="0" w:right="0"/>
              <w:jc w:val="left"/>
            </w:pPr>
            <w:r>
              <w:rPr>
                <w:rFonts w:ascii="Calibri" w:hAnsi="Calibri"/>
                <w:b/>
                <w:bCs/>
                <w:sz w:val="16"/>
              </w:rPr>
              <w:t xml:space="preserve">Risk orientation</w:t>
            </w:r>
          </w:p>
        </w:tc>
        <w:tc>
          <w:tcPr/>
          <w:p>
            <w:pPr>
              <w:pStyle w:val="Compact"/>
              <w:keepNext/>
              <w:spacing w:before="8" w:after="8" w:line="240" w:lineRule="auto"/>
              <w:ind w:firstLine="0" w:left="0" w:right="0"/>
              <w:jc w:val="left"/>
            </w:pPr>
            <w:r>
              <w:rPr>
                <w:rFonts w:ascii="Calibri" w:hAnsi="Calibri"/>
                <w:sz w:val="16"/>
              </w:rPr>
              <w:t xml:space="preserve">Share of statements containing risk, uncertainty, or dependency concepts</w:t>
            </w:r>
          </w:p>
        </w:tc>
        <w:tc>
          <w:tcPr/>
          <w:p>
            <w:pPr>
              <w:pStyle w:val="Compact"/>
              <w:keepNext/>
              <w:spacing w:before="8" w:after="8" w:line="240" w:lineRule="auto"/>
              <w:ind w:firstLine="0" w:left="0" w:right="0"/>
              <w:jc w:val="left"/>
            </w:pPr>
            <m:oMath>
              <m:d>
                <m:dPr>
                  <m:begChr m:val="["/>
                  <m:sepChr m:val=""/>
                  <m:endChr m:val="]"/>
                  <m:grow/>
                </m:dPr>
                <m:e>
                  <m:r>
                    <w:rPr>
                      <w:sz w:val="16"/>
                    </w:rPr>
                    <m:t>0</m:t>
                  </m:r>
                  <m:r>
                    <m:rPr>
                      <m:sty m:val="p"/>
                    </m:rPr>
                    <w:rPr>
                      <w:sz w:val="16"/>
                    </w:rPr>
                    <m:t>,</m:t>
                  </m:r>
                  <m:r>
                    <w:rPr>
                      <w:sz w:val="16"/>
                    </w:rPr>
                    <m:t>1</m:t>
                  </m:r>
                </m:e>
              </m:d>
            </m:oMath>
          </w:p>
        </w:tc>
        <w:tc>
          <w:tcPr/>
          <w:p>
            <w:pPr>
              <w:pStyle w:val="Compact"/>
              <w:keepNext/>
              <w:spacing w:before="8" w:after="8" w:line="240" w:lineRule="auto"/>
              <w:ind w:firstLine="0" w:left="0" w:right="0"/>
              <w:jc w:val="left"/>
            </w:pPr>
            <w:r>
              <w:rPr>
                <w:rFonts w:ascii="Calibri" w:hAnsi="Calibri"/>
                <w:sz w:val="16"/>
              </w:rPr>
              <w:t xml:space="preserve">Degree to which AI is treated as an operational vulnerability or hazard</w:t>
            </w:r>
          </w:p>
        </w:tc>
      </w:tr>
      <w:tr>
        <w:trPr>
          <w:cantSplit/>
        </w:trPr>
        <w:tc>
          <w:tcPr/>
          <w:p>
            <w:pPr>
              <w:pStyle w:val="Compact"/>
              <w:keepNext/>
              <w:spacing w:before="8" w:after="8" w:line="240" w:lineRule="auto"/>
              <w:ind w:firstLine="0" w:left="0" w:right="0"/>
              <w:jc w:val="left"/>
            </w:pPr>
            <w:r>
              <w:rPr>
                <w:rFonts w:ascii="Calibri" w:hAnsi="Calibri"/>
                <w:b/>
                <w:bCs/>
                <w:sz w:val="16"/>
              </w:rPr>
              <w:t xml:space="preserve">Governance orientation</w:t>
            </w:r>
          </w:p>
        </w:tc>
        <w:tc>
          <w:tcPr/>
          <w:p>
            <w:pPr>
              <w:pStyle w:val="Compact"/>
              <w:keepNext/>
              <w:spacing w:before="8" w:after="8" w:line="240" w:lineRule="auto"/>
              <w:ind w:firstLine="0" w:left="0" w:right="0"/>
              <w:jc w:val="left"/>
            </w:pPr>
            <w:r>
              <w:rPr>
                <w:rFonts w:ascii="Calibri" w:hAnsi="Calibri"/>
                <w:sz w:val="16"/>
              </w:rPr>
              <w:t xml:space="preserve">Share of statements containing oversight, ethics, or compliance policies</w:t>
            </w:r>
          </w:p>
        </w:tc>
        <w:tc>
          <w:tcPr/>
          <w:p>
            <w:pPr>
              <w:pStyle w:val="Compact"/>
              <w:keepNext/>
              <w:spacing w:before="8" w:after="8" w:line="240" w:lineRule="auto"/>
              <w:ind w:firstLine="0" w:left="0" w:right="0"/>
              <w:jc w:val="left"/>
            </w:pPr>
            <m:oMath>
              <m:d>
                <m:dPr>
                  <m:begChr m:val="["/>
                  <m:sepChr m:val=""/>
                  <m:endChr m:val="]"/>
                  <m:grow/>
                </m:dPr>
                <m:e>
                  <m:r>
                    <w:rPr>
                      <w:sz w:val="16"/>
                    </w:rPr>
                    <m:t>0</m:t>
                  </m:r>
                  <m:r>
                    <m:rPr>
                      <m:sty m:val="p"/>
                    </m:rPr>
                    <w:rPr>
                      <w:sz w:val="16"/>
                    </w:rPr>
                    <m:t>,</m:t>
                  </m:r>
                  <m:r>
                    <w:rPr>
                      <w:sz w:val="16"/>
                    </w:rPr>
                    <m:t>1</m:t>
                  </m:r>
                </m:e>
              </m:d>
            </m:oMath>
          </w:p>
        </w:tc>
        <w:tc>
          <w:tcPr/>
          <w:p>
            <w:pPr>
              <w:pStyle w:val="Compact"/>
              <w:keepNext/>
              <w:spacing w:before="8" w:after="8" w:line="240" w:lineRule="auto"/>
              <w:ind w:firstLine="0" w:left="0" w:right="0"/>
              <w:jc w:val="left"/>
            </w:pPr>
            <w:r>
              <w:rPr>
                <w:rFonts w:ascii="Calibri" w:hAnsi="Calibri"/>
                <w:sz w:val="16"/>
              </w:rPr>
              <w:t xml:space="preserve">Formal institutionalization of model oversight and responsible AI guardrails</w:t>
            </w:r>
          </w:p>
        </w:tc>
      </w:tr>
      <w:tr>
        <w:trPr>
          <w:cantSplit/>
        </w:trPr>
        <w:tc>
          <w:tcPr/>
          <w:p>
            <w:pPr>
              <w:pStyle w:val="Compact"/>
              <w:keepNext/>
              <w:spacing w:before="8" w:after="8" w:line="240" w:lineRule="auto"/>
              <w:ind w:firstLine="0" w:left="0" w:right="0"/>
              <w:jc w:val="left"/>
            </w:pPr>
            <w:r>
              <w:rPr>
                <w:rFonts w:ascii="Calibri" w:hAnsi="Calibri"/>
                <w:b/>
                <w:bCs/>
                <w:sz w:val="16"/>
              </w:rPr>
              <w:t xml:space="preserve">Claim realization</w:t>
            </w:r>
          </w:p>
        </w:tc>
        <w:tc>
          <w:tcPr/>
          <w:p>
            <w:pPr>
              <w:pStyle w:val="Compact"/>
              <w:keepNext/>
              <w:spacing w:before="8" w:after="8" w:line="240" w:lineRule="auto"/>
              <w:ind w:firstLine="0" w:left="0" w:right="0"/>
              <w:jc w:val="left"/>
            </w:pPr>
            <w:r>
              <w:rPr>
                <w:rFonts w:ascii="Calibri" w:hAnsi="Calibri"/>
                <w:sz w:val="16"/>
              </w:rPr>
              <w:t xml:space="preserve">Share of statements describing current, realized usage rather than planned/future intentions</w:t>
            </w:r>
          </w:p>
        </w:tc>
        <w:tc>
          <w:tcPr/>
          <w:p>
            <w:pPr>
              <w:pStyle w:val="Compact"/>
              <w:keepNext/>
              <w:spacing w:before="8" w:after="8" w:line="240" w:lineRule="auto"/>
              <w:ind w:firstLine="0" w:left="0" w:right="0"/>
              <w:jc w:val="left"/>
            </w:pPr>
            <m:oMath>
              <m:d>
                <m:dPr>
                  <m:begChr m:val="["/>
                  <m:sepChr m:val=""/>
                  <m:endChr m:val="]"/>
                  <m:grow/>
                </m:dPr>
                <m:e>
                  <m:r>
                    <w:rPr>
                      <w:sz w:val="16"/>
                    </w:rPr>
                    <m:t>0</m:t>
                  </m:r>
                  <m:r>
                    <m:rPr>
                      <m:sty m:val="p"/>
                    </m:rPr>
                    <w:rPr>
                      <w:sz w:val="16"/>
                    </w:rPr>
                    <m:t>,</m:t>
                  </m:r>
                  <m:r>
                    <w:rPr>
                      <w:sz w:val="16"/>
                    </w:rPr>
                    <m:t>1</m:t>
                  </m:r>
                </m:e>
              </m:d>
            </m:oMath>
          </w:p>
        </w:tc>
        <w:tc>
          <w:tcPr/>
          <w:p>
            <w:pPr>
              <w:pStyle w:val="Compact"/>
              <w:keepNext/>
              <w:spacing w:before="8" w:after="8" w:line="240" w:lineRule="auto"/>
              <w:ind w:firstLine="0" w:left="0" w:right="0"/>
              <w:jc w:val="left"/>
            </w:pPr>
            <w:r>
              <w:rPr>
                <w:rFonts w:ascii="Calibri" w:hAnsi="Calibri"/>
                <w:sz w:val="16"/>
              </w:rPr>
              <w:t xml:space="preserve">Operational maturity: active/realized deployment vs. future roadmap or intent</w:t>
            </w:r>
          </w:p>
        </w:tc>
      </w:tr>
      <w:tr>
        <w:trPr>
          <w:cantSplit/>
        </w:trPr>
        <w:tc>
          <w:tcPr/>
          <w:p>
            <w:pPr>
              <w:pStyle w:val="Compact"/>
              <w:keepNext/>
              <w:spacing w:before="8" w:after="8" w:line="240" w:lineRule="auto"/>
              <w:ind w:firstLine="0" w:left="0" w:right="0"/>
              <w:jc w:val="left"/>
            </w:pPr>
            <w:r>
              <w:rPr>
                <w:rFonts w:ascii="Calibri" w:hAnsi="Calibri"/>
                <w:b/>
                <w:bCs/>
                <w:sz w:val="16"/>
              </w:rPr>
              <w:t xml:space="preserve">Customer-facing</w:t>
            </w:r>
          </w:p>
        </w:tc>
        <w:tc>
          <w:tcPr/>
          <w:p>
            <w:pPr>
              <w:pStyle w:val="Compact"/>
              <w:keepNext/>
              <w:spacing w:before="8" w:after="8" w:line="240" w:lineRule="auto"/>
              <w:ind w:firstLine="0" w:left="0" w:right="0"/>
              <w:jc w:val="left"/>
            </w:pPr>
            <w:r>
              <w:rPr>
                <w:rFonts w:ascii="Calibri" w:hAnsi="Calibri"/>
                <w:sz w:val="16"/>
              </w:rPr>
              <w:t xml:space="preserve">Share of statements oriented toward external clients and commercial offerings</w:t>
            </w:r>
          </w:p>
        </w:tc>
        <w:tc>
          <w:tcPr/>
          <w:p>
            <w:pPr>
              <w:pStyle w:val="Compact"/>
              <w:keepNext/>
              <w:spacing w:before="8" w:after="8" w:line="240" w:lineRule="auto"/>
              <w:ind w:firstLine="0" w:left="0" w:right="0"/>
              <w:jc w:val="left"/>
            </w:pPr>
            <m:oMath>
              <m:d>
                <m:dPr>
                  <m:begChr m:val="["/>
                  <m:sepChr m:val=""/>
                  <m:endChr m:val="]"/>
                  <m:grow/>
                </m:dPr>
                <m:e>
                  <m:r>
                    <w:rPr>
                      <w:sz w:val="16"/>
                    </w:rPr>
                    <m:t>0</m:t>
                  </m:r>
                  <m:r>
                    <m:rPr>
                      <m:sty m:val="p"/>
                    </m:rPr>
                    <w:rPr>
                      <w:sz w:val="16"/>
                    </w:rPr>
                    <m:t>,</m:t>
                  </m:r>
                  <m:r>
                    <w:rPr>
                      <w:sz w:val="16"/>
                    </w:rPr>
                    <m:t>1</m:t>
                  </m:r>
                </m:e>
              </m:d>
            </m:oMath>
          </w:p>
        </w:tc>
        <w:tc>
          <w:tcPr/>
          <w:p>
            <w:pPr>
              <w:pStyle w:val="Compact"/>
              <w:keepNext/>
              <w:spacing w:before="8" w:after="8" w:line="240" w:lineRule="auto"/>
              <w:ind w:firstLine="0" w:left="0" w:right="0"/>
              <w:jc w:val="left"/>
            </w:pPr>
            <w:r>
              <w:rPr>
                <w:rFonts w:ascii="Calibri" w:hAnsi="Calibri"/>
                <w:sz w:val="16"/>
              </w:rPr>
              <w:t xml:space="preserve">Commercial orientation: external client products vs. internal operating workflows</w:t>
            </w:r>
          </w:p>
        </w:tc>
      </w:tr>
      <w:tr>
        <w:trPr>
          <w:cantSplit/>
        </w:trPr>
        <w:tc>
          <w:tcPr/>
          <w:p>
            <w:pPr>
              <w:pStyle w:val="Compact"/>
              <w:keepNext/>
              <w:spacing w:before="8" w:after="8" w:line="240" w:lineRule="auto"/>
              <w:ind w:firstLine="0" w:left="0" w:right="0"/>
              <w:jc w:val="left"/>
            </w:pPr>
            <w:r>
              <w:rPr>
                <w:rFonts w:ascii="Calibri" w:hAnsi="Calibri"/>
                <w:b/>
                <w:bCs/>
                <w:sz w:val="16"/>
              </w:rPr>
              <w:t xml:space="preserve">Claim specificity</w:t>
            </w:r>
          </w:p>
        </w:tc>
        <w:tc>
          <w:tcPr/>
          <w:p>
            <w:pPr>
              <w:pStyle w:val="Compact"/>
              <w:keepNext/>
              <w:spacing w:before="8" w:after="8" w:line="240" w:lineRule="auto"/>
              <w:ind w:firstLine="0" w:left="0" w:right="0"/>
              <w:jc w:val="left"/>
            </w:pPr>
            <w:r>
              <w:rPr>
                <w:rFonts w:ascii="Calibri" w:hAnsi="Calibri"/>
                <w:sz w:val="16"/>
              </w:rPr>
              <w:t xml:space="preserve">Mean of 5 binary grounding flags (process, product, vendor, metric, timeline)</w:t>
            </w:r>
          </w:p>
        </w:tc>
        <w:tc>
          <w:tcPr/>
          <w:p>
            <w:pPr>
              <w:pStyle w:val="Compact"/>
              <w:keepNext/>
              <w:spacing w:before="8" w:after="8" w:line="240" w:lineRule="auto"/>
              <w:ind w:firstLine="0" w:left="0" w:right="0"/>
              <w:jc w:val="left"/>
            </w:pPr>
            <m:oMath>
              <m:d>
                <m:dPr>
                  <m:begChr m:val="["/>
                  <m:sepChr m:val=""/>
                  <m:endChr m:val="]"/>
                  <m:grow/>
                </m:dPr>
                <m:e>
                  <m:r>
                    <w:rPr>
                      <w:sz w:val="16"/>
                    </w:rPr>
                    <m:t>0</m:t>
                  </m:r>
                  <m:r>
                    <m:rPr>
                      <m:sty m:val="p"/>
                    </m:rPr>
                    <w:rPr>
                      <w:sz w:val="16"/>
                    </w:rPr>
                    <m:t>,</m:t>
                  </m:r>
                  <m:r>
                    <w:rPr>
                      <w:sz w:val="16"/>
                    </w:rPr>
                    <m:t>1</m:t>
                  </m:r>
                </m:e>
              </m:d>
            </m:oMath>
          </w:p>
        </w:tc>
        <w:tc>
          <w:tcPr/>
          <w:p>
            <w:pPr>
              <w:pStyle w:val="Compact"/>
              <w:keepNext/>
              <w:spacing w:before="8" w:after="8" w:line="240" w:lineRule="auto"/>
              <w:ind w:firstLine="0" w:left="0" w:right="0"/>
              <w:jc w:val="left"/>
            </w:pPr>
            <w:r>
              <w:rPr>
                <w:rFonts w:ascii="Calibri" w:hAnsi="Calibri"/>
                <w:sz w:val="16"/>
              </w:rPr>
              <w:t xml:space="preserve">Falsifiability and informational granularity of corporate statements</w:t>
            </w:r>
          </w:p>
        </w:tc>
      </w:tr>
      <w:tr>
        <w:trPr>
          <w:cantSplit/>
        </w:trPr>
        <w:tc>
          <w:tcPr/>
          <w:p>
            <w:pPr>
              <w:pStyle w:val="Compact"/>
              <w:spacing w:before="8" w:after="8" w:line="240" w:lineRule="auto"/>
              <w:ind w:firstLine="0" w:left="0" w:right="0"/>
              <w:jc w:val="left"/>
            </w:pPr>
            <w:r>
              <w:rPr>
                <w:rFonts w:ascii="Calibri" w:hAnsi="Calibri"/>
                <w:b/>
                <w:bCs/>
                <w:sz w:val="16"/>
              </w:rPr>
              <w:t xml:space="preserve">Disclosure intensity</w:t>
            </w:r>
          </w:p>
        </w:tc>
        <w:tc>
          <w:tcPr/>
          <w:p>
            <w:pPr>
              <w:pStyle w:val="Compact"/>
              <w:spacing w:before="8" w:after="8" w:line="240" w:lineRule="auto"/>
              <w:ind w:firstLine="0" w:left="0" w:right="0"/>
              <w:jc w:val="left"/>
            </w:pPr>
            <w:r>
              <w:rPr>
                <w:rFonts w:ascii="Calibri" w:hAnsi="Calibri"/>
                <w:sz w:val="16"/>
              </w:rPr>
              <w:t xml:space="preserve">Percentile rank of AI semantic frames per 1,000 narrative words</w:t>
            </w:r>
          </w:p>
        </w:tc>
        <w:tc>
          <w:tcPr/>
          <w:p>
            <w:pPr>
              <w:pStyle w:val="Compact"/>
              <w:spacing w:before="8" w:after="8" w:line="240" w:lineRule="auto"/>
              <w:ind w:firstLine="0" w:left="0" w:right="0"/>
              <w:jc w:val="left"/>
            </w:pPr>
            <m:oMath>
              <m:d>
                <m:dPr>
                  <m:begChr m:val="["/>
                  <m:sepChr m:val=""/>
                  <m:endChr m:val="]"/>
                  <m:grow/>
                </m:dPr>
                <m:e>
                  <m:r>
                    <w:rPr>
                      <w:sz w:val="16"/>
                    </w:rPr>
                    <m:t>0</m:t>
                  </m:r>
                  <m:r>
                    <m:rPr>
                      <m:sty m:val="p"/>
                    </m:rPr>
                    <w:rPr>
                      <w:sz w:val="16"/>
                    </w:rPr>
                    <m:t>,</m:t>
                  </m:r>
                  <m:r>
                    <w:rPr>
                      <w:sz w:val="16"/>
                    </w:rPr>
                    <m:t>1</m:t>
                  </m:r>
                </m:e>
              </m:d>
            </m:oMath>
          </w:p>
        </w:tc>
        <w:tc>
          <w:tcPr/>
          <w:p>
            <w:pPr>
              <w:pStyle w:val="Compact"/>
              <w:spacing w:before="8" w:after="8" w:line="240" w:lineRule="auto"/>
              <w:ind w:firstLine="0" w:left="0" w:right="0"/>
              <w:jc w:val="left"/>
            </w:pPr>
            <w:r>
              <w:rPr>
                <w:rFonts w:ascii="Calibri" w:hAnsi="Calibri"/>
                <w:sz w:val="16"/>
              </w:rPr>
              <w:t xml:space="preserve">Overall narrative volume dedicated to artificial intelligence</w:t>
            </w:r>
          </w:p>
        </w:tc>
      </w:tr>
    </w:tbl>
    <w:bookmarkEnd w:id="17"/>
    <w:p/>
    <w:p>
      <w:pPr>
        <w:keepNext/>
        <w:pStyle w:val="Textoindependiente"/>
      </w:pPr>
      <w:r>
        <w:t xml:space="preserve">The eight dimensions behave very differently from each other across the S&amp;P 500: some cover almost the full range across firms, while others stay compressed near the lower bound for the typical firm (</w:t>
      </w:r>
      <w:hyperlink w:anchor="fig-strategy-dimensions-dist">
        <w:r>
          <w:rPr>
            <w:rStyle w:val="Hipervnculo"/>
          </w:rPr>
          <w:t xml:space="preserve">Figure 4</w:t>
        </w:r>
      </w:hyperlink>
      <w:r>
        <w:t xml:space="preserve">). Disclosure strategy is therefore not simply a matter of talking more or talking less; firms differ in which themes they emphasize, how concrete their evidence is, how far into the future they commit, and which function they point at, and only a multidimensional profile lets promotional framing be read against the concreteness of the underlying evidence in the same text. Earlier work on tone shows that these choices are managed and not mechanical:</w:t>
      </w:r>
      <w:r>
        <w:t xml:space="preserve"> </w:t>
      </w:r>
      <w:r>
        <w:t xml:space="preserve">Huang, Teoh, and Zhang (</w:t>
      </w:r>
      <w:hyperlink w:anchor="ref-huang2014">
        <w:r>
          <w:rPr>
            <w:rStyle w:val="Hipervnculo"/>
          </w:rPr>
          <w:t xml:space="preserve">2014</w:t>
        </w:r>
      </w:hyperlink>
      <w:r>
        <w:t xml:space="preserve">)</w:t>
      </w:r>
      <w:r>
        <w:t xml:space="preserve"> </w:t>
      </w:r>
      <w:r>
        <w:t xml:space="preserve">find that abnormally positive tone is not explained by fundamentals and predicts worse future performance, and</w:t>
      </w:r>
      <w:r>
        <w:t xml:space="preserve"> </w:t>
      </w:r>
      <w:r>
        <w:t xml:space="preserve">Cheng et al. (</w:t>
      </w:r>
      <w:hyperlink w:anchor="ref-cheng2019">
        <w:r>
          <w:rPr>
            <w:rStyle w:val="Hipervnculo"/>
          </w:rPr>
          <w:t xml:space="preserve">2019</w:t>
        </w:r>
      </w:hyperlink>
      <w:r>
        <w:t xml:space="preserve">)</w:t>
      </w:r>
      <w:r>
        <w:t xml:space="preserve"> </w:t>
      </w:r>
      <w:r>
        <w:t xml:space="preserve">that speculative talk grows during technology booms.</w:t>
      </w:r>
    </w:p>
    <w:tbl xmlns:a="http://schemas.openxmlformats.org/drawingml/2006/main" xmlns:pic="http://schemas.openxmlformats.org/drawingml/2006/picture">
      <w:tblPr>
        <w:tblStyle w:val="Table"/>
        <w:tblW w:type="pct" w:w="5000"/>
        <w:tblLayout w:type="fixed"/>
        <w:tblLook w:firstRow="0" w:lastRow="0" w:firstColumn="0" w:lastColumn="0" w:noHBand="0" w:noVBand="0" w:val="0000"/>
        <w:tblBorders>
          <w:top w:val="none"/>
          <w:left w:val="none"/>
          <w:bottom w:val="none"/>
          <w:right w:val="none"/>
          <w:insideH w:val="none"/>
          <w:insideV w:val="none"/>
        </w:tblBorders>
      </w:tblPr>
      <w:tblGrid>
        <w:gridCol w:w="7920"/>
      </w:tblGrid>
      <w:tr>
        <w:trPr>
          <w:cantSplit/>
        </w:trPr>
        <w:tc>
          <w:tcPr/>
          <w:bookmarkStart w:id="20" w:name="fig-strategy-dimensions-dist"/>
          <w:p>
            <w:pPr>
              <w:pStyle w:val="Compact"/>
              <w:jc w:val="center"/>
              <w:ind w:firstLine="0" w:left="0" w:right="0"/>
            </w:pPr>
            <w:r>
              <w:drawing>
                <wp:inline>
                  <wp:extent cx="5760085" cy="2850351"/>
                  <wp:effectExtent b="0" l="0" r="0" t="0"/>
                  <wp:docPr descr="" title="" id="4" name="Picture"/>
                  <a:graphic>
                    <a:graphicData uri="http://schemas.openxmlformats.org/drawingml/2006/picture">
                      <pic:pic>
                        <pic:nvPicPr>
                          <pic:cNvPr descr="thesis_files/figure-docx/fig-strategy-dimensions-dist-output-1.png" id="4" name="Picture"/>
                          <pic:cNvPicPr>
                            <a:picLocks noChangeArrowheads="1" noChangeAspect="1"/>
                          </pic:cNvPicPr>
                        </pic:nvPicPr>
                        <pic:blipFill>
                          <a:blip r:embed="rId25"/>
                          <a:stretch>
                            <a:fillRect/>
                          </a:stretch>
                        </pic:blipFill>
                        <pic:spPr bwMode="auto">
                          <a:xfrm>
                            <a:off x="0" y="0"/>
                            <a:ext cx="5760085" cy="2850351"/>
                          </a:xfrm>
                          <a:prstGeom prst="rect">
                            <a:avLst/>
                          </a:prstGeom>
                          <a:noFill/>
                          <a:ln w="9525">
                            <a:noFill/>
                            <a:headEnd/>
                            <a:tailEnd/>
                          </a:ln>
                        </pic:spPr>
                      </pic:pic>
                    </a:graphicData>
                  </a:graphic>
                </wp:inline>
              </w:drawing>
            </w:r>
          </w:p>
          <w:p>
            <w:pPr>
              <w:pStyle w:val="ImageCaption"/>
              <w:jc w:val="left"/>
              <w:spacing w:before="200"/>
              <w:ind w:firstLine="0" w:left="0" w:right="0"/>
            </w:pPr>
            <w:r>
              <w:t xml:space="preserve">Figure 4:</w:t>
            </w:r>
            <w:r>
              <w:t xml:space="preserve"> </w:t>
            </w:r>
            <w:r>
              <w:rPr>
                <w:rStyle w:val="CaptionText"/>
              </w:rPr>
              <w:t xml:space="preserve">Distribution of Seven AI Disclosure Posture Dimensions and Disclosure Intensity Across the S&amp;P 500, pooled 2021–2026 YTD.</w:t>
            </w:r>
            <w:r>
              <w:t xml:space="preserve"> </w:t>
            </w:r>
            <w:r>
              <w:rPr>
                <w:b w:val="0"/>
                <w:bCs w:val="0"/>
                <w:color w:val="595959"/>
              </w:rPr>
              <w:t xml:space="preserve">White circles denote medians; petrol bars interquartile ranges; grey whiskers the 5th–95th percentile. All measures are scaled from 0 to 1.</w:t>
            </w:r>
          </w:p>
          <w:bookmarkEnd w:id="18"/>
        </w:tc>
      </w:tr>
    </w:tbl>
    <w:p>
      <w:pPr>
        <w:pStyle w:val="Textoindependiente"/>
      </w:pPr>
      <w:r>
        <w:t xml:space="preserve">The correlations among the seven posture dimensions and disclosure intensity show two things (</w:t>
      </w:r>
      <w:hyperlink w:anchor="tbl-a3-posture-correlation">
        <w:r>
          <w:rPr>
            <w:rStyle w:val="Hipervnculo"/>
          </w:rPr>
          <w:t xml:space="preserve">Table 38</w:t>
        </w:r>
      </w:hyperlink>
      <w:r>
        <w:t xml:space="preserve">,</w:t>
      </w:r>
      <w:r>
        <w:t xml:space="preserve"> </w:t>
      </w:r>
      <w:hyperlink w:anchor="appendix-b3">
        <w:r>
          <w:rPr>
            <w:rStyle w:val="Hipervnculo"/>
          </w:rPr>
          <w:t xml:space="preserve">Appendix B.3</w:t>
        </w:r>
      </w:hyperlink>
      <w:r>
        <w:t xml:space="preserve">):</w:t>
      </w:r>
    </w:p>
    <w:p>
      <w:pPr>
        <w:pStyle w:val="Compact"/>
        <w:numPr>
          <w:ilvl w:val="0"/>
          <w:numId w:val="21"/>
        </w:numPr>
      </w:pPr>
      <w:r>
        <w:rPr>
          <w:b/>
          <w:bCs/>
        </w:rPr>
        <w:t xml:space="preserve">Governance framing stands on its own.</w:t>
      </w:r>
      <w:r>
        <w:t xml:space="preserve"> </w:t>
      </w:r>
      <w:r>
        <w:t xml:space="preserve">Governance orientation barely correlates with promotional posture (</w:t>
      </w:r>
      <m:oMath>
        <m:r>
          <w:rPr>
            <w:sz w:val="22"/>
          </w:rPr>
          <m:t>r</m:t>
        </m:r>
        <m:r>
          <m:rPr>
            <m:sty m:val="p"/>
          </m:rPr>
          <w:rPr>
            <w:sz w:val="22"/>
          </w:rPr>
          <m:t>=</m:t>
        </m:r>
      </m:oMath>
      <w:r>
        <w:t xml:space="preserve"> </w:t>
      </w:r>
      <w:r>
        <w:t xml:space="preserve">0.13), risk framing (</w:t>
      </w:r>
      <m:oMath>
        <m:r>
          <w:rPr>
            <w:sz w:val="22"/>
          </w:rPr>
          <m:t>r</m:t>
        </m:r>
        <m:r>
          <m:rPr>
            <m:sty m:val="p"/>
          </m:rPr>
          <w:rPr>
            <w:sz w:val="22"/>
          </w:rPr>
          <m:t>=</m:t>
        </m:r>
      </m:oMath>
      <w:r>
        <w:t xml:space="preserve"> </w:t>
      </w:r>
      <w:r>
        <w:t xml:space="preserve">-0.02), or disclosure intensity (</w:t>
      </w:r>
      <m:oMath>
        <m:r>
          <w:rPr>
            <w:sz w:val="22"/>
          </w:rPr>
          <m:t>r</m:t>
        </m:r>
        <m:r>
          <m:rPr>
            <m:sty m:val="p"/>
          </m:rPr>
          <w:rPr>
            <w:sz w:val="22"/>
          </w:rPr>
          <m:t>=</m:t>
        </m:r>
      </m:oMath>
      <w:r>
        <w:t xml:space="preserve"> </w:t>
      </w:r>
      <w:r>
        <w:t xml:space="preserve">-0.15). It is a dimension in its own right and not a proxy for general verbosity or for risk aversion.</w:t>
      </w:r>
    </w:p>
    <w:p>
      <w:pPr>
        <w:pStyle w:val="Compact"/>
        <w:numPr>
          <w:ilvl w:val="0"/>
          <w:numId w:val="21"/>
        </w:numPr>
      </w:pPr>
      <w:r>
        <w:rPr>
          <w:b/>
          <w:bCs/>
        </w:rPr>
        <w:t xml:space="preserve">Risk orientation runs against operational execution.</w:t>
      </w:r>
      <w:r>
        <w:t xml:space="preserve"> </w:t>
      </w:r>
      <w:r>
        <w:t xml:space="preserve">Risk framing correlates negatively with realized temporal posture (</w:t>
      </w:r>
      <m:oMath>
        <m:r>
          <w:rPr>
            <w:sz w:val="22"/>
          </w:rPr>
          <m:t>r</m:t>
        </m:r>
        <m:r>
          <m:rPr>
            <m:sty m:val="p"/>
          </m:rPr>
          <w:rPr>
            <w:sz w:val="22"/>
          </w:rPr>
          <m:t>=</m:t>
        </m:r>
      </m:oMath>
      <w:r>
        <w:t xml:space="preserve"> </w:t>
      </w:r>
      <w:r>
        <w:t xml:space="preserve">-0.58), specificity (</w:t>
      </w:r>
      <m:oMath>
        <m:r>
          <w:rPr>
            <w:sz w:val="22"/>
          </w:rPr>
          <m:t>r</m:t>
        </m:r>
        <m:r>
          <m:rPr>
            <m:sty m:val="p"/>
          </m:rPr>
          <w:rPr>
            <w:sz w:val="22"/>
          </w:rPr>
          <m:t>=</m:t>
        </m:r>
      </m:oMath>
      <w:r>
        <w:t xml:space="preserve"> </w:t>
      </w:r>
      <w:r>
        <w:t xml:space="preserve">-0.54), customer positioning (</w:t>
      </w:r>
      <m:oMath>
        <m:r>
          <w:rPr>
            <w:sz w:val="22"/>
          </w:rPr>
          <m:t>r</m:t>
        </m:r>
        <m:r>
          <m:rPr>
            <m:sty m:val="p"/>
          </m:rPr>
          <w:rPr>
            <w:sz w:val="22"/>
          </w:rPr>
          <m:t>=</m:t>
        </m:r>
      </m:oMath>
      <w:r>
        <w:t xml:space="preserve"> </w:t>
      </w:r>
      <w:r>
        <w:t xml:space="preserve">-0.47), and intensity (</w:t>
      </w:r>
      <m:oMath>
        <m:r>
          <w:rPr>
            <w:sz w:val="22"/>
          </w:rPr>
          <m:t>r</m:t>
        </m:r>
        <m:r>
          <m:rPr>
            <m:sty m:val="p"/>
          </m:rPr>
          <w:rPr>
            <w:sz w:val="22"/>
          </w:rPr>
          <m:t>=</m:t>
        </m:r>
      </m:oMath>
      <w:r>
        <w:t xml:space="preserve"> </w:t>
      </w:r>
      <w:r>
        <w:t xml:space="preserve">-0.31).</w:t>
      </w:r>
    </w:p>
    <w:p>
      <w:pPr>
        <w:pStyle w:val="FirstParagraph"/>
      </w:pPr>
      <w:r>
        <w:t xml:space="preserve">Keeping governance, specificity and operational maturity separate is therefore what stops a reader from taking narrative intensity as an undifferentiated signal of technical capability.</w:t>
      </w:r>
    </w:p>
    <w:bookmarkEnd w:id="19"/>
    <w:bookmarkStart w:id="21" w:name="disclosure-archetypes"/>
    <w:p>
      <w:pPr>
        <w:pStyle w:val="Ttulo2"/>
      </w:pPr>
      <w:r>
        <w:t xml:space="preserve">2.5 Disclosure archetypes</w:t>
      </w:r>
    </w:p>
    <w:p>
      <w:pPr>
        <w:pStyle w:val="FirstParagraph"/>
      </w:pPr>
      <w:r>
        <w:t xml:space="preserve">The posture dimensions are computed for all 498 firms. A firm with fewer than five AI frames in its 2021–2025 SEC filings gets the rule-based label</w:t>
      </w:r>
      <w:r>
        <w:t xml:space="preserve"> </w:t>
      </w:r>
      <w:r>
        <w:rPr>
          <w:b/>
          <w:bCs/>
        </w:rPr>
        <w:t xml:space="preserve">No AI</w:t>
      </w:r>
      <w:r>
        <w:t xml:space="preserve"> </w:t>
      </w:r>
      <w:r>
        <w:t xml:space="preserve">(</w:t>
      </w:r>
      <m:oMath>
        <m:r>
          <w:rPr>
            <w:sz w:val="22"/>
          </w:rPr>
          <m:t>n</m:t>
        </m:r>
        <m:r>
          <m:rPr>
            <m:sty m:val="p"/>
          </m:rPr>
          <w:rPr>
            <w:sz w:val="22"/>
          </w:rPr>
          <m:t>=</m:t>
        </m:r>
      </m:oMath>
      <w:r>
        <w:t xml:space="preserve"> </w:t>
      </w:r>
      <w:r>
        <w:t xml:space="preserve">47). That leaves 90.6% of the panel with enough AI commentary to carry an active posture.</w:t>
      </w:r>
    </w:p>
    <w:p>
      <w:pPr>
        <w:pStyle w:val="Textoindependiente"/>
      </w:pPr>
      <w:r>
        <w:t xml:space="preserve">For those active firms (</w:t>
      </w:r>
      <m:oMath>
        <m:r>
          <w:rPr>
            <w:sz w:val="22"/>
          </w:rPr>
          <m:t>n</m:t>
        </m:r>
        <m:r>
          <m:rPr>
            <m:sty m:val="p"/>
          </m:rPr>
          <w:rPr>
            <w:sz w:val="22"/>
          </w:rPr>
          <m:t>=</m:t>
        </m:r>
      </m:oMath>
      <w:r>
        <w:t xml:space="preserve"> </w:t>
      </w:r>
      <w:r>
        <w:t xml:space="preserve">451), disclosure strategies mix several communication registers instead of falling into clean separate bins, so the method used here is</w:t>
      </w:r>
      <w:r>
        <w:t xml:space="preserve"> </w:t>
      </w:r>
      <w:r>
        <w:rPr>
          <w:b/>
          <w:bCs/>
        </w:rPr>
        <w:t xml:space="preserve">Archetypal Analysis</w:t>
      </w:r>
      <w:r>
        <w:t xml:space="preserve"> </w:t>
      </w:r>
      <w:r>
        <w:t xml:space="preserve">(</w:t>
      </w:r>
      <w:hyperlink w:anchor="ref-cutler1994">
        <w:r>
          <w:rPr>
            <w:rStyle w:val="Hipervnculo"/>
          </w:rPr>
          <w:t xml:space="preserve">Cutler and Breiman 1994</w:t>
        </w:r>
      </w:hyperlink>
      <w:r>
        <w:t xml:space="preserve">)</w:t>
      </w:r>
      <w:r>
        <w:t xml:space="preserve">, applied to the seven posture dimensions. It picks</w:t>
      </w:r>
      <w:r>
        <w:t xml:space="preserve"> </w:t>
      </w:r>
      <m:oMath>
        <m:r>
          <w:rPr>
            <w:sz w:val="22"/>
          </w:rPr>
          <m:t>k</m:t>
        </m:r>
      </m:oMath>
      <w:r>
        <w:t xml:space="preserve"> </w:t>
      </w:r>
      <w:r>
        <w:t xml:space="preserve">extreme profiles from the edge of the data and writes every firm as a blend of them. A firm is therefore not assigned to one style; it receives a share of each, for example 60% of one and 40% of another, and the shares sum to one. Those shares are what the rest of the chapter works with (formal specification in</w:t>
      </w:r>
      <w:r>
        <w:t xml:space="preserve"> </w:t>
      </w:r>
      <w:hyperlink w:anchor="appendix-b1">
        <w:r>
          <w:rPr>
            <w:rStyle w:val="Hipervnculo"/>
          </w:rPr>
          <w:t xml:space="preserve">Appendix B.1</w:t>
        </w:r>
      </w:hyperlink>
      <w:r>
        <w:t xml:space="preserve">).</w:t>
      </w:r>
    </w:p>
    <w:bookmarkStart w:id="22" w:name="Xfa1b88889ce5db3cfa1b53ba0ea26bf99b78734"/>
    <w:p>
      <w:pPr>
        <w:pStyle w:val="Ttulo3"/>
      </w:pPr>
      <w:r>
        <w:t xml:space="preserve">2.5.1 Archetypal profiles and the disclosure simplex</w:t>
      </w:r>
    </w:p>
    <w:p>
      <w:pPr>
        <w:keepNext/>
        <w:pStyle w:val="FirstParagraph"/>
      </w:pPr>
      <w:r>
        <w:t xml:space="preserve">With</w:t>
      </w:r>
      <w:r>
        <w:t xml:space="preserve"> </w:t>
      </w:r>
      <m:oMath>
        <m:r>
          <w:rPr>
            <w:sz w:val="22"/>
          </w:rPr>
          <m:t>k</m:t>
        </m:r>
        <m:r>
          <m:rPr>
            <m:sty m:val="p"/>
          </m:rPr>
          <w:rPr>
            <w:sz w:val="22"/>
          </w:rPr>
          <m:t>=</m:t>
        </m:r>
        <m:r>
          <w:rPr>
            <w:sz w:val="22"/>
          </w:rPr>
          <m:t>3</m:t>
        </m:r>
      </m:oMath>
      <w:r>
        <w:t xml:space="preserve"> </w:t>
      </w:r>
      <w:r>
        <w:t xml:space="preserve">the three shares of every disclosing firm sum to one, so each firm can be drawn as a point inside a triangle whose corners are the three extreme profiles. A firm sitting in a corner is entirely that style; a firm in the middle is an even blend of all three.</w:t>
      </w:r>
      <w:r>
        <w:t xml:space="preserve"> </w:t>
      </w:r>
      <w:hyperlink w:anchor="fig-archetypal-ternary-simplex">
        <w:r>
          <w:rPr>
            <w:rStyle w:val="Hipervnculo"/>
          </w:rPr>
          <w:t xml:space="preserve">Figure 5</w:t>
        </w:r>
      </w:hyperlink>
      <w:r>
        <w:t xml:space="preserve"> </w:t>
      </w:r>
      <w:r>
        <w:t xml:space="preserve">places all 451 disclosing constituents on this simplex, together with consolidated industry centroids and both boundary and central examples:</w:t>
      </w:r>
    </w:p>
    <w:tbl xmlns:a="http://schemas.openxmlformats.org/drawingml/2006/main" xmlns:pic="http://schemas.openxmlformats.org/drawingml/2006/picture">
      <w:tblPr>
        <w:tblStyle w:val="Table"/>
        <w:tblW w:type="pct" w:w="5000"/>
        <w:tblLayout w:type="fixed"/>
        <w:tblLook w:firstRow="0" w:lastRow="0" w:firstColumn="0" w:lastColumn="0" w:noHBand="0" w:noVBand="0" w:val="0000"/>
        <w:tblBorders>
          <w:top w:val="none"/>
          <w:left w:val="none"/>
          <w:bottom w:val="none"/>
          <w:right w:val="none"/>
          <w:insideH w:val="none"/>
          <w:insideV w:val="none"/>
        </w:tblBorders>
      </w:tblPr>
      <w:tblGrid>
        <w:gridCol w:w="7920"/>
      </w:tblGrid>
      <w:tr>
        <w:trPr>
          <w:cantSplit/>
        </w:trPr>
        <w:tc>
          <w:tcPr/>
          <w:bookmarkStart w:id="23" w:name="fig-archetypal-ternary-simplex"/>
          <w:p>
            <w:pPr>
              <w:pStyle w:val="Compact"/>
              <w:jc w:val="center"/>
              <w:ind w:firstLine="0" w:left="0" w:right="0"/>
            </w:pPr>
            <w:r>
              <w:drawing>
                <wp:inline>
                  <wp:extent cx="5760085" cy="3818194"/>
                  <wp:effectExtent b="0" l="0" r="0" t="0"/>
                  <wp:docPr descr="" title="" id="5" name="Picture"/>
                  <a:graphic>
                    <a:graphicData uri="http://schemas.openxmlformats.org/drawingml/2006/picture">
                      <pic:pic>
                        <pic:nvPicPr>
                          <pic:cNvPr descr="thesis_files/figure-docx/fig-archetypal-ternary-simplex-output-1.png" id="5" name="Picture"/>
                          <pic:cNvPicPr>
                            <a:picLocks noChangeArrowheads="1" noChangeAspect="1"/>
                          </pic:cNvPicPr>
                        </pic:nvPicPr>
                        <pic:blipFill>
                          <a:blip r:embed="rId26"/>
                          <a:stretch>
                            <a:fillRect/>
                          </a:stretch>
                        </pic:blipFill>
                        <pic:spPr bwMode="auto">
                          <a:xfrm>
                            <a:off x="0" y="0"/>
                            <a:ext cx="5760085" cy="3818194"/>
                          </a:xfrm>
                          <a:prstGeom prst="rect">
                            <a:avLst/>
                          </a:prstGeom>
                          <a:noFill/>
                          <a:ln w="9525">
                            <a:noFill/>
                            <a:headEnd/>
                            <a:tailEnd/>
                          </a:ln>
                        </pic:spPr>
                      </pic:pic>
                    </a:graphicData>
                  </a:graphic>
                </wp:inline>
              </w:drawing>
            </w:r>
          </w:p>
          <w:p>
            <w:pPr>
              <w:pStyle w:val="ImageCaption"/>
              <w:jc w:val="left"/>
              <w:spacing w:before="200"/>
              <w:ind w:firstLine="0" w:left="0" w:right="0"/>
            </w:pPr>
            <w:r>
              <w:t xml:space="preserve">Figure 5:</w:t>
            </w:r>
            <w:r>
              <w:t xml:space="preserve"> </w:t>
            </w:r>
            <w:r>
              <w:rPr>
                <w:rStyle w:val="CaptionText"/>
              </w:rPr>
              <w:t xml:space="preserve">The S&amp;P 500 AI Disclosure Simplex: Industry Centroids and Boundary Exemplars, 2021–2026 (year to date).</w:t>
            </w:r>
            <w:r>
              <w:t xml:space="preserve"> </w:t>
            </w:r>
            <w:r>
              <w:rPr>
                <w:b w:val="0"/>
                <w:bCs w:val="0"/>
                <w:color w:val="595959"/>
              </w:rPr>
              <w:t xml:space="preserve">k = 3; active index constituents, 10-K and DEF 14A filings. Ten consolidated industry centroids with radial non-crossing leader lines. Boundary exemplars: simplex boundary clipping. Central exemplars (OXY, JPM): balanced tripartite postures.</w:t>
            </w:r>
          </w:p>
          <w:bookmarkEnd w:id="20"/>
        </w:tc>
      </w:tr>
    </w:tbl>
    <w:p>
      <w:pPr>
        <w:pStyle w:val="Textoindependiente"/>
      </w:pPr>
      <w:r>
        <w:t xml:space="preserve">The analysis returns three stable disclosure strategies plus the non-disclosing baseline (</w:t>
      </w:r>
      <w:hyperlink w:anchor="tbl-archetypes-glance">
        <w:r>
          <w:rPr>
            <w:rStyle w:val="Hipervnculo"/>
          </w:rPr>
          <w:t xml:space="preserve">Table 5</w:t>
        </w:r>
      </w:hyperlink>
      <w:r>
        <w:t xml:space="preserve">):</w:t>
      </w:r>
    </w:p>
    <w:bookmarkStart w:id="24" w:name="tbl-archetypes-glance"/>
    <w:p>
      <w:pPr>
        <w:keepNext/>
        <w:pStyle w:val="ImageCaption"/>
        <w:jc w:val="left"/>
        <w:spacing w:before="200"/>
        <w:ind w:firstLine="0" w:left="0" w:right="0"/>
      </w:pPr>
      <w:r>
        <w:t xml:space="preserve">Table 5:</w:t>
      </w:r>
      <w:r>
        <w:t xml:space="preserve"> </w:t>
      </w:r>
      <w:r>
        <w:rPr>
          <w:rStyle w:val="CaptionText"/>
        </w:rPr>
        <w:t xml:space="preserve">AI corporate disclosure archetypes at a glance.</w:t>
      </w:r>
    </w:p>
    <w:tbl>
      <w:tblPr>
        <w:tblStyle w:val="Table"/>
        <w:tblW w:type="auto" w:w="0"/>
        <w:jc w:val="center"/>
        <w:tblLook w:firstRow="1" w:lastRow="0" w:firstColumn="0" w:lastColumn="0" w:noHBand="0" w:noVBand="0" w:val="0020"/>
        <w:tblBorders>
          <w:top w:val="single" w:sz="8" w:space="0" w:color="0F172A"/>
          <w:bottom w:val="single" w:sz="8" w:space="0" w:color="0F172A"/>
          <w:left w:val="none"/>
          <w:right w:val="none"/>
          <w:insideH w:val="single" w:sz="4" w:space="0" w:color="E2E8F0"/>
          <w:insideV w:val="none"/>
        </w:tblBorders>
        <w:tblCellMar>
          <w:top w:w="22" w:type="dxa"/>
          <w:bottom w:w="22" w:type="dxa"/>
          <w:left w:w="40" w:type="dxa"/>
          <w:right w:w="40" w:type="dxa"/>
        </w:tblCellMar>
      </w:tblPr>
      <w:tblGrid>
        <w:gridCol w:w="1584"/>
        <w:gridCol w:w="1584"/>
        <w:gridCol w:w="1584"/>
        <w:gridCol w:w="1584"/>
        <w:gridCol w:w="1584"/>
      </w:tblGrid>
      <w:tr>
        <w:trPr>
          <w:tblHeader w:val="on"/>
          <w:cantSplit/>
          <w:tblHeader/>
        </w:trPr>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5"/>
              </w:rPr>
              <w:t xml:space="preserve">Archetype</w:t>
            </w:r>
          </w:p>
        </w:tc>
        <w:tc>
          <w:tcPr>
            <w:shd w:fill="F1F5F9"/>
            <w:tcBorders>
              <w:bottom w:val="single" w:sz="8" w:space="0" w:color="475569"/>
            </w:tcBorders>
          </w:tcPr>
          <w:p>
            <w:pPr>
              <w:pStyle w:val="Compact"/>
              <w:keepNext/>
              <w:spacing w:before="8" w:after="8" w:line="240" w:lineRule="auto"/>
              <w:ind w:firstLine="0" w:left="0" w:right="0"/>
              <w:jc w:val="right"/>
              <w:jc w:val="center"/>
            </w:pPr>
            <w:r>
              <w:rPr>
                <w:rFonts w:ascii="Calibri" w:hAnsi="Calibri"/>
                <w:b/>
                <w:color w:val="0F172A"/>
                <w:sz w:val="15"/>
              </w:rPr>
              <w:t xml:space="preserve">Firms (</w:t>
            </w:r>
            <m:oMath>
              <m:r>
                <w:rPr>
                  <w:sz w:val="15"/>
                </w:rPr>
                <m:t>n</m:t>
              </m:r>
            </m:oMath>
            <w:r>
              <w:rPr>
                <w:rFonts w:ascii="Calibri" w:hAnsi="Calibri"/>
                <w:b/>
                <w:color w:val="0F172A"/>
                <w:sz w:val="15"/>
              </w:rPr>
              <w:t xml:space="preserve">)</w:t>
            </w:r>
          </w:p>
        </w:tc>
        <w:tc>
          <w:tcPr>
            <w:shd w:fill="F1F5F9"/>
            <w:tcBorders>
              <w:bottom w:val="single" w:sz="8" w:space="0" w:color="475569"/>
            </w:tcBorders>
          </w:tcPr>
          <w:p>
            <w:pPr>
              <w:pStyle w:val="Compact"/>
              <w:keepNext/>
              <w:spacing w:before="8" w:after="8" w:line="240" w:lineRule="auto"/>
              <w:ind w:firstLine="0" w:left="0" w:right="0"/>
              <w:jc w:val="right"/>
              <w:jc w:val="center"/>
            </w:pPr>
            <w:r>
              <w:rPr>
                <w:rFonts w:ascii="Calibri" w:hAnsi="Calibri"/>
                <w:b/>
                <w:color w:val="0F172A"/>
                <w:sz w:val="15"/>
              </w:rPr>
              <w:t xml:space="preserve">Share (%)</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5"/>
              </w:rPr>
              <w:t xml:space="preserve">Archetypal disclosure profile</w:t>
            </w:r>
          </w:p>
        </w:tc>
        <w:tc>
          <w:tcPr>
            <w:shd w:fill="F1F5F9"/>
            <w:tcBorders>
              <w:bottom w:val="single" w:sz="8" w:space="0" w:color="475569"/>
            </w:tcBorders>
          </w:tcPr>
          <w:p>
            <w:pPr>
              <w:pStyle w:val="Compact"/>
              <w:keepNext/>
              <w:spacing w:before="8" w:after="8" w:line="240" w:lineRule="auto"/>
              <w:ind w:firstLine="0" w:left="0" w:right="0"/>
              <w:jc w:val="right"/>
              <w:jc w:val="center"/>
            </w:pPr>
            <w:r>
              <w:rPr>
                <w:rFonts w:ascii="Calibri" w:hAnsi="Calibri"/>
                <w:b/>
                <w:color w:val="0F172A"/>
                <w:sz w:val="15"/>
              </w:rPr>
              <w:t xml:space="preserve">Stability (Jaccard)</w:t>
            </w:r>
          </w:p>
        </w:tc>
      </w:tr>
      <w:tr>
        <w:trPr>
          <w:cantSplit/>
        </w:trPr>
        <w:tc>
          <w:tcPr/>
          <w:p>
            <w:pPr>
              <w:pStyle w:val="Compact"/>
              <w:keepNext/>
              <w:spacing w:before="8" w:after="8" w:line="240" w:lineRule="auto"/>
              <w:ind w:firstLine="0" w:left="0" w:right="0"/>
              <w:jc w:val="left"/>
              <w:jc w:val="center"/>
            </w:pPr>
            <w:r>
              <w:rPr>
                <w:rFonts w:ascii="Calibri" w:hAnsi="Calibri"/>
                <w:b/>
                <w:bCs/>
                <w:sz w:val="15"/>
              </w:rPr>
              <w:t xml:space="preserve">Vocal Substantives</w:t>
            </w:r>
          </w:p>
        </w:tc>
        <w:tc>
          <w:tcPr/>
          <w:p>
            <w:pPr>
              <w:pStyle w:val="Compact"/>
              <w:keepNext/>
              <w:spacing w:before="8" w:after="8" w:line="240" w:lineRule="auto"/>
              <w:ind w:firstLine="0" w:left="0" w:right="0"/>
              <w:jc w:val="right"/>
              <w:jc w:val="center"/>
            </w:pPr>
            <w:r>
              <w:rPr>
                <w:rFonts w:ascii="Calibri" w:hAnsi="Calibri"/>
                <w:sz w:val="15"/>
              </w:rPr>
              <w:t xml:space="preserve">78</w:t>
            </w:r>
          </w:p>
        </w:tc>
        <w:tc>
          <w:tcPr/>
          <w:p>
            <w:pPr>
              <w:pStyle w:val="Compact"/>
              <w:keepNext/>
              <w:spacing w:before="8" w:after="8" w:line="240" w:lineRule="auto"/>
              <w:ind w:firstLine="0" w:left="0" w:right="0"/>
              <w:jc w:val="right"/>
              <w:jc w:val="center"/>
            </w:pPr>
            <w:r>
              <w:rPr>
                <w:rFonts w:ascii="Calibri" w:hAnsi="Calibri"/>
                <w:sz w:val="15"/>
              </w:rPr>
              <w:t xml:space="preserve">15.7%</w:t>
            </w:r>
          </w:p>
        </w:tc>
        <w:tc>
          <w:tcPr/>
          <w:p>
            <w:pPr>
              <w:pStyle w:val="Compact"/>
              <w:keepNext/>
              <w:spacing w:before="8" w:after="8" w:line="240" w:lineRule="auto"/>
              <w:ind w:firstLine="0" w:left="0" w:right="0"/>
              <w:jc w:val="left"/>
              <w:jc w:val="center"/>
            </w:pPr>
            <w:r>
              <w:rPr>
                <w:rFonts w:ascii="Calibri" w:hAnsi="Calibri"/>
                <w:sz w:val="15"/>
              </w:rPr>
              <w:t xml:space="preserve">High customer-facing (+1.63 SD), specificity (+1.56 SD), promotional (+1.23 SD), intensity (+0.99 SD), realized (+0.85 SD); low risk (-1.19 SD)</w:t>
            </w:r>
          </w:p>
        </w:tc>
        <w:tc>
          <w:tcPr/>
          <w:p>
            <w:pPr>
              <w:pStyle w:val="Compact"/>
              <w:keepNext/>
              <w:spacing w:before="8" w:after="8" w:line="240" w:lineRule="auto"/>
              <w:ind w:firstLine="0" w:left="0" w:right="0"/>
              <w:jc w:val="right"/>
              <w:jc w:val="center"/>
            </w:pPr>
            <w:r>
              <w:rPr>
                <w:rFonts w:ascii="Calibri" w:hAnsi="Calibri"/>
                <w:sz w:val="15"/>
              </w:rPr>
              <w:t xml:space="preserve">0.77</w:t>
            </w:r>
          </w:p>
        </w:tc>
      </w:tr>
      <w:tr>
        <w:trPr>
          <w:cantSplit/>
        </w:trPr>
        <w:tc>
          <w:tcPr/>
          <w:p>
            <w:pPr>
              <w:pStyle w:val="Compact"/>
              <w:keepNext/>
              <w:spacing w:before="8" w:after="8" w:line="240" w:lineRule="auto"/>
              <w:ind w:firstLine="0" w:left="0" w:right="0"/>
              <w:jc w:val="left"/>
              <w:jc w:val="center"/>
            </w:pPr>
            <w:r>
              <w:rPr>
                <w:rFonts w:ascii="Calibri" w:hAnsi="Calibri"/>
                <w:b/>
                <w:bCs/>
                <w:sz w:val="15"/>
              </w:rPr>
              <w:t xml:space="preserve">Governance-Led Disclosers</w:t>
            </w:r>
          </w:p>
        </w:tc>
        <w:tc>
          <w:tcPr/>
          <w:p>
            <w:pPr>
              <w:pStyle w:val="Compact"/>
              <w:keepNext/>
              <w:spacing w:before="8" w:after="8" w:line="240" w:lineRule="auto"/>
              <w:ind w:firstLine="0" w:left="0" w:right="0"/>
              <w:jc w:val="right"/>
              <w:jc w:val="center"/>
            </w:pPr>
            <w:r>
              <w:rPr>
                <w:rFonts w:ascii="Calibri" w:hAnsi="Calibri"/>
                <w:sz w:val="15"/>
              </w:rPr>
              <w:t xml:space="preserve">91</w:t>
            </w:r>
          </w:p>
        </w:tc>
        <w:tc>
          <w:tcPr/>
          <w:p>
            <w:pPr>
              <w:pStyle w:val="Compact"/>
              <w:keepNext/>
              <w:spacing w:before="8" w:after="8" w:line="240" w:lineRule="auto"/>
              <w:ind w:firstLine="0" w:left="0" w:right="0"/>
              <w:jc w:val="right"/>
              <w:jc w:val="center"/>
            </w:pPr>
            <w:r>
              <w:rPr>
                <w:rFonts w:ascii="Calibri" w:hAnsi="Calibri"/>
                <w:sz w:val="15"/>
              </w:rPr>
              <w:t xml:space="preserve">18.3%</w:t>
            </w:r>
          </w:p>
        </w:tc>
        <w:tc>
          <w:tcPr/>
          <w:p>
            <w:pPr>
              <w:pStyle w:val="Compact"/>
              <w:keepNext/>
              <w:spacing w:before="8" w:after="8" w:line="240" w:lineRule="auto"/>
              <w:ind w:firstLine="0" w:left="0" w:right="0"/>
              <w:jc w:val="left"/>
              <w:jc w:val="center"/>
            </w:pPr>
            <w:r>
              <w:rPr>
                <w:rFonts w:ascii="Calibri" w:hAnsi="Calibri"/>
                <w:sz w:val="15"/>
              </w:rPr>
              <w:t xml:space="preserve">High governance (+1.40 SD), realized (+0.87 SD)</w:t>
            </w:r>
          </w:p>
        </w:tc>
        <w:tc>
          <w:tcPr/>
          <w:p>
            <w:pPr>
              <w:pStyle w:val="Compact"/>
              <w:keepNext/>
              <w:spacing w:before="8" w:after="8" w:line="240" w:lineRule="auto"/>
              <w:ind w:firstLine="0" w:left="0" w:right="0"/>
              <w:jc w:val="right"/>
              <w:jc w:val="center"/>
            </w:pPr>
            <w:r>
              <w:rPr>
                <w:rFonts w:ascii="Calibri" w:hAnsi="Calibri"/>
                <w:sz w:val="15"/>
              </w:rPr>
              <w:t xml:space="preserve">0.67</w:t>
            </w:r>
          </w:p>
        </w:tc>
      </w:tr>
      <w:tr>
        <w:trPr>
          <w:cantSplit/>
        </w:trPr>
        <w:tc>
          <w:tcPr/>
          <w:p>
            <w:pPr>
              <w:pStyle w:val="Compact"/>
              <w:keepNext/>
              <w:spacing w:before="8" w:after="8" w:line="240" w:lineRule="auto"/>
              <w:ind w:firstLine="0" w:left="0" w:right="0"/>
              <w:jc w:val="left"/>
              <w:jc w:val="center"/>
            </w:pPr>
            <w:r>
              <w:rPr>
                <w:rFonts w:ascii="Calibri" w:hAnsi="Calibri"/>
                <w:b/>
                <w:bCs/>
                <w:sz w:val="15"/>
              </w:rPr>
              <w:t xml:space="preserve">Defensive Disclosers</w:t>
            </w:r>
          </w:p>
        </w:tc>
        <w:tc>
          <w:tcPr/>
          <w:p>
            <w:pPr>
              <w:pStyle w:val="Compact"/>
              <w:keepNext/>
              <w:spacing w:before="8" w:after="8" w:line="240" w:lineRule="auto"/>
              <w:ind w:firstLine="0" w:left="0" w:right="0"/>
              <w:jc w:val="right"/>
              <w:jc w:val="center"/>
            </w:pPr>
            <w:r>
              <w:rPr>
                <w:rFonts w:ascii="Calibri" w:hAnsi="Calibri"/>
                <w:sz w:val="15"/>
              </w:rPr>
              <w:t xml:space="preserve">282</w:t>
            </w:r>
          </w:p>
        </w:tc>
        <w:tc>
          <w:tcPr/>
          <w:p>
            <w:pPr>
              <w:pStyle w:val="Compact"/>
              <w:keepNext/>
              <w:spacing w:before="8" w:after="8" w:line="240" w:lineRule="auto"/>
              <w:ind w:firstLine="0" w:left="0" w:right="0"/>
              <w:jc w:val="right"/>
              <w:jc w:val="center"/>
            </w:pPr>
            <w:r>
              <w:rPr>
                <w:rFonts w:ascii="Calibri" w:hAnsi="Calibri"/>
                <w:sz w:val="15"/>
              </w:rPr>
              <w:t xml:space="preserve">56.6%</w:t>
            </w:r>
          </w:p>
        </w:tc>
        <w:tc>
          <w:tcPr/>
          <w:p>
            <w:pPr>
              <w:pStyle w:val="Compact"/>
              <w:keepNext/>
              <w:spacing w:before="8" w:after="8" w:line="240" w:lineRule="auto"/>
              <w:ind w:firstLine="0" w:left="0" w:right="0"/>
              <w:jc w:val="left"/>
              <w:jc w:val="center"/>
            </w:pPr>
            <w:r>
              <w:rPr>
                <w:rFonts w:ascii="Calibri" w:hAnsi="Calibri"/>
                <w:sz w:val="15"/>
              </w:rPr>
              <w:t xml:space="preserve">low realized (-0.52 SD)</w:t>
            </w:r>
          </w:p>
        </w:tc>
        <w:tc>
          <w:tcPr/>
          <w:p>
            <w:pPr>
              <w:pStyle w:val="Compact"/>
              <w:keepNext/>
              <w:spacing w:before="8" w:after="8" w:line="240" w:lineRule="auto"/>
              <w:ind w:firstLine="0" w:left="0" w:right="0"/>
              <w:jc w:val="right"/>
              <w:jc w:val="center"/>
            </w:pPr>
            <w:r>
              <w:rPr>
                <w:rFonts w:ascii="Calibri" w:hAnsi="Calibri"/>
                <w:sz w:val="15"/>
              </w:rPr>
              <w:t xml:space="preserve">0.83</w:t>
            </w:r>
          </w:p>
        </w:tc>
      </w:tr>
      <w:tr>
        <w:trPr>
          <w:cantSplit/>
        </w:trPr>
        <w:tc>
          <w:tcPr/>
          <w:p>
            <w:pPr>
              <w:pStyle w:val="Compact"/>
              <w:spacing w:before="8" w:after="8" w:line="240" w:lineRule="auto"/>
              <w:ind w:firstLine="0" w:left="0" w:right="0"/>
              <w:jc w:val="left"/>
              <w:jc w:val="center"/>
            </w:pPr>
            <w:r>
              <w:rPr>
                <w:rFonts w:ascii="Calibri" w:hAnsi="Calibri"/>
                <w:b/>
                <w:bCs/>
                <w:sz w:val="15"/>
              </w:rPr>
              <w:t xml:space="preserve">No AI</w:t>
            </w:r>
          </w:p>
        </w:tc>
        <w:tc>
          <w:tcPr/>
          <w:p>
            <w:pPr>
              <w:pStyle w:val="Compact"/>
              <w:spacing w:before="8" w:after="8" w:line="240" w:lineRule="auto"/>
              <w:ind w:firstLine="0" w:left="0" w:right="0"/>
              <w:jc w:val="right"/>
              <w:jc w:val="center"/>
            </w:pPr>
            <w:r>
              <w:rPr>
                <w:rFonts w:ascii="Calibri" w:hAnsi="Calibri"/>
                <w:sz w:val="15"/>
              </w:rPr>
              <w:t xml:space="preserve">47</w:t>
            </w:r>
          </w:p>
        </w:tc>
        <w:tc>
          <w:tcPr/>
          <w:p>
            <w:pPr>
              <w:pStyle w:val="Compact"/>
              <w:spacing w:before="8" w:after="8" w:line="240" w:lineRule="auto"/>
              <w:ind w:firstLine="0" w:left="0" w:right="0"/>
              <w:jc w:val="right"/>
              <w:jc w:val="center"/>
            </w:pPr>
            <w:r>
              <w:rPr>
                <w:rFonts w:ascii="Calibri" w:hAnsi="Calibri"/>
                <w:sz w:val="15"/>
              </w:rPr>
              <w:t xml:space="preserve">9.4%</w:t>
            </w:r>
          </w:p>
        </w:tc>
        <w:tc>
          <w:tcPr/>
          <w:p>
            <w:pPr>
              <w:pStyle w:val="Compact"/>
              <w:spacing w:before="8" w:after="8" w:line="240" w:lineRule="auto"/>
              <w:ind w:firstLine="0" w:left="0" w:right="0"/>
              <w:jc w:val="left"/>
              <w:jc w:val="center"/>
            </w:pPr>
            <w:r>
              <w:rPr>
                <w:rFonts w:ascii="Calibri" w:hAnsi="Calibri"/>
                <w:sz w:val="15"/>
              </w:rPr>
              <w:t xml:space="preserve">Fewer than 5 pooled AI frames across 2021–2025 SEC filings (rule-based filter)</w:t>
            </w:r>
          </w:p>
        </w:tc>
        <w:tc>
          <w:tcPr/>
          <w:p>
            <w:pPr>
              <w:pStyle w:val="Compact"/>
              <w:spacing w:before="8" w:after="8" w:line="240" w:lineRule="auto"/>
              <w:ind w:firstLine="0" w:left="0" w:right="0"/>
              <w:jc w:val="right"/>
              <w:jc w:val="center"/>
            </w:pPr>
            <w:r>
              <w:rPr>
                <w:rFonts w:ascii="Calibri" w:hAnsi="Calibri"/>
                <w:sz w:val="15"/>
              </w:rPr>
              <w:t xml:space="preserve">1</w:t>
            </w:r>
          </w:p>
        </w:tc>
      </w:tr>
    </w:tbl>
    <w:bookmarkEnd w:id="21"/>
    <w:p>
      <w:pPr>
        <w:pStyle w:val="FigureNote"/>
        <w:ind w:firstLine="0" w:left="0" w:right="0"/>
        <w:spacing w:before="0" w:after="120"/>
      </w:pPr>
      <w:r>
        <w:rPr>
          <w:i/>
          <w:iCs/>
        </w:rPr>
        <w:t xml:space="preserve">Notes:</w:t>
      </w:r>
      <w:r>
        <w:t xml:space="preserve"> </w:t>
      </w:r>
      <w:r>
        <w:t xml:space="preserve">Archetypal disclosure profile: standardized coordinate score (SD from pooled mean) on the defining dimensions. Stability: mean bootstrap Jaccard reproducibility, frame-level resampling.</w:t>
      </w:r>
    </w:p>
    <w:p>
      <w:pPr>
        <w:keepNext/>
        <w:pStyle w:val="Textoindependiente"/>
      </w:pPr>
      <w:r>
        <w:t xml:space="preserve">Each vertex is an extreme configuration that can still be read in plain terms (</w:t>
      </w:r>
      <w:hyperlink w:anchor="fig-archetype-heatmap">
        <w:r>
          <w:rPr>
            <w:rStyle w:val="Hipervnculo"/>
          </w:rPr>
          <w:t xml:space="preserve">Figure 6</w:t>
        </w:r>
      </w:hyperlink>
      <w:r>
        <w:t xml:space="preserve">). The vertices come from posture alone: disclosure volume is measured separately and plays no part in the fit, so the fact that Vocal Substantives also disclose the most is a property of those firms and not something the method was told.</w:t>
      </w:r>
    </w:p>
    <w:tbl xmlns:a="http://schemas.openxmlformats.org/drawingml/2006/main" xmlns:pic="http://schemas.openxmlformats.org/drawingml/2006/picture">
      <w:tblPr>
        <w:tblStyle w:val="Table"/>
        <w:tblW w:type="pct" w:w="5000"/>
        <w:tblLayout w:type="fixed"/>
        <w:tblLook w:firstRow="0" w:lastRow="0" w:firstColumn="0" w:lastColumn="0" w:noHBand="0" w:noVBand="0" w:val="0000"/>
        <w:tblBorders>
          <w:top w:val="none"/>
          <w:left w:val="none"/>
          <w:bottom w:val="none"/>
          <w:right w:val="none"/>
          <w:insideH w:val="none"/>
          <w:insideV w:val="none"/>
        </w:tblBorders>
      </w:tblPr>
      <w:tblGrid>
        <w:gridCol w:w="7920"/>
      </w:tblGrid>
      <w:tr>
        <w:trPr>
          <w:cantSplit/>
        </w:trPr>
        <w:tc>
          <w:tcPr/>
          <w:bookmarkStart w:id="25" w:name="fig-archetype-heatmap"/>
          <w:p>
            <w:pPr>
              <w:pStyle w:val="Compact"/>
              <w:jc w:val="center"/>
              <w:ind w:firstLine="0" w:left="0" w:right="0"/>
            </w:pPr>
            <w:r>
              <w:drawing>
                <wp:inline>
                  <wp:extent cx="5760085" cy="3141172"/>
                  <wp:effectExtent b="0" l="0" r="0" t="0"/>
                  <wp:docPr descr="" title="" id="6" name="Picture"/>
                  <a:graphic>
                    <a:graphicData uri="http://schemas.openxmlformats.org/drawingml/2006/picture">
                      <pic:pic>
                        <pic:nvPicPr>
                          <pic:cNvPr descr="thesis_files/figure-docx/fig-archetype-heatmap-output-1.png" id="6" name="Picture"/>
                          <pic:cNvPicPr>
                            <a:picLocks noChangeArrowheads="1" noChangeAspect="1"/>
                          </pic:cNvPicPr>
                        </pic:nvPicPr>
                        <pic:blipFill>
                          <a:blip r:embed="rId27"/>
                          <a:stretch>
                            <a:fillRect/>
                          </a:stretch>
                        </pic:blipFill>
                        <pic:spPr bwMode="auto">
                          <a:xfrm>
                            <a:off x="0" y="0"/>
                            <a:ext cx="5760085" cy="3141172"/>
                          </a:xfrm>
                          <a:prstGeom prst="rect">
                            <a:avLst/>
                          </a:prstGeom>
                          <a:noFill/>
                          <a:ln w="9525">
                            <a:noFill/>
                            <a:headEnd/>
                            <a:tailEnd/>
                          </a:ln>
                        </pic:spPr>
                      </pic:pic>
                    </a:graphicData>
                  </a:graphic>
                </wp:inline>
              </w:drawing>
            </w:r>
          </w:p>
          <w:p>
            <w:pPr>
              <w:pStyle w:val="ImageCaption"/>
              <w:jc w:val="left"/>
              <w:spacing w:before="200"/>
              <w:ind w:firstLine="0" w:left="0" w:right="0"/>
            </w:pPr>
            <w:r>
              <w:t xml:space="preserve">Figure 6:</w:t>
            </w:r>
            <w:r>
              <w:t xml:space="preserve"> </w:t>
            </w:r>
            <w:r>
              <w:rPr>
                <w:rStyle w:val="CaptionText"/>
              </w:rPr>
              <w:t xml:space="preserve">Disclosure archetypes: standardized coordinates (matrix A, z-scores) of the three archetypal vertices (k = 3), 2021–2026 (year to date).</w:t>
            </w:r>
          </w:p>
          <w:bookmarkEnd w:id="22"/>
        </w:tc>
      </w:tr>
    </w:tbl>
    <w:p>
      <w:pPr>
        <w:pStyle w:val="Textoindependiente"/>
      </w:pPr>
      <w:r>
        <w:t xml:space="preserve">Named firms make the distinction concrete (</w:t>
      </w:r>
      <w:hyperlink w:anchor="tbl-representative-firms">
        <w:r>
          <w:rPr>
            <w:rStyle w:val="Hipervnculo"/>
          </w:rPr>
          <w:t xml:space="preserve">Table 6</w:t>
        </w:r>
      </w:hyperlink>
      <w:r>
        <w:t xml:space="preserve">):</w:t>
      </w:r>
    </w:p>
    <w:bookmarkStart w:id="26" w:name="tbl-representative-firms"/>
    <w:p>
      <w:pPr>
        <w:keepNext/>
        <w:pStyle w:val="ImageCaption"/>
        <w:jc w:val="left"/>
        <w:spacing w:before="200"/>
        <w:ind w:firstLine="0" w:left="0" w:right="0"/>
      </w:pPr>
      <w:r>
        <w:t xml:space="preserve">Table 6:</w:t>
      </w:r>
      <w:r>
        <w:t xml:space="preserve"> </w:t>
      </w:r>
      <w:r>
        <w:rPr>
          <w:rStyle w:val="CaptionText"/>
        </w:rPr>
        <w:t xml:space="preserve">Representative corporations and disclosure registers across AI disclosure archetypes.</w:t>
      </w:r>
    </w:p>
    <w:tbl>
      <w:tblPr>
        <w:tblStyle w:val="Table"/>
        <w:tblW w:type="auto" w:w="0"/>
        <w:jc w:val="center"/>
        <w:tblLook w:firstRow="1" w:lastRow="0" w:firstColumn="0" w:lastColumn="0" w:noHBand="0" w:noVBand="0" w:val="0020"/>
        <w:tblBorders>
          <w:top w:val="single" w:sz="8" w:space="0" w:color="0F172A"/>
          <w:bottom w:val="single" w:sz="8" w:space="0" w:color="0F172A"/>
          <w:left w:val="none"/>
          <w:right w:val="none"/>
          <w:insideH w:val="single" w:sz="4" w:space="0" w:color="E2E8F0"/>
          <w:insideV w:val="none"/>
        </w:tblBorders>
        <w:tblCellMar>
          <w:top w:w="26" w:type="dxa"/>
          <w:bottom w:w="26" w:type="dxa"/>
          <w:left w:w="48" w:type="dxa"/>
          <w:right w:w="48" w:type="dxa"/>
        </w:tblCellMar>
      </w:tblPr>
      <w:tblGrid>
        <w:gridCol w:w="1980"/>
        <w:gridCol w:w="1980"/>
        <w:gridCol w:w="1980"/>
        <w:gridCol w:w="1980"/>
      </w:tblGrid>
      <w:tr>
        <w:trPr>
          <w:tblHeader w:val="on"/>
          <w:cantSplit/>
          <w:tblHeader/>
        </w:trPr>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6"/>
              </w:rPr>
              <w:t xml:space="preserve">Archetype</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6"/>
              </w:rPr>
              <w:t xml:space="preserve">Prominent Constituents</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6"/>
              </w:rPr>
              <w:t xml:space="preserve">Centroid-Closest Exemplars</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6"/>
              </w:rPr>
              <w:t xml:space="preserve">Primary SEC Disclosure Focus</w:t>
            </w:r>
          </w:p>
        </w:tc>
      </w:tr>
      <w:tr>
        <w:trPr>
          <w:cantSplit/>
        </w:trPr>
        <w:tc>
          <w:tcPr/>
          <w:p>
            <w:pPr>
              <w:pStyle w:val="Compact"/>
              <w:keepNext/>
              <w:spacing w:before="8" w:after="8" w:line="240" w:lineRule="auto"/>
              <w:ind w:firstLine="0" w:left="0" w:right="0"/>
              <w:jc w:val="left"/>
              <w:jc w:val="center"/>
            </w:pPr>
            <w:r>
              <w:rPr>
                <w:rFonts w:ascii="Calibri" w:hAnsi="Calibri"/>
                <w:b/>
                <w:bCs/>
                <w:sz w:val="16"/>
              </w:rPr>
              <w:t xml:space="preserve">Vocal Substantives</w:t>
            </w:r>
          </w:p>
        </w:tc>
        <w:tc>
          <w:tcPr/>
          <w:p>
            <w:pPr>
              <w:pStyle w:val="Compact"/>
              <w:keepNext/>
              <w:spacing w:before="8" w:after="8" w:line="240" w:lineRule="auto"/>
              <w:ind w:firstLine="0" w:left="0" w:right="0"/>
              <w:jc w:val="left"/>
              <w:jc w:val="center"/>
            </w:pPr>
            <w:r>
              <w:rPr>
                <w:rFonts w:ascii="Calibri" w:hAnsi="Calibri"/>
                <w:sz w:val="16"/>
              </w:rPr>
              <w:t xml:space="preserve">Microsoft (</w:t>
            </w:r>
            <w:r>
              <w:rPr>
                <w:rStyle w:val="VerbatimChar"/>
                <w:rFonts w:ascii="Calibri" w:hAnsi="Calibri"/>
                <w:sz w:val="16"/>
              </w:rPr>
              <w:t xml:space="preserve">MSFT</w:t>
            </w:r>
            <w:r>
              <w:rPr>
                <w:rFonts w:ascii="Calibri" w:hAnsi="Calibri"/>
                <w:sz w:val="16"/>
              </w:rPr>
              <w:t xml:space="preserve">), NVIDIA (</w:t>
            </w:r>
            <w:r>
              <w:rPr>
                <w:rStyle w:val="VerbatimChar"/>
                <w:rFonts w:ascii="Calibri" w:hAnsi="Calibri"/>
                <w:sz w:val="16"/>
              </w:rPr>
              <w:t xml:space="preserve">NVDA</w:t>
            </w:r>
            <w:r>
              <w:rPr>
                <w:rFonts w:ascii="Calibri" w:hAnsi="Calibri"/>
                <w:sz w:val="16"/>
              </w:rPr>
              <w:t xml:space="preserve">), Alphabet (</w:t>
            </w:r>
            <w:r>
              <w:rPr>
                <w:rStyle w:val="VerbatimChar"/>
                <w:rFonts w:ascii="Calibri" w:hAnsi="Calibri"/>
                <w:sz w:val="16"/>
              </w:rPr>
              <w:t xml:space="preserve">GOOGL</w:t>
            </w:r>
            <w:r>
              <w:rPr>
                <w:rFonts w:ascii="Calibri" w:hAnsi="Calibri"/>
                <w:sz w:val="16"/>
              </w:rPr>
              <w:t xml:space="preserve">), Meta (</w:t>
            </w:r>
            <w:r>
              <w:rPr>
                <w:rStyle w:val="VerbatimChar"/>
                <w:rFonts w:ascii="Calibri" w:hAnsi="Calibri"/>
                <w:sz w:val="16"/>
              </w:rPr>
              <w:t xml:space="preserve">META</w:t>
            </w:r>
            <w:r>
              <w:rPr>
                <w:rFonts w:ascii="Calibri" w:hAnsi="Calibri"/>
                <w:sz w:val="16"/>
              </w:rPr>
              <w:t xml:space="preserve">), Amazon (</w:t>
            </w:r>
            <w:r>
              <w:rPr>
                <w:rStyle w:val="VerbatimChar"/>
                <w:rFonts w:ascii="Calibri" w:hAnsi="Calibri"/>
                <w:sz w:val="16"/>
              </w:rPr>
              <w:t xml:space="preserve">AMZN</w:t>
            </w:r>
            <w:r>
              <w:rPr>
                <w:rFonts w:ascii="Calibri" w:hAnsi="Calibri"/>
                <w:sz w:val="16"/>
              </w:rPr>
              <w:t xml:space="preserve">)</w:t>
            </w:r>
          </w:p>
        </w:tc>
        <w:tc>
          <w:tcPr/>
          <w:p>
            <w:pPr>
              <w:pStyle w:val="Compact"/>
              <w:keepNext/>
              <w:spacing w:before="8" w:after="8" w:line="240" w:lineRule="auto"/>
              <w:ind w:firstLine="0" w:left="0" w:right="0"/>
              <w:jc w:val="left"/>
              <w:jc w:val="center"/>
            </w:pPr>
            <w:r>
              <w:rPr>
                <w:rFonts w:ascii="Calibri" w:hAnsi="Calibri"/>
                <w:sz w:val="16"/>
              </w:rPr>
              <w:t xml:space="preserve">Nasdaq (</w:t>
            </w:r>
            <w:r>
              <w:rPr>
                <w:rStyle w:val="VerbatimChar"/>
                <w:rFonts w:ascii="Calibri" w:hAnsi="Calibri"/>
                <w:sz w:val="16"/>
              </w:rPr>
              <w:t xml:space="preserve">NDAQ</w:t>
            </w:r>
            <w:r>
              <w:rPr>
                <w:rFonts w:ascii="Calibri" w:hAnsi="Calibri"/>
                <w:sz w:val="16"/>
              </w:rPr>
              <w:t xml:space="preserve">), Cadence Design Systems (</w:t>
            </w:r>
            <w:r>
              <w:rPr>
                <w:rStyle w:val="VerbatimChar"/>
                <w:rFonts w:ascii="Calibri" w:hAnsi="Calibri"/>
                <w:sz w:val="16"/>
              </w:rPr>
              <w:t xml:space="preserve">CDNS</w:t>
            </w:r>
            <w:r>
              <w:rPr>
                <w:rFonts w:ascii="Calibri" w:hAnsi="Calibri"/>
                <w:sz w:val="16"/>
              </w:rPr>
              <w:t xml:space="preserve">), MICROSOFT CORP (</w:t>
            </w:r>
            <w:r>
              <w:rPr>
                <w:rStyle w:val="VerbatimChar"/>
                <w:rFonts w:ascii="Calibri" w:hAnsi="Calibri"/>
                <w:sz w:val="16"/>
              </w:rPr>
              <w:t xml:space="preserve">MSFT</w:t>
            </w:r>
            <w:r>
              <w:rPr>
                <w:rFonts w:ascii="Calibri" w:hAnsi="Calibri"/>
                <w:sz w:val="16"/>
              </w:rPr>
              <w:t xml:space="preserve">), Johnson Controls (</w:t>
            </w:r>
            <w:r>
              <w:rPr>
                <w:rStyle w:val="VerbatimChar"/>
                <w:rFonts w:ascii="Calibri" w:hAnsi="Calibri"/>
                <w:sz w:val="16"/>
              </w:rPr>
              <w:t xml:space="preserve">JCI</w:t>
            </w:r>
            <w:r>
              <w:rPr>
                <w:rFonts w:ascii="Calibri" w:hAnsi="Calibri"/>
                <w:sz w:val="16"/>
              </w:rPr>
              <w:t xml:space="preserve">)</w:t>
            </w:r>
          </w:p>
        </w:tc>
        <w:tc>
          <w:tcPr/>
          <w:p>
            <w:pPr>
              <w:pStyle w:val="Compact"/>
              <w:keepNext/>
              <w:spacing w:before="8" w:after="8" w:line="240" w:lineRule="auto"/>
              <w:ind w:firstLine="0" w:left="0" w:right="0"/>
              <w:jc w:val="left"/>
              <w:jc w:val="center"/>
            </w:pPr>
            <w:r>
              <w:rPr>
                <w:rFonts w:ascii="Calibri" w:hAnsi="Calibri"/>
                <w:sz w:val="16"/>
              </w:rPr>
              <w:t xml:space="preserve">Customer-facing tools, commercial roadmaps, high technical specificity, realized deployments</w:t>
            </w:r>
          </w:p>
        </w:tc>
      </w:tr>
      <w:tr>
        <w:trPr>
          <w:cantSplit/>
        </w:trPr>
        <w:tc>
          <w:tcPr/>
          <w:p>
            <w:pPr>
              <w:pStyle w:val="Compact"/>
              <w:keepNext/>
              <w:spacing w:before="8" w:after="8" w:line="240" w:lineRule="auto"/>
              <w:ind w:firstLine="0" w:left="0" w:right="0"/>
              <w:jc w:val="left"/>
              <w:jc w:val="center"/>
            </w:pPr>
            <w:r>
              <w:rPr>
                <w:rFonts w:ascii="Calibri" w:hAnsi="Calibri"/>
                <w:b/>
                <w:bCs/>
                <w:sz w:val="16"/>
              </w:rPr>
              <w:t xml:space="preserve">Governance-Led Disclosers</w:t>
            </w:r>
          </w:p>
        </w:tc>
        <w:tc>
          <w:tcPr/>
          <w:p>
            <w:pPr>
              <w:pStyle w:val="Compact"/>
              <w:keepNext/>
              <w:spacing w:before="8" w:after="8" w:line="240" w:lineRule="auto"/>
              <w:ind w:firstLine="0" w:left="0" w:right="0"/>
              <w:jc w:val="left"/>
              <w:jc w:val="center"/>
            </w:pPr>
            <w:r>
              <w:rPr>
                <w:rFonts w:ascii="Calibri" w:hAnsi="Calibri"/>
                <w:sz w:val="16"/>
              </w:rPr>
              <w:t xml:space="preserve">Citigroup (</w:t>
            </w:r>
            <w:r>
              <w:rPr>
                <w:rStyle w:val="VerbatimChar"/>
                <w:rFonts w:ascii="Calibri" w:hAnsi="Calibri"/>
                <w:sz w:val="16"/>
              </w:rPr>
              <w:t xml:space="preserve">C</w:t>
            </w:r>
            <w:r>
              <w:rPr>
                <w:rFonts w:ascii="Calibri" w:hAnsi="Calibri"/>
                <w:sz w:val="16"/>
              </w:rPr>
              <w:t xml:space="preserve">), BlackRock (</w:t>
            </w:r>
            <w:r>
              <w:rPr>
                <w:rStyle w:val="VerbatimChar"/>
                <w:rFonts w:ascii="Calibri" w:hAnsi="Calibri"/>
                <w:sz w:val="16"/>
              </w:rPr>
              <w:t xml:space="preserve">BLK</w:t>
            </w:r>
            <w:r>
              <w:rPr>
                <w:rFonts w:ascii="Calibri" w:hAnsi="Calibri"/>
                <w:sz w:val="16"/>
              </w:rPr>
              <w:t xml:space="preserve">), Apple (</w:t>
            </w:r>
            <w:r>
              <w:rPr>
                <w:rStyle w:val="VerbatimChar"/>
                <w:rFonts w:ascii="Calibri" w:hAnsi="Calibri"/>
                <w:sz w:val="16"/>
              </w:rPr>
              <w:t xml:space="preserve">AAPL</w:t>
            </w:r>
            <w:r>
              <w:rPr>
                <w:rFonts w:ascii="Calibri" w:hAnsi="Calibri"/>
                <w:sz w:val="16"/>
              </w:rPr>
              <w:t xml:space="preserve">), UnitedHealth (</w:t>
            </w:r>
            <w:r>
              <w:rPr>
                <w:rStyle w:val="VerbatimChar"/>
                <w:rFonts w:ascii="Calibri" w:hAnsi="Calibri"/>
                <w:sz w:val="16"/>
              </w:rPr>
              <w:t xml:space="preserve">UNH</w:t>
            </w:r>
            <w:r>
              <w:rPr>
                <w:rFonts w:ascii="Calibri" w:hAnsi="Calibri"/>
                <w:sz w:val="16"/>
              </w:rPr>
              <w:t xml:space="preserve">), Walmart (</w:t>
            </w:r>
            <w:r>
              <w:rPr>
                <w:rStyle w:val="VerbatimChar"/>
                <w:rFonts w:ascii="Calibri" w:hAnsi="Calibri"/>
                <w:sz w:val="16"/>
              </w:rPr>
              <w:t xml:space="preserve">WMT</w:t>
            </w:r>
            <w:r>
              <w:rPr>
                <w:rFonts w:ascii="Calibri" w:hAnsi="Calibri"/>
                <w:sz w:val="16"/>
              </w:rPr>
              <w:t xml:space="preserve">)</w:t>
            </w:r>
          </w:p>
        </w:tc>
        <w:tc>
          <w:tcPr/>
          <w:p>
            <w:pPr>
              <w:pStyle w:val="Compact"/>
              <w:keepNext/>
              <w:spacing w:before="8" w:after="8" w:line="240" w:lineRule="auto"/>
              <w:ind w:firstLine="0" w:left="0" w:right="0"/>
              <w:jc w:val="left"/>
              <w:jc w:val="center"/>
            </w:pPr>
            <w:r>
              <w:rPr>
                <w:rFonts w:ascii="Calibri" w:hAnsi="Calibri"/>
                <w:sz w:val="16"/>
              </w:rPr>
              <w:t xml:space="preserve">ALASKA AIR GROUP, INC. (</w:t>
            </w:r>
            <w:r>
              <w:rPr>
                <w:rStyle w:val="VerbatimChar"/>
                <w:rFonts w:ascii="Calibri" w:hAnsi="Calibri"/>
                <w:sz w:val="16"/>
              </w:rPr>
              <w:t xml:space="preserve">ALK</w:t>
            </w:r>
            <w:r>
              <w:rPr>
                <w:rFonts w:ascii="Calibri" w:hAnsi="Calibri"/>
                <w:sz w:val="16"/>
              </w:rPr>
              <w:t xml:space="preserve">), Delta Air Lines (</w:t>
            </w:r>
            <w:r>
              <w:rPr>
                <w:rStyle w:val="VerbatimChar"/>
                <w:rFonts w:ascii="Calibri" w:hAnsi="Calibri"/>
                <w:sz w:val="16"/>
              </w:rPr>
              <w:t xml:space="preserve">DAL</w:t>
            </w:r>
            <w:r>
              <w:rPr>
                <w:rFonts w:ascii="Calibri" w:hAnsi="Calibri"/>
                <w:sz w:val="16"/>
              </w:rPr>
              <w:t xml:space="preserve">), General Mills (</w:t>
            </w:r>
            <w:r>
              <w:rPr>
                <w:rStyle w:val="VerbatimChar"/>
                <w:rFonts w:ascii="Calibri" w:hAnsi="Calibri"/>
                <w:sz w:val="16"/>
              </w:rPr>
              <w:t xml:space="preserve">GIS</w:t>
            </w:r>
            <w:r>
              <w:rPr>
                <w:rFonts w:ascii="Calibri" w:hAnsi="Calibri"/>
                <w:sz w:val="16"/>
              </w:rPr>
              <w:t xml:space="preserve">), RTX (</w:t>
            </w:r>
            <w:r>
              <w:rPr>
                <w:rStyle w:val="VerbatimChar"/>
                <w:rFonts w:ascii="Calibri" w:hAnsi="Calibri"/>
                <w:sz w:val="16"/>
              </w:rPr>
              <w:t xml:space="preserve">RTX</w:t>
            </w:r>
            <w:r>
              <w:rPr>
                <w:rFonts w:ascii="Calibri" w:hAnsi="Calibri"/>
                <w:sz w:val="16"/>
              </w:rPr>
              <w:t xml:space="preserve">)</w:t>
            </w:r>
          </w:p>
        </w:tc>
        <w:tc>
          <w:tcPr/>
          <w:p>
            <w:pPr>
              <w:pStyle w:val="Compact"/>
              <w:keepNext/>
              <w:spacing w:before="8" w:after="8" w:line="240" w:lineRule="auto"/>
              <w:ind w:firstLine="0" w:left="0" w:right="0"/>
              <w:jc w:val="left"/>
              <w:jc w:val="center"/>
            </w:pPr>
            <w:r>
              <w:rPr>
                <w:rFonts w:ascii="Calibri" w:hAnsi="Calibri"/>
                <w:sz w:val="16"/>
              </w:rPr>
              <w:t xml:space="preserve">Board oversight, model risk management, responsible AI frameworks, data privacy</w:t>
            </w:r>
          </w:p>
        </w:tc>
      </w:tr>
      <w:tr>
        <w:trPr>
          <w:cantSplit/>
        </w:trPr>
        <w:tc>
          <w:tcPr/>
          <w:p>
            <w:pPr>
              <w:pStyle w:val="Compact"/>
              <w:keepNext/>
              <w:spacing w:before="8" w:after="8" w:line="240" w:lineRule="auto"/>
              <w:ind w:firstLine="0" w:left="0" w:right="0"/>
              <w:jc w:val="left"/>
              <w:jc w:val="center"/>
            </w:pPr>
            <w:r>
              <w:rPr>
                <w:rFonts w:ascii="Calibri" w:hAnsi="Calibri"/>
                <w:b/>
                <w:bCs/>
                <w:sz w:val="16"/>
              </w:rPr>
              <w:t xml:space="preserve">Defensive Disclosers</w:t>
            </w:r>
          </w:p>
        </w:tc>
        <w:tc>
          <w:tcPr/>
          <w:p>
            <w:pPr>
              <w:pStyle w:val="Compact"/>
              <w:keepNext/>
              <w:spacing w:before="8" w:after="8" w:line="240" w:lineRule="auto"/>
              <w:ind w:firstLine="0" w:left="0" w:right="0"/>
              <w:jc w:val="left"/>
              <w:jc w:val="center"/>
            </w:pPr>
            <w:r>
              <w:rPr>
                <w:rFonts w:ascii="Calibri" w:hAnsi="Calibri"/>
                <w:sz w:val="16"/>
              </w:rPr>
              <w:t xml:space="preserve">Goldman Sachs (</w:t>
            </w:r>
            <w:r>
              <w:rPr>
                <w:rStyle w:val="VerbatimChar"/>
                <w:rFonts w:ascii="Calibri" w:hAnsi="Calibri"/>
                <w:sz w:val="16"/>
              </w:rPr>
              <w:t xml:space="preserve">GS</w:t>
            </w:r>
            <w:r>
              <w:rPr>
                <w:rFonts w:ascii="Calibri" w:hAnsi="Calibri"/>
                <w:sz w:val="16"/>
              </w:rPr>
              <w:t xml:space="preserve">), Morgan Stanley (</w:t>
            </w:r>
            <w:r>
              <w:rPr>
                <w:rStyle w:val="VerbatimChar"/>
                <w:rFonts w:ascii="Calibri" w:hAnsi="Calibri"/>
                <w:sz w:val="16"/>
              </w:rPr>
              <w:t xml:space="preserve">MS</w:t>
            </w:r>
            <w:r>
              <w:rPr>
                <w:rFonts w:ascii="Calibri" w:hAnsi="Calibri"/>
                <w:sz w:val="16"/>
              </w:rPr>
              <w:t xml:space="preserve">), Johnson &amp; Johnson (</w:t>
            </w:r>
            <w:r>
              <w:rPr>
                <w:rStyle w:val="VerbatimChar"/>
                <w:rFonts w:ascii="Calibri" w:hAnsi="Calibri"/>
                <w:sz w:val="16"/>
              </w:rPr>
              <w:t xml:space="preserve">JNJ</w:t>
            </w:r>
            <w:r>
              <w:rPr>
                <w:rFonts w:ascii="Calibri" w:hAnsi="Calibri"/>
                <w:sz w:val="16"/>
              </w:rPr>
              <w:t xml:space="preserve">), American Express (</w:t>
            </w:r>
            <w:r>
              <w:rPr>
                <w:rStyle w:val="VerbatimChar"/>
                <w:rFonts w:ascii="Calibri" w:hAnsi="Calibri"/>
                <w:sz w:val="16"/>
              </w:rPr>
              <w:t xml:space="preserve">AXP</w:t>
            </w:r>
            <w:r>
              <w:rPr>
                <w:rFonts w:ascii="Calibri" w:hAnsi="Calibri"/>
                <w:sz w:val="16"/>
              </w:rPr>
              <w:t xml:space="preserve">), Eli Lilly (</w:t>
            </w:r>
            <w:r>
              <w:rPr>
                <w:rStyle w:val="VerbatimChar"/>
                <w:rFonts w:ascii="Calibri" w:hAnsi="Calibri"/>
                <w:sz w:val="16"/>
              </w:rPr>
              <w:t xml:space="preserve">LLY</w:t>
            </w:r>
            <w:r>
              <w:rPr>
                <w:rFonts w:ascii="Calibri" w:hAnsi="Calibri"/>
                <w:sz w:val="16"/>
              </w:rPr>
              <w:t xml:space="preserve">)</w:t>
            </w:r>
          </w:p>
        </w:tc>
        <w:tc>
          <w:tcPr/>
          <w:p>
            <w:pPr>
              <w:pStyle w:val="Compact"/>
              <w:keepNext/>
              <w:spacing w:before="8" w:after="8" w:line="240" w:lineRule="auto"/>
              <w:ind w:firstLine="0" w:left="0" w:right="0"/>
              <w:jc w:val="left"/>
              <w:jc w:val="center"/>
            </w:pPr>
            <w:r>
              <w:rPr>
                <w:rFonts w:ascii="Calibri" w:hAnsi="Calibri"/>
                <w:sz w:val="16"/>
              </w:rPr>
              <w:t xml:space="preserve">STARBUCKS CORP (</w:t>
            </w:r>
            <w:r>
              <w:rPr>
                <w:rStyle w:val="VerbatimChar"/>
                <w:rFonts w:ascii="Calibri" w:hAnsi="Calibri"/>
                <w:sz w:val="16"/>
              </w:rPr>
              <w:t xml:space="preserve">SBUX</w:t>
            </w:r>
            <w:r>
              <w:rPr>
                <w:rFonts w:ascii="Calibri" w:hAnsi="Calibri"/>
                <w:sz w:val="16"/>
              </w:rPr>
              <w:t xml:space="preserve">), Microchip Technology (</w:t>
            </w:r>
            <w:r>
              <w:rPr>
                <w:rStyle w:val="VerbatimChar"/>
                <w:rFonts w:ascii="Calibri" w:hAnsi="Calibri"/>
                <w:sz w:val="16"/>
              </w:rPr>
              <w:t xml:space="preserve">MCHP</w:t>
            </w:r>
            <w:r>
              <w:rPr>
                <w:rFonts w:ascii="Calibri" w:hAnsi="Calibri"/>
                <w:sz w:val="16"/>
              </w:rPr>
              <w:t xml:space="preserve">), Danaher (</w:t>
            </w:r>
            <w:r>
              <w:rPr>
                <w:rStyle w:val="VerbatimChar"/>
                <w:rFonts w:ascii="Calibri" w:hAnsi="Calibri"/>
                <w:sz w:val="16"/>
              </w:rPr>
              <w:t xml:space="preserve">DHR</w:t>
            </w:r>
            <w:r>
              <w:rPr>
                <w:rFonts w:ascii="Calibri" w:hAnsi="Calibri"/>
                <w:sz w:val="16"/>
              </w:rPr>
              <w:t xml:space="preserve">), Labcorp (</w:t>
            </w:r>
            <w:r>
              <w:rPr>
                <w:rStyle w:val="VerbatimChar"/>
                <w:rFonts w:ascii="Calibri" w:hAnsi="Calibri"/>
                <w:sz w:val="16"/>
              </w:rPr>
              <w:t xml:space="preserve">LH</w:t>
            </w:r>
            <w:r>
              <w:rPr>
                <w:rFonts w:ascii="Calibri" w:hAnsi="Calibri"/>
                <w:sz w:val="16"/>
              </w:rPr>
              <w:t xml:space="preserve">)</w:t>
            </w:r>
          </w:p>
        </w:tc>
        <w:tc>
          <w:tcPr/>
          <w:p>
            <w:pPr>
              <w:pStyle w:val="Compact"/>
              <w:keepNext/>
              <w:spacing w:before="8" w:after="8" w:line="240" w:lineRule="auto"/>
              <w:ind w:firstLine="0" w:left="0" w:right="0"/>
              <w:jc w:val="left"/>
              <w:jc w:val="center"/>
            </w:pPr>
            <w:r>
              <w:rPr>
                <w:rFonts w:ascii="Calibri" w:hAnsi="Calibri"/>
                <w:sz w:val="16"/>
              </w:rPr>
              <w:t xml:space="preserve">Item 1A risk factors, cybersecurity, third-party vendor dependencies, minimal operational claims</w:t>
            </w:r>
          </w:p>
        </w:tc>
      </w:tr>
      <w:tr>
        <w:trPr>
          <w:cantSplit/>
        </w:trPr>
        <w:tc>
          <w:tcPr/>
          <w:p>
            <w:pPr>
              <w:pStyle w:val="Compact"/>
              <w:spacing w:before="8" w:after="8" w:line="240" w:lineRule="auto"/>
              <w:ind w:firstLine="0" w:left="0" w:right="0"/>
              <w:jc w:val="left"/>
              <w:jc w:val="center"/>
            </w:pPr>
            <w:r>
              <w:rPr>
                <w:rFonts w:ascii="Calibri" w:hAnsi="Calibri"/>
                <w:b/>
                <w:bCs/>
                <w:sz w:val="16"/>
              </w:rPr>
              <w:t xml:space="preserve">No AI</w:t>
            </w:r>
          </w:p>
        </w:tc>
        <w:tc>
          <w:tcPr/>
          <w:p>
            <w:pPr>
              <w:pStyle w:val="Compact"/>
              <w:spacing w:before="8" w:after="8" w:line="240" w:lineRule="auto"/>
              <w:ind w:firstLine="0" w:left="0" w:right="0"/>
              <w:jc w:val="left"/>
              <w:jc w:val="center"/>
            </w:pPr>
            <w:r>
              <w:rPr>
                <w:rFonts w:ascii="Calibri" w:hAnsi="Calibri"/>
                <w:sz w:val="16"/>
              </w:rPr>
              <w:t xml:space="preserve">Costco (</w:t>
            </w:r>
            <w:r>
              <w:rPr>
                <w:rStyle w:val="VerbatimChar"/>
                <w:rFonts w:ascii="Calibri" w:hAnsi="Calibri"/>
                <w:sz w:val="16"/>
              </w:rPr>
              <w:t xml:space="preserve">COST</w:t>
            </w:r>
            <w:r>
              <w:rPr>
                <w:rFonts w:ascii="Calibri" w:hAnsi="Calibri"/>
                <w:sz w:val="16"/>
              </w:rPr>
              <w:t xml:space="preserve">), Texas Instruments (</w:t>
            </w:r>
            <w:r>
              <w:rPr>
                <w:rStyle w:val="VerbatimChar"/>
                <w:rFonts w:ascii="Calibri" w:hAnsi="Calibri"/>
                <w:sz w:val="16"/>
              </w:rPr>
              <w:t xml:space="preserve">TXN</w:t>
            </w:r>
            <w:r>
              <w:rPr>
                <w:rFonts w:ascii="Calibri" w:hAnsi="Calibri"/>
                <w:sz w:val="16"/>
              </w:rPr>
              <w:t xml:space="preserve">), O’Reilly Automotive (</w:t>
            </w:r>
            <w:r>
              <w:rPr>
                <w:rStyle w:val="VerbatimChar"/>
                <w:rFonts w:ascii="Calibri" w:hAnsi="Calibri"/>
                <w:sz w:val="16"/>
              </w:rPr>
              <w:t xml:space="preserve">ORLY</w:t>
            </w:r>
            <w:r>
              <w:rPr>
                <w:rFonts w:ascii="Calibri" w:hAnsi="Calibri"/>
                <w:sz w:val="16"/>
              </w:rPr>
              <w:t xml:space="preserve">), NVR (</w:t>
            </w:r>
            <w:r>
              <w:rPr>
                <w:rStyle w:val="VerbatimChar"/>
                <w:rFonts w:ascii="Calibri" w:hAnsi="Calibri"/>
                <w:sz w:val="16"/>
              </w:rPr>
              <w:t xml:space="preserve">NVR</w:t>
            </w:r>
            <w:r>
              <w:rPr>
                <w:rFonts w:ascii="Calibri" w:hAnsi="Calibri"/>
                <w:sz w:val="16"/>
              </w:rPr>
              <w:t xml:space="preserve">)</w:t>
            </w:r>
          </w:p>
        </w:tc>
        <w:tc>
          <w:tcPr/>
          <w:p>
            <w:pPr>
              <w:pStyle w:val="Compact"/>
              <w:spacing w:before="8" w:after="8" w:line="240" w:lineRule="auto"/>
              <w:ind w:firstLine="0" w:left="0" w:right="0"/>
              <w:jc w:val="left"/>
              <w:jc w:val="center"/>
            </w:pPr>
            <w:r>
              <w:rPr>
                <w:rFonts w:ascii="Calibri" w:hAnsi="Calibri"/>
                <w:sz w:val="16"/>
              </w:rPr>
              <w:t xml:space="preserve">Rule-based filter (&lt; 5 frames)</w:t>
            </w:r>
          </w:p>
        </w:tc>
        <w:tc>
          <w:tcPr/>
          <w:p>
            <w:pPr>
              <w:pStyle w:val="Compact"/>
              <w:spacing w:before="8" w:after="8" w:line="240" w:lineRule="auto"/>
              <w:ind w:firstLine="0" w:left="0" w:right="0"/>
              <w:jc w:val="left"/>
              <w:jc w:val="center"/>
            </w:pPr>
            <w:r>
              <w:rPr>
                <w:rFonts w:ascii="Calibri" w:hAnsi="Calibri"/>
                <w:sz w:val="16"/>
              </w:rPr>
              <w:t xml:space="preserve">Physical operations, heavy capital assets, retail/real estate; negligible AI mentions in SEC filings</w:t>
            </w:r>
          </w:p>
        </w:tc>
      </w:tr>
    </w:tbl>
    <w:bookmarkEnd w:id="23"/>
    <w:p>
      <w:pPr>
        <w:pStyle w:val="FigureNote"/>
        <w:ind w:firstLine="0" w:left="0" w:right="0"/>
        <w:spacing w:before="0" w:after="120"/>
      </w:pPr>
      <w:r>
        <w:rPr>
          <w:i/>
          <w:iCs/>
        </w:rPr>
        <w:t xml:space="preserve">Notes:</w:t>
      </w:r>
      <w:r>
        <w:t xml:space="preserve"> </w:t>
      </w:r>
      <w:r>
        <w:t xml:space="preserve">Prominent constituents: widely recognized S&amp;P 500 members per cluster. Centroid-closest exemplars: firms nearest each archetype’s mean posture vector. Primary SEC disclosure focus: dominant narrative register in statutory filings.</w:t>
      </w:r>
    </w:p>
    <w:p>
      <w:pPr>
        <w:pStyle w:val="Textoindependiente"/>
      </w:pPr>
      <w:r>
        <w:t xml:space="preserve">Two cases show how far SEC disclosure posture can sit from commercial reputation:</w:t>
      </w:r>
    </w:p>
    <w:p>
      <w:pPr>
        <w:pStyle w:val="Compact"/>
        <w:numPr>
          <w:ilvl w:val="0"/>
          <w:numId w:val="22"/>
        </w:numPr>
      </w:pPr>
      <w:r>
        <w:rPr>
          <w:b/>
          <w:bCs/>
        </w:rPr>
        <w:t xml:space="preserve">Apple</w:t>
      </w:r>
      <w:r>
        <w:t xml:space="preserve"> </w:t>
      </w:r>
      <w:r>
        <w:t xml:space="preserve">falls into Governance-Led. The firm ships proprietary AI in its consumer devices, but in its SEC filings the AI mentions are about board oversight and responsible-use proposals. The product marketing happens at keynotes, outside EDGAR.</w:t>
      </w:r>
    </w:p>
    <w:p>
      <w:pPr>
        <w:pStyle w:val="Compact"/>
        <w:numPr>
          <w:ilvl w:val="0"/>
          <w:numId w:val="22"/>
        </w:numPr>
      </w:pPr>
      <w:r>
        <w:rPr>
          <w:b/>
          <w:bCs/>
        </w:rPr>
        <w:t xml:space="preserve">Goldman Sachs</w:t>
      </w:r>
      <w:r>
        <w:t xml:space="preserve"> </w:t>
      </w:r>
      <w:r>
        <w:t xml:space="preserve">falls into Defensive. More than 60% of its AI-bearing text is in Item 1A risk factors (model risk, cybersecurity, vendor dependencies), and there is very little operational disclosure.</w:t>
      </w:r>
    </w:p>
    <w:p>
      <w:pPr>
        <w:pStyle w:val="FirstParagraph"/>
      </w:pPr>
      <w:r>
        <w:t xml:space="preserve">Placing a firm next to its peers therefore tells a reader which filings deserve a closer look. It says something about communication strategy and nothing directly about technological capability.</w:t>
      </w:r>
    </w:p>
    <w:p>
      <w:pPr>
        <w:pStyle w:val="Textoindependiente"/>
      </w:pPr>
      <w:r>
        <w:t xml:space="preserve">The No AI group also contains 20 firms that left the S&amp;P 500 through acquisition or delisting before the generative AI boom, so part of the group is explained by the timing of the exit rather than by an active disclosure policy. They are kept in order to preserve the panel.</w:t>
      </w:r>
    </w:p>
    <w:bookmarkEnd w:id="24"/>
    <w:bookmarkStart w:id="27" w:name="X9fd69092a98e96db372d826c153e1645527ec1a"/>
    <w:p>
      <w:pPr>
        <w:pStyle w:val="Ttulo3"/>
      </w:pPr>
      <w:r>
        <w:t xml:space="preserve">2.5.2 Sectoral sorting and institutional channels</w:t>
      </w:r>
    </w:p>
    <w:p>
      <w:pPr>
        <w:keepNext/>
        <w:pStyle w:val="FirstParagraph"/>
      </w:pPr>
      <w:r>
        <w:t xml:space="preserve">Industry economics and regulatory exposure shape the archetypes a great deal, although peers inside the same sector still differ from each other. Comparing each sector’s share of an archetype with the sample baseline shows the sorting clearly (</w:t>
      </w:r>
      <w:hyperlink w:anchor="fig-sector-archetype-heatmap">
        <w:r>
          <w:rPr>
            <w:rStyle w:val="Hipervnculo"/>
          </w:rPr>
          <w:t xml:space="preserve">Figure 7</w:t>
        </w:r>
      </w:hyperlink>
      <w:r>
        <w:t xml:space="preserve">):</w:t>
      </w:r>
    </w:p>
    <w:tbl xmlns:a="http://schemas.openxmlformats.org/drawingml/2006/main" xmlns:pic="http://schemas.openxmlformats.org/drawingml/2006/picture">
      <w:tblPr>
        <w:tblStyle w:val="Table"/>
        <w:tblW w:type="pct" w:w="5000"/>
        <w:tblLayout w:type="fixed"/>
        <w:tblLook w:firstRow="0" w:lastRow="0" w:firstColumn="0" w:lastColumn="0" w:noHBand="0" w:noVBand="0" w:val="0000"/>
        <w:tblBorders>
          <w:top w:val="none"/>
          <w:left w:val="none"/>
          <w:bottom w:val="none"/>
          <w:right w:val="none"/>
          <w:insideH w:val="none"/>
          <w:insideV w:val="none"/>
        </w:tblBorders>
      </w:tblPr>
      <w:tblGrid>
        <w:gridCol w:w="7920"/>
      </w:tblGrid>
      <w:tr>
        <w:trPr>
          <w:cantSplit/>
        </w:trPr>
        <w:tc>
          <w:tcPr/>
          <w:bookmarkStart w:id="28" w:name="fig-sector-archetype-heatmap"/>
          <w:p>
            <w:pPr>
              <w:pStyle w:val="Compact"/>
              <w:jc w:val="center"/>
              <w:ind w:firstLine="0" w:left="0" w:right="0"/>
            </w:pPr>
            <w:r>
              <w:drawing>
                <wp:inline>
                  <wp:extent cx="5760085" cy="3334785"/>
                  <wp:effectExtent b="0" l="0" r="0" t="0"/>
                  <wp:docPr descr="" title="" id="7" name="Picture"/>
                  <a:graphic>
                    <a:graphicData uri="http://schemas.openxmlformats.org/drawingml/2006/picture">
                      <pic:pic>
                        <pic:nvPicPr>
                          <pic:cNvPr descr="thesis_files/figure-docx/fig-sector-archetype-heatmap-output-1.png" id="7" name="Picture"/>
                          <pic:cNvPicPr>
                            <a:picLocks noChangeArrowheads="1" noChangeAspect="1"/>
                          </pic:cNvPicPr>
                        </pic:nvPicPr>
                        <pic:blipFill>
                          <a:blip r:embed="rId28"/>
                          <a:stretch>
                            <a:fillRect/>
                          </a:stretch>
                        </pic:blipFill>
                        <pic:spPr bwMode="auto">
                          <a:xfrm>
                            <a:off x="0" y="0"/>
                            <a:ext cx="5760085" cy="3334785"/>
                          </a:xfrm>
                          <a:prstGeom prst="rect">
                            <a:avLst/>
                          </a:prstGeom>
                          <a:noFill/>
                          <a:ln w="9525">
                            <a:noFill/>
                            <a:headEnd/>
                            <a:tailEnd/>
                          </a:ln>
                        </pic:spPr>
                      </pic:pic>
                    </a:graphicData>
                  </a:graphic>
                </wp:inline>
              </w:drawing>
            </w:r>
          </w:p>
          <w:p>
            <w:pPr>
              <w:pStyle w:val="ImageCaption"/>
              <w:jc w:val="left"/>
              <w:spacing w:before="200"/>
              <w:ind w:firstLine="0" w:left="0" w:right="0"/>
            </w:pPr>
            <w:r>
              <w:t xml:space="preserve">Figure 7:</w:t>
            </w:r>
            <w:r>
              <w:t xml:space="preserve"> </w:t>
            </w:r>
            <w:r>
              <w:rPr>
                <w:rStyle w:val="CaptionText"/>
              </w:rPr>
              <w:t xml:space="preserve">Sector representation by disclosure archetype, 2021–2026 (year to date).</w:t>
            </w:r>
            <w:r>
              <w:t xml:space="preserve"> </w:t>
            </w:r>
            <w:r>
              <w:rPr>
                <w:b w:val="0"/>
                <w:bCs w:val="0"/>
                <w:color w:val="595959"/>
              </w:rPr>
              <w:t xml:space="preserve">Ratio of archetype share to sector baseline (observed / expected ratio, firm counts in parentheses). Cells with fewer than five firms show high ratios on small constituent counts and should be read with caution.</w:t>
            </w:r>
          </w:p>
          <w:bookmarkEnd w:id="25"/>
        </w:tc>
      </w:tr>
    </w:tbl>
    <w:p>
      <w:pPr>
        <w:pStyle w:val="Textoindependiente"/>
      </w:pPr>
      <w:r>
        <w:t xml:space="preserve">Two contrasts illustrate the sorting.</w:t>
      </w:r>
      <w:r>
        <w:t xml:space="preserve"> </w:t>
      </w:r>
      <w:r>
        <w:rPr>
          <w:b/>
          <w:bCs/>
        </w:rPr>
        <w:t xml:space="preserve">Technology</w:t>
      </w:r>
      <w:r>
        <w:t xml:space="preserve"> </w:t>
      </w:r>
      <w:r>
        <w:t xml:space="preserve">concentrates heavily in Vocal Substantives: enterprise software and infrastructure providers have both the capability and the commercial reason to market client-facing AI products.</w:t>
      </w:r>
      <w:r>
        <w:t xml:space="preserve"> </w:t>
      </w:r>
      <w:r>
        <w:rPr>
          <w:b/>
          <w:bCs/>
        </w:rPr>
        <w:t xml:space="preserve">Financial Services and Utilities</w:t>
      </w:r>
      <w:r>
        <w:t xml:space="preserve">, by contrast, dominate Governance-Led Disclosers (1.73</w:t>
      </w:r>
      <m:oMath>
        <m:r>
          <m:rPr>
            <m:sty m:val="p"/>
          </m:rPr>
          <w:rPr>
            <w:sz w:val="22"/>
          </w:rPr>
          <m:t>×</m:t>
        </m:r>
      </m:oMath>
      <w:r>
        <w:t xml:space="preserve"> </w:t>
      </w:r>
      <w:r>
        <w:t xml:space="preserve">and 1.66</w:t>
      </w:r>
      <m:oMath>
        <m:r>
          <m:rPr>
            <m:sty m:val="p"/>
          </m:rPr>
          <w:rPr>
            <w:sz w:val="22"/>
          </w:rPr>
          <m:t>×</m:t>
        </m:r>
      </m:oMath>
      <w:r>
        <w:t xml:space="preserve"> </w:t>
      </w:r>
      <w:r>
        <w:t xml:space="preserve">the baseline, against 1.09</w:t>
      </w:r>
      <m:oMath>
        <m:r>
          <m:rPr>
            <m:sty m:val="p"/>
          </m:rPr>
          <w:rPr>
            <w:sz w:val="22"/>
          </w:rPr>
          <m:t>×</m:t>
        </m:r>
      </m:oMath>
      <w:r>
        <w:t xml:space="preserve"> </w:t>
      </w:r>
      <w:r>
        <w:t xml:space="preserve">for Healthcare &amp; Pharma), a pattern compatible with compliance-heavy environments where model-risk management, board oversight and responsible-AI guardrails are emphasized first. The largest ratios in</w:t>
      </w:r>
      <w:r>
        <w:t xml:space="preserve"> </w:t>
      </w:r>
      <w:hyperlink w:anchor="fig-sector-archetype-heatmap">
        <w:r>
          <w:rPr>
            <w:rStyle w:val="Hipervnculo"/>
          </w:rPr>
          <w:t xml:space="preserve">Figure 7</w:t>
        </w:r>
      </w:hyperlink>
      <w:r>
        <w:t xml:space="preserve"> </w:t>
      </w:r>
      <w:r>
        <w:t xml:space="preserve">rest on a handful of firms and should not be read as a sectoral pattern.</w:t>
      </w:r>
    </w:p>
    <w:p>
      <w:pPr>
        <w:pStyle w:val="Textoindependiente"/>
      </w:pPr>
      <w:r>
        <w:t xml:space="preserve">Firms that answer to the same regulator end up writing about AI in similar terms. This reading is compatible with institutional isomorphism</w:t>
      </w:r>
      <w:r>
        <w:t xml:space="preserve"> </w:t>
      </w:r>
      <w:r>
        <w:t xml:space="preserve">(</w:t>
      </w:r>
      <w:hyperlink w:anchor="ref-dimaggio1983">
        <w:r>
          <w:rPr>
            <w:rStyle w:val="Hipervnculo"/>
          </w:rPr>
          <w:t xml:space="preserve">DiMaggio and Powell 1983</w:t>
        </w:r>
      </w:hyperlink>
      <w:r>
        <w:t xml:space="preserve">;</w:t>
      </w:r>
      <w:r>
        <w:t xml:space="preserve"> </w:t>
      </w:r>
      <w:hyperlink w:anchor="ref-suchman1995">
        <w:r>
          <w:rPr>
            <w:rStyle w:val="Hipervnculo"/>
          </w:rPr>
          <w:t xml:space="preserve">Suchman 1995</w:t>
        </w:r>
      </w:hyperlink>
      <w:r>
        <w:t xml:space="preserve">)</w:t>
      </w:r>
      <w:r>
        <w:t xml:space="preserve">: a shared institutional pressure toward a sector-level disclosure convention. Both for corporate benchmarking and for investment screening, a firm has to be judged against its sector peers before any posture can be called exceptional.</w:t>
      </w:r>
    </w:p>
    <w:bookmarkStart w:id="29" w:name="X7b140f778f10704d5eec5b1474f121c884d64e2"/>
    <w:p>
      <w:pPr>
        <w:pStyle w:val="Ttulo4"/>
      </w:pPr>
      <w:r>
        <w:t xml:space="preserve">2.5.2.1 Institutional channels: where vs. how firms disclose</w:t>
      </w:r>
    </w:p>
    <w:p>
      <w:pPr>
        <w:pStyle w:val="FirstParagraph"/>
      </w:pPr>
      <w:r>
        <w:t xml:space="preserve">Where a firm discloses and how it discloses cannot be separated in the data. Across the</w:t>
      </w:r>
      <w:r>
        <w:t xml:space="preserve"> </w:t>
      </w:r>
      <m:oMath>
        <m:r>
          <w:rPr>
            <w:sz w:val="22"/>
          </w:rPr>
          <m:t>N</m:t>
        </m:r>
        <m:r>
          <m:rPr>
            <m:sty m:val="p"/>
          </m:rPr>
          <w:rPr>
            <w:sz w:val="22"/>
          </w:rPr>
          <m:t>=</m:t>
        </m:r>
      </m:oMath>
      <w:r>
        <w:t xml:space="preserve"> </w:t>
      </w:r>
      <w:r>
        <w:t xml:space="preserve">451 disclosing firms, the archetypal weights correlate strongly with particular statutory channels:</w:t>
      </w:r>
    </w:p>
    <w:p>
      <w:pPr>
        <w:pStyle w:val="Compact"/>
        <w:numPr>
          <w:ilvl w:val="0"/>
          <w:numId w:val="23"/>
        </w:numPr>
      </w:pPr>
      <w:r>
        <w:rPr>
          <w:b/>
          <w:bCs/>
        </w:rPr>
        <w:t xml:space="preserve">Defensive Disclosers (</w:t>
      </w:r>
      <m:oMath>
        <m:sSub>
          <m:e>
            <m:r>
              <w:rPr>
                <w:sz w:val="22"/>
              </w:rPr>
              <m:t>w</m:t>
            </m:r>
          </m:e>
          <m:sub>
            <m:r>
              <m:rPr>
                <m:nor/>
                <m:sty m:val="p"/>
              </m:rPr>
              <w:rPr>
                <w:sz w:val="22"/>
              </w:rPr>
              <m:t>Def</m:t>
            </m:r>
          </m:sub>
        </m:sSub>
      </m:oMath>
      <w:r>
        <w:rPr>
          <w:b/>
          <w:bCs/>
        </w:rPr>
        <w:t xml:space="preserve">)</w:t>
      </w:r>
      <w:r>
        <w:t xml:space="preserve"> </w:t>
      </w:r>
      <w:r>
        <w:t xml:space="preserve">go with Form 10-K Item 1A Risk Factors (</w:t>
      </w:r>
      <m:oMath>
        <m:r>
          <w:rPr>
            <w:sz w:val="22"/>
          </w:rPr>
          <m:t>r</m:t>
        </m:r>
        <m:r>
          <m:rPr>
            <m:sty m:val="p"/>
          </m:rPr>
          <w:rPr>
            <w:sz w:val="22"/>
          </w:rPr>
          <m:t>=</m:t>
        </m:r>
      </m:oMath>
      <w:r>
        <w:t xml:space="preserve"> </w:t>
      </w:r>
      <w:r>
        <w:t xml:space="preserve">+0.773,</w:t>
      </w:r>
      <w:r>
        <w:t xml:space="preserve"> </w:t>
      </w:r>
      <m:oMath>
        <m:sSup>
          <m:e>
            <m:r>
              <w:rPr>
                <w:sz w:val="22"/>
              </w:rPr>
              <m:t>R</m:t>
            </m:r>
          </m:e>
          <m:sup>
            <m:r>
              <w:rPr>
                <w:sz w:val="22"/>
              </w:rPr>
              <m:t>2</m:t>
            </m:r>
          </m:sup>
        </m:sSup>
        <m:r>
          <m:rPr>
            <m:sty m:val="p"/>
          </m:rPr>
          <w:rPr>
            <w:sz w:val="22"/>
          </w:rPr>
          <m:t>=</m:t>
        </m:r>
      </m:oMath>
      <w:r>
        <w:t xml:space="preserve"> </w:t>
      </w:r>
      <w:r>
        <w:t xml:space="preserve">59.8%), where the claims stay on liabilities, regulatory hazards and vendor dependencies and never become promotional.</w:t>
      </w:r>
    </w:p>
    <w:p>
      <w:pPr>
        <w:pStyle w:val="Compact"/>
        <w:numPr>
          <w:ilvl w:val="0"/>
          <w:numId w:val="23"/>
        </w:numPr>
      </w:pPr>
      <w:r>
        <w:rPr>
          <w:b/>
          <w:bCs/>
        </w:rPr>
        <w:t xml:space="preserve">Governance-Led Disclosers (</w:t>
      </w:r>
      <m:oMath>
        <m:sSub>
          <m:e>
            <m:r>
              <w:rPr>
                <w:sz w:val="22"/>
              </w:rPr>
              <m:t>w</m:t>
            </m:r>
          </m:e>
          <m:sub>
            <m:r>
              <m:rPr>
                <m:nor/>
                <m:sty m:val="p"/>
              </m:rPr>
              <w:rPr>
                <w:sz w:val="22"/>
              </w:rPr>
              <m:t>Gov</m:t>
            </m:r>
          </m:sub>
        </m:sSub>
      </m:oMath>
      <w:r>
        <w:rPr>
          <w:b/>
          <w:bCs/>
        </w:rPr>
        <w:t xml:space="preserve">)</w:t>
      </w:r>
      <w:r>
        <w:t xml:space="preserve"> </w:t>
      </w:r>
      <w:r>
        <w:t xml:space="preserve">go with Form DEF 14A proxy statements (</w:t>
      </w:r>
      <m:oMath>
        <m:r>
          <w:rPr>
            <w:sz w:val="22"/>
          </w:rPr>
          <m:t>r</m:t>
        </m:r>
        <m:r>
          <m:rPr>
            <m:sty m:val="p"/>
          </m:rPr>
          <w:rPr>
            <w:sz w:val="22"/>
          </w:rPr>
          <m:t>=</m:t>
        </m:r>
      </m:oMath>
      <w:r>
        <w:t xml:space="preserve"> </w:t>
      </w:r>
      <w:r>
        <w:t xml:space="preserve">+0.719,</w:t>
      </w:r>
      <w:r>
        <w:t xml:space="preserve"> </w:t>
      </w:r>
      <m:oMath>
        <m:sSup>
          <m:e>
            <m:r>
              <w:rPr>
                <w:sz w:val="22"/>
              </w:rPr>
              <m:t>R</m:t>
            </m:r>
          </m:e>
          <m:sup>
            <m:r>
              <w:rPr>
                <w:sz w:val="22"/>
              </w:rPr>
              <m:t>2</m:t>
            </m:r>
          </m:sup>
        </m:sSup>
        <m:r>
          <m:rPr>
            <m:sty m:val="p"/>
          </m:rPr>
          <w:rPr>
            <w:sz w:val="22"/>
          </w:rPr>
          <m:t>=</m:t>
        </m:r>
      </m:oMath>
      <w:r>
        <w:t xml:space="preserve"> </w:t>
      </w:r>
      <w:r>
        <w:t xml:space="preserve">51.7%), on board committee charters, supervisory accountability and executive oversight.</w:t>
      </w:r>
    </w:p>
    <w:p>
      <w:pPr>
        <w:pStyle w:val="Compact"/>
        <w:numPr>
          <w:ilvl w:val="0"/>
          <w:numId w:val="23"/>
        </w:numPr>
      </w:pPr>
      <w:r>
        <w:rPr>
          <w:b/>
          <w:bCs/>
        </w:rPr>
        <w:t xml:space="preserve">Vocal Substantives (</w:t>
      </w:r>
      <m:oMath>
        <m:sSub>
          <m:e>
            <m:r>
              <w:rPr>
                <w:sz w:val="22"/>
              </w:rPr>
              <m:t>w</m:t>
            </m:r>
          </m:e>
          <m:sub>
            <m:r>
              <m:rPr>
                <m:nor/>
                <m:sty m:val="p"/>
              </m:rPr>
              <w:rPr>
                <w:sz w:val="22"/>
              </w:rPr>
              <m:t>Vocal</m:t>
            </m:r>
          </m:sub>
        </m:sSub>
      </m:oMath>
      <w:r>
        <w:rPr>
          <w:b/>
          <w:bCs/>
        </w:rPr>
        <w:t xml:space="preserve">)</w:t>
      </w:r>
      <w:r>
        <w:t xml:space="preserve"> </w:t>
      </w:r>
      <w:r>
        <w:t xml:space="preserve">go with Form 10-K Item 1 (Business Description) and Item 7 (MD&amp;A) (</w:t>
      </w:r>
      <m:oMath>
        <m:r>
          <w:rPr>
            <w:sz w:val="22"/>
          </w:rPr>
          <m:t>r</m:t>
        </m:r>
        <m:r>
          <m:rPr>
            <m:sty m:val="p"/>
          </m:rPr>
          <w:rPr>
            <w:sz w:val="22"/>
          </w:rPr>
          <m:t>=</m:t>
        </m:r>
      </m:oMath>
      <w:r>
        <w:t xml:space="preserve"> </w:t>
      </w:r>
      <w:r>
        <w:t xml:space="preserve">+0.515,</w:t>
      </w:r>
      <w:r>
        <w:t xml:space="preserve"> </w:t>
      </w:r>
      <m:oMath>
        <m:sSup>
          <m:e>
            <m:r>
              <w:rPr>
                <w:sz w:val="22"/>
              </w:rPr>
              <m:t>R</m:t>
            </m:r>
          </m:e>
          <m:sup>
            <m:r>
              <w:rPr>
                <w:sz w:val="22"/>
              </w:rPr>
              <m:t>2</m:t>
            </m:r>
          </m:sup>
        </m:sSup>
        <m:r>
          <m:rPr>
            <m:sty m:val="p"/>
          </m:rPr>
          <w:rPr>
            <w:sz w:val="22"/>
          </w:rPr>
          <m:t>=</m:t>
        </m:r>
      </m:oMath>
      <w:r>
        <w:t xml:space="preserve"> </w:t>
      </w:r>
      <w:r>
        <w:t xml:space="preserve">26.5%), the parts of the filing where commercial strategy and product milestones are stated.</w:t>
      </w:r>
    </w:p>
    <w:p>
      <w:pPr>
        <w:pStyle w:val="FirstParagraph"/>
      </w:pPr>
      <w:r>
        <w:t xml:space="preserve">The choice of channel is itself a strategic decision:</w:t>
      </w:r>
      <w:r>
        <w:t xml:space="preserve"> </w:t>
      </w:r>
      <w:r>
        <w:t xml:space="preserve">Campbell et al. (</w:t>
      </w:r>
      <w:hyperlink w:anchor="ref-campbell2014">
        <w:r>
          <w:rPr>
            <w:rStyle w:val="Hipervnculo"/>
          </w:rPr>
          <w:t xml:space="preserve">2014</w:t>
        </w:r>
      </w:hyperlink>
      <w:r>
        <w:t xml:space="preserve">)</w:t>
      </w:r>
      <w:r>
        <w:t xml:space="preserve"> </w:t>
      </w:r>
      <w:r>
        <w:t xml:space="preserve">show that mandatory risk-factor disclosure carries information that investors price, so what a firm decides to put in a filing rather than in a call already says something. DEF 14A coverage reaches 100% of the disclosing firms (393 mention AI, 58 do not), which means that a low</w:t>
      </w:r>
      <w:r>
        <w:t xml:space="preserve"> </w:t>
      </w:r>
      <m:oMath>
        <m:sSub>
          <m:e>
            <m:r>
              <w:rPr>
                <w:sz w:val="22"/>
              </w:rPr>
              <m:t>w</m:t>
            </m:r>
          </m:e>
          <m:sub>
            <m:r>
              <m:rPr>
                <m:nor/>
                <m:sty m:val="p"/>
              </m:rPr>
              <w:rPr>
                <w:sz w:val="22"/>
              </w:rPr>
              <m:t>Gov</m:t>
            </m:r>
          </m:sub>
        </m:sSub>
      </m:oMath>
      <w:r>
        <w:t xml:space="preserve"> </w:t>
      </w:r>
      <w:r>
        <w:t xml:space="preserve">weight comes from the firm leaving the topic out, not from a missing filing.</w:t>
      </w:r>
    </w:p>
    <w:p>
      <w:pPr>
        <w:pStyle w:val="Textoindependiente"/>
      </w:pPr>
      <w:r>
        <w:t xml:space="preserve">A refit of the archetypes on Form 10-K frames alone reproduces Vocal Substantives and Defensive Disclosers closely (</w:t>
      </w:r>
      <m:oMath>
        <m:r>
          <w:rPr>
            <w:sz w:val="22"/>
          </w:rPr>
          <m:t>r</m:t>
        </m:r>
        <m:r>
          <m:rPr>
            <m:sty m:val="p"/>
          </m:rPr>
          <w:rPr>
            <w:sz w:val="22"/>
          </w:rPr>
          <m:t>=</m:t>
        </m:r>
      </m:oMath>
      <w:r>
        <w:t xml:space="preserve"> </w:t>
      </w:r>
      <w:r>
        <w:t xml:space="preserve">0.912 and 0.727) but not Governance-Led (</w:t>
      </w:r>
      <m:oMath>
        <m:r>
          <w:rPr>
            <w:sz w:val="22"/>
          </w:rPr>
          <m:t>r</m:t>
        </m:r>
        <m:r>
          <m:rPr>
            <m:sty m:val="p"/>
          </m:rPr>
          <w:rPr>
            <w:sz w:val="22"/>
          </w:rPr>
          <m:t>=</m:t>
        </m:r>
      </m:oMath>
      <w:r>
        <w:t xml:space="preserve"> </w:t>
      </w:r>
      <w:r>
        <w:t xml:space="preserve">0.335, because the board-oversight language lives in the DEF 14A proxy statement). A review that looks only at the Form 10-K can therefore miss a large part of the governance and oversight evidence (full correlations in</w:t>
      </w:r>
      <w:r>
        <w:t xml:space="preserve"> </w:t>
      </w:r>
      <w:hyperlink w:anchor="appendix-c1">
        <w:r>
          <w:rPr>
            <w:rStyle w:val="Hipervnculo"/>
          </w:rPr>
          <w:t xml:space="preserve">Appendix C.1</w:t>
        </w:r>
      </w:hyperlink>
      <w:r>
        <w:t xml:space="preserve">).</w:t>
      </w:r>
    </w:p>
    <w:bookmarkEnd w:id="26"/>
    <w:bookmarkEnd w:id="27"/>
    <w:bookmarkStart w:id="30" w:name="Xedc98bbb9098f871deb3f88a91c16bb46cb2db8"/>
    <w:p>
      <w:pPr>
        <w:pStyle w:val="Ttulo3"/>
      </w:pPr>
      <w:r>
        <w:t xml:space="preserve">2.5.3 The evolving composition of disclosure postures, 2021-2026</w:t>
      </w:r>
    </w:p>
    <w:p>
      <w:pPr>
        <w:keepNext/>
        <w:pStyle w:val="FirstParagraph"/>
      </w:pPr>
      <w:r>
        <w:t xml:space="preserve">For each year</w:t>
      </w:r>
      <w:r>
        <w:t xml:space="preserve"> </w:t>
      </w:r>
      <m:oMath>
        <m:r>
          <w:rPr>
            <w:sz w:val="22"/>
          </w:rPr>
          <m:t>t</m:t>
        </m:r>
      </m:oMath>
      <w:r>
        <w:t xml:space="preserve">, the archetype label of a firm comes from a fit on that firm’s own text accumulated from 2021 up to</w:t>
      </w:r>
      <w:r>
        <w:t xml:space="preserve"> </w:t>
      </w:r>
      <m:oMath>
        <m:r>
          <w:rPr>
            <w:sz w:val="22"/>
          </w:rPr>
          <m:t>t</m:t>
        </m:r>
      </m:oMath>
      <w:r>
        <w:t xml:space="preserve">, one vector per firm, so that no firm enters a single fit twice; the fit is then used to classify the cross-section of year</w:t>
      </w:r>
      <w:r>
        <w:t xml:space="preserve"> </w:t>
      </w:r>
      <m:oMath>
        <m:r>
          <w:rPr>
            <w:sz w:val="22"/>
          </w:rPr>
          <m:t>t</m:t>
        </m:r>
      </m:oMath>
      <w:r>
        <w:t xml:space="preserve"> </w:t>
      </w:r>
      <w:r>
        <w:t xml:space="preserve">itself. A label for one year never uses information from a later year.</w:t>
      </w:r>
    </w:p>
    <w:tbl xmlns:a="http://schemas.openxmlformats.org/drawingml/2006/main" xmlns:pic="http://schemas.openxmlformats.org/drawingml/2006/picture">
      <w:tblPr>
        <w:tblStyle w:val="Table"/>
        <w:tblW w:type="pct" w:w="5000"/>
        <w:tblLayout w:type="fixed"/>
        <w:tblLook w:firstRow="0" w:lastRow="0" w:firstColumn="0" w:lastColumn="0" w:noHBand="0" w:noVBand="0" w:val="0000"/>
        <w:tblBorders>
          <w:top w:val="none"/>
          <w:left w:val="none"/>
          <w:bottom w:val="none"/>
          <w:right w:val="none"/>
          <w:insideH w:val="none"/>
          <w:insideV w:val="none"/>
        </w:tblBorders>
      </w:tblPr>
      <w:tblGrid>
        <w:gridCol w:w="7920"/>
      </w:tblGrid>
      <w:tr>
        <w:trPr>
          <w:cantSplit/>
        </w:trPr>
        <w:tc>
          <w:tcPr/>
          <w:bookmarkStart w:id="31" w:name="fig-archetype-composition-annual"/>
          <w:p>
            <w:pPr>
              <w:pStyle w:val="Compact"/>
              <w:jc w:val="center"/>
              <w:ind w:firstLine="0" w:left="0" w:right="0"/>
            </w:pPr>
            <w:r>
              <w:drawing>
                <wp:inline>
                  <wp:extent cx="5760085" cy="4359867"/>
                  <wp:effectExtent b="0" l="0" r="0" t="0"/>
                  <wp:docPr descr="" title="" id="8" name="Picture"/>
                  <a:graphic>
                    <a:graphicData uri="http://schemas.openxmlformats.org/drawingml/2006/picture">
                      <pic:pic>
                        <pic:nvPicPr>
                          <pic:cNvPr descr="thesis_files/figure-docx/fig-archetype-composition-annual-output-1.png" id="8" name="Picture"/>
                          <pic:cNvPicPr>
                            <a:picLocks noChangeArrowheads="1" noChangeAspect="1"/>
                          </pic:cNvPicPr>
                        </pic:nvPicPr>
                        <pic:blipFill>
                          <a:blip r:embed="rId29"/>
                          <a:stretch>
                            <a:fillRect/>
                          </a:stretch>
                        </pic:blipFill>
                        <pic:spPr bwMode="auto">
                          <a:xfrm>
                            <a:off x="0" y="0"/>
                            <a:ext cx="5760085" cy="4359867"/>
                          </a:xfrm>
                          <a:prstGeom prst="rect">
                            <a:avLst/>
                          </a:prstGeom>
                          <a:noFill/>
                          <a:ln w="9525">
                            <a:noFill/>
                            <a:headEnd/>
                            <a:tailEnd/>
                          </a:ln>
                        </pic:spPr>
                      </pic:pic>
                    </a:graphicData>
                  </a:graphic>
                </wp:inline>
              </w:drawing>
            </w:r>
          </w:p>
          <w:p>
            <w:pPr>
              <w:pStyle w:val="ImageCaption"/>
              <w:jc w:val="left"/>
              <w:spacing w:before="200"/>
              <w:ind w:firstLine="0" w:left="0" w:right="0"/>
            </w:pPr>
            <w:r>
              <w:t xml:space="preserve">Figure 8:</w:t>
            </w:r>
            <w:r>
              <w:t xml:space="preserve"> </w:t>
            </w:r>
            <w:r>
              <w:rPr>
                <w:rStyle w:val="CaptionText"/>
              </w:rPr>
              <w:t xml:space="preserve">AI disclosure diffuses primarily through defensive reporting: annual composition and firm-level transitions, 2021–2026 YTD.</w:t>
            </w:r>
            <w:r>
              <w:t xml:space="preserve"> </w:t>
            </w:r>
            <w:r>
              <w:rPr>
                <w:b w:val="0"/>
                <w:bCs w:val="0"/>
                <w:color w:val="595959"/>
              </w:rPr>
              <w:t xml:space="preserve">Each firm-year’s archetype label comes from a fit on that firm’s own text accumulated up to that year. Panels B-D show, for each year-to-year transition, the share of an origin archetype’s firms classified into the named destination the following year, on a shared 0-60% axis.</w:t>
            </w:r>
          </w:p>
          <w:bookmarkEnd w:id="28"/>
        </w:tc>
      </w:tr>
    </w:tbl>
    <w:p>
      <w:pPr>
        <w:pStyle w:val="Textoindependiente"/>
      </w:pPr>
      <w:r>
        <w:t xml:space="preserve">The firms that started to disclose went almost entirely into defensive compliance, not into commercial claims. The share of Defensive Disclosers rises more than tenfold (4.4%</w:t>
      </w:r>
      <w:r>
        <w:t xml:space="preserve"> </w:t>
      </w:r>
      <m:oMath>
        <m:r>
          <m:rPr>
            <m:sty m:val="p"/>
          </m:rPr>
          <w:rPr>
            <w:sz w:val="22"/>
          </w:rPr>
          <m:t>→</m:t>
        </m:r>
      </m:oMath>
      <w:r>
        <w:t xml:space="preserve"> </w:t>
      </w:r>
      <w:r>
        <w:t xml:space="preserve">54.0% of the index) while Vocal Substantives stays roughly flat (13.9%</w:t>
      </w:r>
      <w:r>
        <w:t xml:space="preserve"> </w:t>
      </w:r>
      <m:oMath>
        <m:r>
          <m:rPr>
            <m:sty m:val="p"/>
          </m:rPr>
          <w:rPr>
            <w:sz w:val="22"/>
          </w:rPr>
          <m:t>→</m:t>
        </m:r>
      </m:oMath>
      <w:r>
        <w:t xml:space="preserve"> </w:t>
      </w:r>
      <w:r>
        <w:t xml:space="preserve">12.5%), so the space left by No AI (79.5%</w:t>
      </w:r>
      <w:r>
        <w:t xml:space="preserve"> </w:t>
      </w:r>
      <m:oMath>
        <m:r>
          <m:rPr>
            <m:sty m:val="p"/>
          </m:rPr>
          <w:rPr>
            <w:sz w:val="22"/>
          </w:rPr>
          <m:t>→</m:t>
        </m:r>
      </m:oMath>
      <w:r>
        <w:t xml:space="preserve"> </w:t>
      </w:r>
      <w:r>
        <w:t xml:space="preserve">10.3%) was taken by the defensive register.</w:t>
      </w:r>
    </w:p>
    <w:p>
      <w:pPr>
        <w:pStyle w:val="Textoindependiente"/>
      </w:pPr>
      <w:r>
        <w:t xml:space="preserve">Panels B-D show the entry channel behind this asymmetry: new entrants rarely go straight into Vocal Substantives (the flow from No AI never exceeds 5.8% in any year), and instead split between Governance-Led and Defensive, whose inflows both climb over the panel (2.6% to 50.0% and 2.1% to 18.2%, respectively). Firm-level persistence falls from 86.8% in 2021–2022 to a low of 55.0% at the 2023–2024 break and then recovers to between 58.4% and 61.7% (full transition matrices in the supplementary analytics). For monitoring purposes, a shift in posture is a reason to read the newly filed disclosures; by itself it does not prove that anything changed in the operations.</w:t>
      </w:r>
    </w:p>
    <w:bookmarkEnd w:id="29"/>
    <w:bookmarkStart w:id="32" w:name="model-validation"/>
    <w:p>
      <w:pPr>
        <w:pStyle w:val="Ttulo3"/>
      </w:pPr>
      <w:r>
        <w:t xml:space="preserve">2.5.4 Model validation</w:t>
      </w:r>
    </w:p>
    <w:p>
      <w:pPr>
        <w:keepNext/>
        <w:pStyle w:val="FirstParagraph"/>
      </w:pPr>
      <w:r>
        <w:t xml:space="preserve">The number of archetypes</w:t>
      </w:r>
      <w:r>
        <w:t xml:space="preserve"> </w:t>
      </w:r>
      <m:oMath>
        <m:r>
          <w:rPr>
            <w:sz w:val="22"/>
          </w:rPr>
          <m:t>k</m:t>
        </m:r>
      </m:oMath>
      <w:r>
        <w:t xml:space="preserve"> </w:t>
      </w:r>
      <w:r>
        <w:t xml:space="preserve">is chosen on reproducibility. Each</w:t>
      </w:r>
      <w:r>
        <w:t xml:space="preserve"> </w:t>
      </w:r>
      <m:oMath>
        <m:r>
          <w:rPr>
            <w:sz w:val="22"/>
          </w:rPr>
          <m:t>k</m:t>
        </m:r>
        <m:r>
          <m:rPr>
            <m:sty m:val="p"/>
          </m:rPr>
          <w:rPr>
            <w:sz w:val="22"/>
          </w:rPr>
          <m:t>∈</m:t>
        </m:r>
        <m:r>
          <m:rPr>
            <m:sty m:val="p"/>
          </m:rPr>
          <w:rPr>
            <w:sz w:val="22"/>
          </w:rPr>
          <m:t>{</m:t>
        </m:r>
        <m:r>
          <w:rPr>
            <w:sz w:val="22"/>
          </w:rPr>
          <m:t>2</m:t>
        </m:r>
        <m:r>
          <m:rPr>
            <m:sty m:val="p"/>
          </m:rPr>
          <w:rPr>
            <w:sz w:val="22"/>
          </w:rPr>
          <m:t>,</m:t>
        </m:r>
        <m:r>
          <w:rPr>
            <w:sz w:val="22"/>
          </w:rPr>
          <m:t>3</m:t>
        </m:r>
        <m:r>
          <m:rPr>
            <m:sty m:val="p"/>
          </m:rPr>
          <w:rPr>
            <w:sz w:val="22"/>
          </w:rPr>
          <m:t>,</m:t>
        </m:r>
        <m:r>
          <w:rPr>
            <w:sz w:val="22"/>
          </w:rPr>
          <m:t>4</m:t>
        </m:r>
        <m:r>
          <m:rPr>
            <m:sty m:val="p"/>
          </m:rPr>
          <w:rPr>
            <w:sz w:val="22"/>
          </w:rPr>
          <m:t>,</m:t>
        </m:r>
        <m:r>
          <w:rPr>
            <w:sz w:val="22"/>
          </w:rPr>
          <m:t>5</m:t>
        </m:r>
        <m:r>
          <m:rPr>
            <m:sty m:val="p"/>
          </m:rPr>
          <w:rPr>
            <w:sz w:val="22"/>
          </w:rPr>
          <m:t>}</m:t>
        </m:r>
      </m:oMath>
      <w:r>
        <w:t xml:space="preserve"> </w:t>
      </w:r>
      <w:r>
        <w:t xml:space="preserve">is tested under two non-parametric bootstrap regimes</w:t>
      </w:r>
      <w:r>
        <w:t xml:space="preserve"> </w:t>
      </w:r>
      <w:r>
        <w:t xml:space="preserve">(</w:t>
      </w:r>
      <w:hyperlink w:anchor="ref-hennig2007">
        <w:r>
          <w:rPr>
            <w:rStyle w:val="Hipervnculo"/>
          </w:rPr>
          <w:t xml:space="preserve">Hennig 2007</w:t>
        </w:r>
      </w:hyperlink>
      <w:r>
        <w:t xml:space="preserve">)</w:t>
      </w:r>
      <w:r>
        <w:t xml:space="preserve"> </w:t>
      </w:r>
      <w:r>
        <w:t xml:space="preserve">with 50 independent replicates (</w:t>
      </w:r>
      <w:hyperlink w:anchor="fig-archetype-stability">
        <w:r>
          <w:rPr>
            <w:rStyle w:val="Hipervnculo"/>
          </w:rPr>
          <w:t xml:space="preserve">Figure 9</w:t>
        </w:r>
      </w:hyperlink>
      <w:r>
        <w:t xml:space="preserve">): frame-level resampling within firms, which speaks to measurement error, and firm-level resampling, which speaks to the sensitivity of the sample composition. Every archetype has to clear a mean Jaccard overlap of</w:t>
      </w:r>
      <w:r>
        <w:t xml:space="preserve"> </w:t>
      </w:r>
      <m:oMath>
        <m:r>
          <m:rPr>
            <m:sty m:val="p"/>
          </m:rPr>
          <w:rPr>
            <w:sz w:val="22"/>
          </w:rPr>
          <m:t>≥</m:t>
        </m:r>
        <m:r>
          <w:rPr>
            <w:sz w:val="22"/>
          </w:rPr>
          <m:t>0.60</m:t>
        </m:r>
      </m:oMath>
      <w:r>
        <w:t xml:space="preserve"> </w:t>
      </w:r>
      <w:r>
        <w:t xml:space="preserve">in both regimes.</w:t>
      </w:r>
    </w:p>
    <w:tbl xmlns:a="http://schemas.openxmlformats.org/drawingml/2006/main" xmlns:pic="http://schemas.openxmlformats.org/drawingml/2006/picture">
      <w:tblPr>
        <w:tblStyle w:val="Table"/>
        <w:tblW w:type="pct" w:w="5000"/>
        <w:tblLayout w:type="fixed"/>
        <w:tblLook w:firstRow="0" w:lastRow="0" w:firstColumn="0" w:lastColumn="0" w:noHBand="0" w:noVBand="0" w:val="0000"/>
        <w:tblBorders>
          <w:top w:val="none"/>
          <w:left w:val="none"/>
          <w:bottom w:val="none"/>
          <w:right w:val="none"/>
          <w:insideH w:val="none"/>
          <w:insideV w:val="none"/>
        </w:tblBorders>
      </w:tblPr>
      <w:tblGrid>
        <w:gridCol w:w="7920"/>
      </w:tblGrid>
      <w:tr>
        <w:trPr>
          <w:cantSplit/>
        </w:trPr>
        <w:tc>
          <w:tcPr/>
          <w:bookmarkStart w:id="33" w:name="fig-archetype-stability"/>
          <w:p>
            <w:pPr>
              <w:pStyle w:val="Compact"/>
              <w:jc w:val="center"/>
              <w:ind w:firstLine="0" w:left="0" w:right="0"/>
            </w:pPr>
            <w:r>
              <w:drawing>
                <wp:inline>
                  <wp:extent cx="5760085" cy="2275336"/>
                  <wp:effectExtent b="0" l="0" r="0" t="0"/>
                  <wp:docPr descr="" title="" id="9" name="Picture"/>
                  <a:graphic>
                    <a:graphicData uri="http://schemas.openxmlformats.org/drawingml/2006/picture">
                      <pic:pic>
                        <pic:nvPicPr>
                          <pic:cNvPr descr="thesis_files/figure-docx/fig-archetype-stability-output-1.png" id="9" name="Picture"/>
                          <pic:cNvPicPr>
                            <a:picLocks noChangeArrowheads="1" noChangeAspect="1"/>
                          </pic:cNvPicPr>
                        </pic:nvPicPr>
                        <pic:blipFill>
                          <a:blip r:embed="rId30"/>
                          <a:stretch>
                            <a:fillRect/>
                          </a:stretch>
                        </pic:blipFill>
                        <pic:spPr bwMode="auto">
                          <a:xfrm>
                            <a:off x="0" y="0"/>
                            <a:ext cx="5760085" cy="2275336"/>
                          </a:xfrm>
                          <a:prstGeom prst="rect">
                            <a:avLst/>
                          </a:prstGeom>
                          <a:noFill/>
                          <a:ln w="9525">
                            <a:noFill/>
                            <a:headEnd/>
                            <a:tailEnd/>
                          </a:ln>
                        </pic:spPr>
                      </pic:pic>
                    </a:graphicData>
                  </a:graphic>
                </wp:inline>
              </w:drawing>
            </w:r>
          </w:p>
          <w:p>
            <w:pPr>
              <w:pStyle w:val="ImageCaption"/>
              <w:jc w:val="left"/>
              <w:spacing w:before="200"/>
              <w:ind w:firstLine="0" w:left="0" w:right="0"/>
            </w:pPr>
            <w:r>
              <w:t xml:space="preserve">Figure 9:</w:t>
            </w:r>
            <w:r>
              <w:t xml:space="preserve"> </w:t>
            </w:r>
            <w:r>
              <w:rPr>
                <w:rStyle w:val="CaptionText"/>
              </w:rPr>
              <w:t xml:space="preserve">Choosing k by bootstrap stability across candidate values, 50 replicates per k.</w:t>
            </w:r>
            <w:r>
              <w:t xml:space="preserve"> </w:t>
            </w:r>
            <w:r>
              <w:rPr>
                <w:b w:val="0"/>
                <w:bCs w:val="0"/>
                <w:color w:val="595959"/>
              </w:rPr>
              <w:t xml:space="preserve">Panel A: frame-level resampling within firms (measurement error). Panel B: firm-level resampling (sample sensitivity). Only k = 3 keeps every archetype above the 0.60 Jaccard floor in both regimes.</w:t>
            </w:r>
          </w:p>
          <w:bookmarkEnd w:id="30"/>
        </w:tc>
      </w:tr>
    </w:tbl>
    <w:p>
      <w:pPr>
        <w:pStyle w:val="Textoindependiente"/>
      </w:pPr>
      <w:r>
        <w:t xml:space="preserve">Only</w:t>
      </w:r>
      <w:r>
        <w:t xml:space="preserve"> </w:t>
      </w:r>
      <m:oMath>
        <m:r>
          <w:rPr>
            <w:sz w:val="22"/>
          </w:rPr>
          <m:t>k</m:t>
        </m:r>
        <m:r>
          <m:rPr>
            <m:sty m:val="p"/>
          </m:rPr>
          <w:rPr>
            <w:sz w:val="22"/>
          </w:rPr>
          <m:t>=</m:t>
        </m:r>
        <m:r>
          <w:rPr>
            <w:sz w:val="22"/>
          </w:rPr>
          <m:t>3</m:t>
        </m:r>
      </m:oMath>
      <w:r>
        <w:t xml:space="preserve"> </w:t>
      </w:r>
      <w:r>
        <w:t xml:space="preserve">clears the 0.60 Jaccard threshold in both bootstrap regimes. At</w:t>
      </w:r>
      <w:r>
        <w:t xml:space="preserve"> </w:t>
      </w:r>
      <m:oMath>
        <m:r>
          <w:rPr>
            <w:sz w:val="22"/>
          </w:rPr>
          <m:t>k</m:t>
        </m:r>
        <m:r>
          <m:rPr>
            <m:sty m:val="p"/>
          </m:rPr>
          <w:rPr>
            <w:sz w:val="22"/>
          </w:rPr>
          <m:t>=</m:t>
        </m:r>
        <m:r>
          <w:rPr>
            <w:sz w:val="22"/>
          </w:rPr>
          <m:t>4</m:t>
        </m:r>
      </m:oMath>
      <w:r>
        <w:t xml:space="preserve"> </w:t>
      </w:r>
      <w:r>
        <w:t xml:space="preserve">the whole partition becomes unstable, because the candidate fourth cluster picks up too few firms, and very unstable ones, to be a real archetype. The three-archetype solution also holds when it is projected onto cohorts it was not fitted on (</w:t>
      </w:r>
      <w:hyperlink w:anchor="appendix-b2">
        <w:r>
          <w:rPr>
            <w:rStyle w:val="Hipervnculo"/>
          </w:rPr>
          <w:t xml:space="preserve">Appendix B.2</w:t>
        </w:r>
      </w:hyperlink>
      <w:r>
        <w:t xml:space="preserve"> </w:t>
      </w:r>
      <w:r>
        <w:t xml:space="preserve">has the complete diagnostics, the</w:t>
      </w:r>
      <w:r>
        <w:t xml:space="preserve"> </w:t>
      </w:r>
      <m:oMath>
        <m:r>
          <w:rPr>
            <w:sz w:val="22"/>
          </w:rPr>
          <m:t>k</m:t>
        </m:r>
        <m:r>
          <m:rPr>
            <m:sty m:val="p"/>
          </m:rPr>
          <w:rPr>
            <w:sz w:val="22"/>
          </w:rPr>
          <m:t>=</m:t>
        </m:r>
        <m:r>
          <w:rPr>
            <w:sz w:val="22"/>
          </w:rPr>
          <m:t>2</m:t>
        </m:r>
      </m:oMath>
      <w:r>
        <w:t xml:space="preserve"> </w:t>
      </w:r>
      <w:r>
        <w:t xml:space="preserve">comparison and the K-means cross-checks).</w:t>
      </w:r>
    </w:p>
    <w:bookmarkEnd w:id="31"/>
    <w:bookmarkEnd w:id="32"/>
    <w:bookmarkStart w:id="34" w:name="conclusions"/>
    <w:p>
      <w:pPr>
        <w:pStyle w:val="Ttulo2"/>
      </w:pPr>
      <w:r>
        <w:t xml:space="preserve">2.6 Conclusions</w:t>
      </w:r>
    </w:p>
    <w:p>
      <w:pPr>
        <w:pStyle w:val="FirstParagraph"/>
      </w:pPr>
      <w:r>
        <w:t xml:space="preserve">Read through signalling theory</w:t>
      </w:r>
      <w:r>
        <w:t xml:space="preserve"> </w:t>
      </w:r>
      <w:r>
        <w:t xml:space="preserve">(</w:t>
      </w:r>
      <w:hyperlink w:anchor="ref-spence1973">
        <w:r>
          <w:rPr>
            <w:rStyle w:val="Hipervnculo"/>
          </w:rPr>
          <w:t xml:space="preserve">Spence 1973</w:t>
        </w:r>
      </w:hyperlink>
      <w:r>
        <w:t xml:space="preserve">;</w:t>
      </w:r>
      <w:r>
        <w:t xml:space="preserve"> </w:t>
      </w:r>
      <w:hyperlink w:anchor="ref-verrecchia1983">
        <w:r>
          <w:rPr>
            <w:rStyle w:val="Hipervnculo"/>
          </w:rPr>
          <w:t xml:space="preserve">Verrecchia 1983</w:t>
        </w:r>
      </w:hyperlink>
      <w:r>
        <w:t xml:space="preserve">)</w:t>
      </w:r>
      <w:r>
        <w:t xml:space="preserve">, the three archetypes sit at different points on a curve of proprietary and litigation cost. The sectoral sorting follows that logic: Technology sorts Vocal, the regulated sectors sort Governance-Led, and the rest sort Defensive or No AI, treating AI as an exposure to manage and not as a claim worth proving.</w:t>
      </w:r>
    </w:p>
    <w:p>
      <w:pPr>
        <w:pStyle w:val="Textoindependiente"/>
      </w:pPr>
      <w:r>
        <w:t xml:space="preserve">The composition over time in</w:t>
      </w:r>
      <w:r>
        <w:t xml:space="preserve"> </w:t>
      </w:r>
      <w:hyperlink w:anchor="fig-archetype-composition-annual">
        <w:r>
          <w:rPr>
            <w:rStyle w:val="Hipervnculo"/>
          </w:rPr>
          <w:t xml:space="preserve">Figure 8</w:t>
        </w:r>
      </w:hyperlink>
      <w:r>
        <w:t xml:space="preserve"> </w:t>
      </w:r>
      <w:r>
        <w:t xml:space="preserve">works the same way. Institutional pressure pushes firms to mention AI</w:t>
      </w:r>
      <w:r>
        <w:t xml:space="preserve"> </w:t>
      </w:r>
      <w:r>
        <w:t xml:space="preserve">(</w:t>
      </w:r>
      <w:hyperlink w:anchor="ref-meyer1977">
        <w:r>
          <w:rPr>
            <w:rStyle w:val="Hipervnculo"/>
          </w:rPr>
          <w:t xml:space="preserve">Meyer and Rowan 1977</w:t>
        </w:r>
      </w:hyperlink>
      <w:r>
        <w:t xml:space="preserve">;</w:t>
      </w:r>
      <w:r>
        <w:t xml:space="preserve"> </w:t>
      </w:r>
      <w:hyperlink w:anchor="ref-dimaggio1983">
        <w:r>
          <w:rPr>
            <w:rStyle w:val="Hipervnculo"/>
          </w:rPr>
          <w:t xml:space="preserve">DiMaggio and Powell 1983</w:t>
        </w:r>
      </w:hyperlink>
      <w:r>
        <w:t xml:space="preserve">)</w:t>
      </w:r>
      <w:r>
        <w:t xml:space="preserve">, and non-disclosers land in Defensive rather than in Vocal Substantives, since boilerplate is cheap to produce on short notice and a Vocal claim is not. The same pattern appears in the drift from Vocal to Defensive inside firms, against 58.5% persistence in 2025–2026.</w:t>
      </w:r>
    </w:p>
    <w:p>
      <w:pPr>
        <w:pStyle w:val="Textoindependiente"/>
      </w:pPr>
      <w:r>
        <w:t xml:space="preserve">The failure of the</w:t>
      </w:r>
      <w:r>
        <w:t xml:space="preserve"> </w:t>
      </w:r>
      <m:oMath>
        <m:r>
          <w:rPr>
            <w:sz w:val="22"/>
          </w:rPr>
          <m:t>k</m:t>
        </m:r>
        <m:r>
          <m:rPr>
            <m:sty m:val="p"/>
          </m:rPr>
          <w:rPr>
            <w:sz w:val="22"/>
          </w:rPr>
          <m:t>=</m:t>
        </m:r>
        <m:r>
          <w:rPr>
            <w:sz w:val="22"/>
          </w:rPr>
          <m:t>4</m:t>
        </m:r>
      </m:oMath>
      <w:r>
        <w:t xml:space="preserve"> </w:t>
      </w:r>
      <w:r>
        <w:t xml:space="preserve">split fits here too. Promotional language without technical specificity does not form a stable cluster of its own, which means that AI washing is not a separate communication style. It is a gap inside the firm between narrative volume and grounded substance, and that gap is what</w:t>
      </w:r>
      <w:r>
        <w:t xml:space="preserve"> </w:t>
      </w:r>
      <m:oMath>
        <m:r>
          <w:rPr>
            <w:sz w:val="22"/>
          </w:rPr>
          <m:t>W</m:t>
        </m:r>
      </m:oMath>
      <w:r>
        <w:t xml:space="preserve"> </w:t>
      </w:r>
      <w:r>
        <w:t xml:space="preserve">measures.</w:t>
      </w:r>
    </w:p>
    <w:bookmarkEnd w:id="33"/>
    <w:bookmarkEnd w:id="34"/>
    <w:bookmarkStart w:id="35" w:name="ai-activity-and-business-models"/>
    <w:p>
      <w:pPr>
        <w:pStyle w:val="Ttulo1"/>
      </w:pPr>
      <w:r>
        <w:rPr>
          <w:caps/>
          <w:smallCaps w:val="0"/>
        </w:rPr>
        <w:t xml:space="preserve">3. AI Activity and Business Models</w:t>
      </w:r>
    </w:p>
    <w:p>
      <w:pPr>
        <w:pStyle w:val="FirstParagraph"/>
      </w:pPr>
      <w:r>
        <w:t xml:space="preserve">Does a communication posture correspond to real technological execution, or is it talk with nothing behind it? This chapter looks at the operational substance behind corporate AI claims, sorting the disclosed activities into functional business roles and checking how well each one is grounded. Keeping activity separate from posture follows</w:t>
      </w:r>
      <w:r>
        <w:t xml:space="preserve"> </w:t>
      </w:r>
      <w:r>
        <w:t xml:space="preserve">Enholm et al. (</w:t>
      </w:r>
      <w:hyperlink w:anchor="ref-enholm2022">
        <w:r>
          <w:rPr>
            <w:rStyle w:val="Hipervnculo"/>
          </w:rPr>
          <w:t xml:space="preserve">2022</w:t>
        </w:r>
      </w:hyperlink>
      <w:r>
        <w:t xml:space="preserve">)</w:t>
      </w:r>
      <w:r>
        <w:t xml:space="preserve">, who separate the process-level effects of AI from what those effects later mean for firm performance, and who point to the technological, organizational and environmental conditions that decide whether value is created at all. What follows is an inventory of what firms say they do with AI, in which business function, and with what evidence; it describes disclosed activity and is not in itself proof of an economic benefit.</w:t>
      </w:r>
    </w:p>
    <w:bookmarkStart w:id="36" w:name="what-corporate-ai-activity-consists-of"/>
    <w:p>
      <w:pPr>
        <w:pStyle w:val="Ttulo2"/>
      </w:pPr>
      <w:r>
        <w:t xml:space="preserve">3.1 What corporate AI activity consists of</w:t>
      </w:r>
    </w:p>
    <w:p>
      <w:pPr>
        <w:pStyle w:val="FirstParagraph"/>
      </w:pPr>
      <w:r>
        <w:t xml:space="preserve">This section tests whether the four disclosure archetypes line up with disclosed AI activity, which was extracted separately. Across 471 S&amp;P 500 firms, the extraction finds 46,855 unique AI activity claims. For each one it records the action, the object, the business domain, the operational stage, the evidence strength, and where the technology comes from.</w:t>
      </w:r>
    </w:p>
    <w:bookmarkStart w:id="37" w:name="tbl-4-purpose-defs"/>
    <w:p>
      <w:pPr>
        <w:keepNext/>
        <w:pStyle w:val="ImageCaption"/>
        <w:jc w:val="left"/>
        <w:spacing w:before="200"/>
        <w:ind w:firstLine="0" w:left="0" w:right="0"/>
      </w:pPr>
      <w:r>
        <w:t xml:space="preserve">Table 7:</w:t>
      </w:r>
      <w:r>
        <w:t xml:space="preserve"> </w:t>
      </w:r>
      <w:r>
        <w:rPr>
          <w:rStyle w:val="CaptionText"/>
        </w:rPr>
        <w:t xml:space="preserve">Business purpose: what the disclosed AI activity is for.</w:t>
      </w:r>
    </w:p>
    <w:tbl>
      <w:tblPr>
        <w:tblStyle w:val="Table"/>
        <w:tblW w:type="auto" w:w="0"/>
        <w:jc w:val="center"/>
        <w:tblLook w:firstRow="1" w:lastRow="0" w:firstColumn="0" w:lastColumn="0" w:noHBand="0" w:noVBand="0" w:val="0020"/>
        <w:tblBorders>
          <w:top w:val="single" w:sz="8" w:space="0" w:color="0F172A"/>
          <w:bottom w:val="single" w:sz="8" w:space="0" w:color="0F172A"/>
          <w:left w:val="none"/>
          <w:right w:val="none"/>
          <w:insideH w:val="single" w:sz="4" w:space="0" w:color="E2E8F0"/>
          <w:insideV w:val="none"/>
        </w:tblBorders>
        <w:tblCellMar>
          <w:top w:w="26" w:type="dxa"/>
          <w:bottom w:w="26" w:type="dxa"/>
          <w:left w:w="48" w:type="dxa"/>
          <w:right w:w="48" w:type="dxa"/>
        </w:tblCellMar>
      </w:tblPr>
      <w:tblGrid>
        <w:gridCol w:w="3960"/>
        <w:gridCol w:w="3960"/>
      </w:tblGrid>
      <w:tr>
        <w:trPr>
          <w:tblHeader w:val="on"/>
          <w:cantSplit/>
          <w:tblHeader/>
        </w:trPr>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6"/>
              </w:rPr>
              <w:t xml:space="preserve">Business purpose</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6"/>
              </w:rPr>
              <w:t xml:space="preserve">Definition</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Sell</w:t>
            </w:r>
          </w:p>
        </w:tc>
        <w:tc>
          <w:tcPr/>
          <w:p>
            <w:pPr>
              <w:pStyle w:val="Compact"/>
              <w:keepNext/>
              <w:spacing w:before="8" w:after="8" w:line="240" w:lineRule="auto"/>
              <w:ind w:firstLine="0" w:left="0" w:right="0"/>
              <w:jc w:val="left"/>
              <w:jc w:val="center"/>
            </w:pPr>
            <w:r>
              <w:rPr>
                <w:rFonts w:ascii="Calibri" w:hAnsi="Calibri"/>
                <w:sz w:val="16"/>
              </w:rPr>
              <w:t xml:space="preserve">AI built into the products themselves, such as AI features, generative tools, and predictive analytics inside customer-facing software.</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Operate</w:t>
            </w:r>
          </w:p>
        </w:tc>
        <w:tc>
          <w:tcPr/>
          <w:p>
            <w:pPr>
              <w:pStyle w:val="Compact"/>
              <w:keepNext/>
              <w:spacing w:before="8" w:after="8" w:line="240" w:lineRule="auto"/>
              <w:ind w:firstLine="0" w:left="0" w:right="0"/>
              <w:jc w:val="left"/>
              <w:jc w:val="center"/>
            </w:pPr>
            <w:r>
              <w:rPr>
                <w:rFonts w:ascii="Calibri" w:hAnsi="Calibri"/>
                <w:sz w:val="16"/>
              </w:rPr>
              <w:t xml:space="preserve">AI that runs the business better, from supply chains and process automation to forecasting, logistics, and back-office finance.</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Build</w:t>
            </w:r>
          </w:p>
        </w:tc>
        <w:tc>
          <w:tcPr/>
          <w:p>
            <w:pPr>
              <w:pStyle w:val="Compact"/>
              <w:keepNext/>
              <w:spacing w:before="8" w:after="8" w:line="240" w:lineRule="auto"/>
              <w:ind w:firstLine="0" w:left="0" w:right="0"/>
              <w:jc w:val="left"/>
              <w:jc w:val="center"/>
            </w:pPr>
            <w:r>
              <w:rPr>
                <w:rFonts w:ascii="Calibri" w:hAnsi="Calibri"/>
                <w:sz w:val="16"/>
              </w:rPr>
              <w:t xml:space="preserve">The AI plumbing, such as company data platforms, cloud infrastructure, and training the firm’s own foundation models.</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Enable</w:t>
            </w:r>
          </w:p>
        </w:tc>
        <w:tc>
          <w:tcPr/>
          <w:p>
            <w:pPr>
              <w:pStyle w:val="Compact"/>
              <w:keepNext/>
              <w:spacing w:before="8" w:after="8" w:line="240" w:lineRule="auto"/>
              <w:ind w:firstLine="0" w:left="0" w:right="0"/>
              <w:jc w:val="left"/>
              <w:jc w:val="center"/>
            </w:pPr>
            <w:r>
              <w:rPr>
                <w:rFonts w:ascii="Calibri" w:hAnsi="Calibri"/>
                <w:sz w:val="16"/>
              </w:rPr>
              <w:t xml:space="preserve">AI that helps employees work, such as developer copilots, code generation, enterprise search, and internal tools.</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Control</w:t>
            </w:r>
          </w:p>
        </w:tc>
        <w:tc>
          <w:tcPr/>
          <w:p>
            <w:pPr>
              <w:pStyle w:val="Compact"/>
              <w:keepNext/>
              <w:spacing w:before="8" w:after="8" w:line="240" w:lineRule="auto"/>
              <w:ind w:firstLine="0" w:left="0" w:right="0"/>
              <w:jc w:val="left"/>
              <w:jc w:val="center"/>
            </w:pPr>
            <w:r>
              <w:rPr>
                <w:rFonts w:ascii="Calibri" w:hAnsi="Calibri"/>
                <w:sz w:val="16"/>
              </w:rPr>
              <w:t xml:space="preserve">AI that protects the firm, such as fraud detection, cybersecurity anomaly detection, compliance monitoring, and model risk oversight.</w:t>
            </w:r>
          </w:p>
        </w:tc>
      </w:tr>
      <w:tr>
        <w:trPr>
          <w:cantSplit/>
        </w:trPr>
        <w:tc>
          <w:tcPr/>
          <w:p>
            <w:pPr>
              <w:pStyle w:val="Compact"/>
              <w:spacing w:before="8" w:after="8" w:line="240" w:lineRule="auto"/>
              <w:ind w:firstLine="0" w:left="0" w:right="0"/>
              <w:jc w:val="left"/>
              <w:jc w:val="center"/>
            </w:pPr>
            <w:r>
              <w:rPr>
                <w:rFonts w:ascii="Calibri" w:hAnsi="Calibri"/>
                <w:sz w:val="16"/>
              </w:rPr>
              <w:t xml:space="preserve">Serve</w:t>
            </w:r>
          </w:p>
        </w:tc>
        <w:tc>
          <w:tcPr/>
          <w:p>
            <w:pPr>
              <w:pStyle w:val="Compact"/>
              <w:spacing w:before="8" w:after="8" w:line="240" w:lineRule="auto"/>
              <w:ind w:firstLine="0" w:left="0" w:right="0"/>
              <w:jc w:val="left"/>
              <w:jc w:val="center"/>
            </w:pPr>
            <w:r>
              <w:rPr>
                <w:rFonts w:ascii="Calibri" w:hAnsi="Calibri"/>
                <w:sz w:val="16"/>
              </w:rPr>
              <w:t xml:space="preserve">AI that talks to customers, such as service chatbots, client chat interfaces, recommendation engines, and targeted marketing.</w:t>
            </w:r>
          </w:p>
        </w:tc>
      </w:tr>
    </w:tbl>
    <w:bookmarkEnd w:id="35"/>
    <w:p/>
    <w:p>
      <w:pPr>
        <w:pStyle w:val="Textoindependiente"/>
      </w:pPr>
      <w:r>
        <w:t xml:space="preserve">So that a manager can read the inventory, every activity is classified on two independent dimensions: the business purpose it serves (</w:t>
      </w:r>
      <w:hyperlink w:anchor="tbl-4-purpose-defs">
        <w:r>
          <w:rPr>
            <w:rStyle w:val="Hipervnculo"/>
          </w:rPr>
          <w:t xml:space="preserve">Table 7</w:t>
        </w:r>
      </w:hyperlink>
      <w:r>
        <w:t xml:space="preserve">) and the operational action taken (</w:t>
      </w:r>
      <w:hyperlink w:anchor="tbl-4-action-defs">
        <w:r>
          <w:rPr>
            <w:rStyle w:val="Hipervnculo"/>
          </w:rPr>
          <w:t xml:space="preserve">Table 8</w:t>
        </w:r>
      </w:hyperlink>
      <w:r>
        <w:t xml:space="preserve">). Each activity has exactly one purpose and one action. A firm can, for example,</w:t>
      </w:r>
      <w:r>
        <w:t xml:space="preserve"> </w:t>
      </w:r>
      <w:r>
        <w:rPr>
          <w:i/>
          <w:iCs/>
        </w:rPr>
        <w:t xml:space="preserve">develop</w:t>
      </w:r>
      <w:r>
        <w:t xml:space="preserve"> </w:t>
      </w:r>
      <w:r>
        <w:t xml:space="preserve">(action) a feature that it then</w:t>
      </w:r>
      <w:r>
        <w:t xml:space="preserve"> </w:t>
      </w:r>
      <w:r>
        <w:rPr>
          <w:i/>
          <w:iCs/>
        </w:rPr>
        <w:t xml:space="preserve">sells</w:t>
      </w:r>
      <w:r>
        <w:t xml:space="preserve"> </w:t>
      </w:r>
      <w:r>
        <w:t xml:space="preserve">(purpose), or</w:t>
      </w:r>
      <w:r>
        <w:t xml:space="preserve"> </w:t>
      </w:r>
      <w:r>
        <w:rPr>
          <w:i/>
          <w:iCs/>
        </w:rPr>
        <w:t xml:space="preserve">deploy</w:t>
      </w:r>
      <w:r>
        <w:t xml:space="preserve"> </w:t>
      </w:r>
      <w:r>
        <w:t xml:space="preserve">(action) a system that it uses to</w:t>
      </w:r>
      <w:r>
        <w:t xml:space="preserve"> </w:t>
      </w:r>
      <w:r>
        <w:rPr>
          <w:i/>
          <w:iCs/>
        </w:rPr>
        <w:t xml:space="preserve">control</w:t>
      </w:r>
      <w:r>
        <w:t xml:space="preserve"> </w:t>
      </w:r>
      <w:r>
        <w:t xml:space="preserve">(purpose) fraud risk.</w:t>
      </w:r>
    </w:p>
    <w:bookmarkStart w:id="38" w:name="tbl-4-action-defs"/>
    <w:p>
      <w:pPr>
        <w:keepNext/>
        <w:pStyle w:val="ImageCaption"/>
        <w:jc w:val="left"/>
        <w:spacing w:before="200"/>
        <w:ind w:firstLine="0" w:left="0" w:right="0"/>
      </w:pPr>
      <w:r>
        <w:t xml:space="preserve">Table 8:</w:t>
      </w:r>
      <w:r>
        <w:t xml:space="preserve"> </w:t>
      </w:r>
      <w:r>
        <w:rPr>
          <w:rStyle w:val="CaptionText"/>
        </w:rPr>
        <w:t xml:space="preserve">Operational action: how the disclosed AI activity is carried out.</w:t>
      </w:r>
    </w:p>
    <w:tbl>
      <w:tblPr>
        <w:tblStyle w:val="Table"/>
        <w:tblW w:type="auto" w:w="0"/>
        <w:jc w:val="center"/>
        <w:tblLook w:firstRow="1" w:lastRow="0" w:firstColumn="0" w:lastColumn="0" w:noHBand="0" w:noVBand="0" w:val="0020"/>
        <w:tblBorders>
          <w:top w:val="single" w:sz="8" w:space="0" w:color="0F172A"/>
          <w:bottom w:val="single" w:sz="8" w:space="0" w:color="0F172A"/>
          <w:left w:val="none"/>
          <w:right w:val="none"/>
          <w:insideH w:val="single" w:sz="4" w:space="0" w:color="E2E8F0"/>
          <w:insideV w:val="none"/>
        </w:tblBorders>
        <w:tblCellMar>
          <w:top w:w="26" w:type="dxa"/>
          <w:bottom w:w="26" w:type="dxa"/>
          <w:left w:w="48" w:type="dxa"/>
          <w:right w:w="48" w:type="dxa"/>
        </w:tblCellMar>
      </w:tblPr>
      <w:tblGrid>
        <w:gridCol w:w="3960"/>
        <w:gridCol w:w="3960"/>
      </w:tblGrid>
      <w:tr>
        <w:trPr>
          <w:tblHeader w:val="on"/>
          <w:cantSplit/>
          <w:tblHeader/>
        </w:trPr>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6"/>
              </w:rPr>
              <w:t xml:space="preserve">Operational action</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6"/>
              </w:rPr>
              <w:t xml:space="preserve">Definition</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Deploy / Integrate</w:t>
            </w:r>
          </w:p>
        </w:tc>
        <w:tc>
          <w:tcPr/>
          <w:p>
            <w:pPr>
              <w:pStyle w:val="Compact"/>
              <w:keepNext/>
              <w:spacing w:before="8" w:after="8" w:line="240" w:lineRule="auto"/>
              <w:ind w:firstLine="0" w:left="0" w:right="0"/>
              <w:jc w:val="left"/>
              <w:jc w:val="center"/>
            </w:pPr>
            <w:r>
              <w:rPr>
                <w:rFonts w:ascii="Calibri" w:hAnsi="Calibri"/>
                <w:sz w:val="16"/>
              </w:rPr>
              <w:t xml:space="preserve">Putting an AI capability into live systems, products, or workflows.</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Develop / Build</w:t>
            </w:r>
          </w:p>
        </w:tc>
        <w:tc>
          <w:tcPr/>
          <w:p>
            <w:pPr>
              <w:pStyle w:val="Compact"/>
              <w:keepNext/>
              <w:spacing w:before="8" w:after="8" w:line="240" w:lineRule="auto"/>
              <w:ind w:firstLine="0" w:left="0" w:right="0"/>
              <w:jc w:val="left"/>
              <w:jc w:val="center"/>
            </w:pPr>
            <w:r>
              <w:rPr>
                <w:rFonts w:ascii="Calibri" w:hAnsi="Calibri"/>
                <w:sz w:val="16"/>
              </w:rPr>
              <w:t xml:space="preserve">Building or investing in the underlying AI capability in-house, rather than buying it.</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Partner / Buy</w:t>
            </w:r>
          </w:p>
        </w:tc>
        <w:tc>
          <w:tcPr/>
          <w:p>
            <w:pPr>
              <w:pStyle w:val="Compact"/>
              <w:keepNext/>
              <w:spacing w:before="8" w:after="8" w:line="240" w:lineRule="auto"/>
              <w:ind w:firstLine="0" w:left="0" w:right="0"/>
              <w:jc w:val="left"/>
              <w:jc w:val="center"/>
            </w:pPr>
            <w:r>
              <w:rPr>
                <w:rFonts w:ascii="Calibri" w:hAnsi="Calibri"/>
                <w:sz w:val="16"/>
              </w:rPr>
              <w:t xml:space="preserve">Acquiring AI capability through a vendor, partnership, or procurement rather than building it.</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Pilot / Explore</w:t>
            </w:r>
          </w:p>
        </w:tc>
        <w:tc>
          <w:tcPr/>
          <w:p>
            <w:pPr>
              <w:pStyle w:val="Compact"/>
              <w:keepNext/>
              <w:spacing w:before="8" w:after="8" w:line="240" w:lineRule="auto"/>
              <w:ind w:firstLine="0" w:left="0" w:right="0"/>
              <w:jc w:val="left"/>
              <w:jc w:val="center"/>
            </w:pPr>
            <w:r>
              <w:rPr>
                <w:rFonts w:ascii="Calibri" w:hAnsi="Calibri"/>
                <w:sz w:val="16"/>
              </w:rPr>
              <w:t xml:space="preserve">Testing or evaluating an AI capability before full deployment.</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Analyze / Measure</w:t>
            </w:r>
          </w:p>
        </w:tc>
        <w:tc>
          <w:tcPr/>
          <w:p>
            <w:pPr>
              <w:pStyle w:val="Compact"/>
              <w:keepNext/>
              <w:spacing w:before="8" w:after="8" w:line="240" w:lineRule="auto"/>
              <w:ind w:firstLine="0" w:left="0" w:right="0"/>
              <w:jc w:val="left"/>
              <w:jc w:val="center"/>
            </w:pPr>
            <w:r>
              <w:rPr>
                <w:rFonts w:ascii="Calibri" w:hAnsi="Calibri"/>
                <w:sz w:val="16"/>
              </w:rPr>
              <w:t xml:space="preserve">Measuring or analyzing the performance or outcomes of an AI system.</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Automate</w:t>
            </w:r>
          </w:p>
        </w:tc>
        <w:tc>
          <w:tcPr/>
          <w:p>
            <w:pPr>
              <w:pStyle w:val="Compact"/>
              <w:keepNext/>
              <w:spacing w:before="8" w:after="8" w:line="240" w:lineRule="auto"/>
              <w:ind w:firstLine="0" w:left="0" w:right="0"/>
              <w:jc w:val="left"/>
              <w:jc w:val="center"/>
            </w:pPr>
            <w:r>
              <w:rPr>
                <w:rFonts w:ascii="Calibri" w:hAnsi="Calibri"/>
                <w:sz w:val="16"/>
              </w:rPr>
              <w:t xml:space="preserve">Deploying AI specifically to automate an existing process.</w:t>
            </w:r>
          </w:p>
        </w:tc>
      </w:tr>
      <w:tr>
        <w:trPr>
          <w:cantSplit/>
        </w:trPr>
        <w:tc>
          <w:tcPr/>
          <w:p>
            <w:pPr>
              <w:pStyle w:val="Compact"/>
              <w:spacing w:before="8" w:after="8" w:line="240" w:lineRule="auto"/>
              <w:ind w:firstLine="0" w:left="0" w:right="0"/>
              <w:jc w:val="left"/>
              <w:jc w:val="center"/>
            </w:pPr>
            <w:r>
              <w:rPr>
                <w:rFonts w:ascii="Calibri" w:hAnsi="Calibri"/>
                <w:sz w:val="16"/>
              </w:rPr>
              <w:t xml:space="preserve">Govern / Control</w:t>
            </w:r>
          </w:p>
        </w:tc>
        <w:tc>
          <w:tcPr/>
          <w:p>
            <w:pPr>
              <w:pStyle w:val="Compact"/>
              <w:spacing w:before="8" w:after="8" w:line="240" w:lineRule="auto"/>
              <w:ind w:firstLine="0" w:left="0" w:right="0"/>
              <w:jc w:val="left"/>
              <w:jc w:val="center"/>
            </w:pPr>
            <w:r>
              <w:rPr>
                <w:rFonts w:ascii="Calibri" w:hAnsi="Calibri"/>
                <w:sz w:val="16"/>
              </w:rPr>
              <w:t xml:space="preserve">Governing, restricting, or overseeing AI use through policy or compliance action.</w:t>
            </w:r>
          </w:p>
        </w:tc>
      </w:tr>
    </w:tbl>
    <w:bookmarkEnd w:id="36"/>
    <w:p/>
    <w:p>
      <w:pPr>
        <w:pStyle w:val="Textoindependiente"/>
      </w:pPr>
      <w:r>
        <w:t xml:space="preserve">Keeping business purpose apart from operational action separates where AI is supposed to add value from what the firm is actually doing to put it in place.</w:t>
      </w:r>
    </w:p>
    <w:bookmarkEnd w:id="37"/>
    <w:bookmarkStart w:id="39" w:name="X62d282546595e633835c9063866adce46edfcbb"/>
    <w:p>
      <w:pPr>
        <w:pStyle w:val="Ttulo2"/>
      </w:pPr>
      <w:r>
        <w:t xml:space="preserve">3.2 How AI applications differ across industries</w:t>
      </w:r>
    </w:p>
    <w:p>
      <w:pPr>
        <w:keepNext/>
        <w:pStyle w:val="FirstParagraph"/>
      </w:pPr>
      <w:r>
        <w:t xml:space="preserve">The purpose and action taxonomies pool every sector together. Crossing them with the 10 aggregated economic sectors (</w:t>
      </w:r>
      <w:hyperlink w:anchor="tbl-a0-sic-sector-mapping">
        <w:r>
          <w:rPr>
            <w:rStyle w:val="Hipervnculo"/>
          </w:rPr>
          <w:t xml:space="preserve">Table 24</w:t>
        </w:r>
      </w:hyperlink>
      <w:r>
        <w:t xml:space="preserve">,</w:t>
      </w:r>
      <w:r>
        <w:t xml:space="preserve"> </w:t>
      </w:r>
      <w:hyperlink w:anchor="appendix-a">
        <w:r>
          <w:rPr>
            <w:rStyle w:val="Hipervnculo"/>
          </w:rPr>
          <w:t xml:space="preserve">Appendix A</w:t>
        </w:r>
      </w:hyperlink>
      <w:r>
        <w:t xml:space="preserve">), excluding</w:t>
      </w:r>
      <w:r>
        <w:t xml:space="preserve"> </w:t>
      </w:r>
      <w:r>
        <w:t xml:space="preserve">“Other / Diversified,”</w:t>
      </w:r>
      <w:r>
        <w:t xml:space="preserve"> </w:t>
      </w:r>
      <w:r>
        <w:t xml:space="preserve">shows which sectors concentrate their AI activity in one purpose or one action and which simply look like the pooled average.</w:t>
      </w:r>
    </w:p>
    <w:tbl xmlns:a="http://schemas.openxmlformats.org/drawingml/2006/main" xmlns:pic="http://schemas.openxmlformats.org/drawingml/2006/picture">
      <w:tblPr>
        <w:tblStyle w:val="Table"/>
        <w:tblW w:type="pct" w:w="5000"/>
        <w:tblLayout w:type="fixed"/>
        <w:tblLook w:firstRow="0" w:lastRow="0" w:firstColumn="0" w:lastColumn="0" w:noHBand="0" w:noVBand="0" w:val="0000"/>
        <w:tblBorders>
          <w:top w:val="none"/>
          <w:left w:val="none"/>
          <w:bottom w:val="none"/>
          <w:right w:val="none"/>
          <w:insideH w:val="none"/>
          <w:insideV w:val="none"/>
        </w:tblBorders>
      </w:tblPr>
      <w:tblGrid>
        <w:gridCol w:w="7920"/>
      </w:tblGrid>
      <w:tr>
        <w:trPr>
          <w:cantSplit/>
        </w:trPr>
        <w:tc>
          <w:tcPr/>
          <w:bookmarkStart w:id="40" w:name="fig-sector-purpose-action"/>
          <w:p>
            <w:pPr>
              <w:pStyle w:val="Compact"/>
              <w:jc w:val="center"/>
              <w:ind w:firstLine="0" w:left="0" w:right="0"/>
            </w:pPr>
            <w:r>
              <w:drawing>
                <wp:inline>
                  <wp:extent cx="5760085" cy="2773373"/>
                  <wp:effectExtent b="0" l="0" r="0" t="0"/>
                  <wp:docPr descr="" title="" id="10" name="Picture"/>
                  <a:graphic>
                    <a:graphicData uri="http://schemas.openxmlformats.org/drawingml/2006/picture">
                      <pic:pic>
                        <pic:nvPicPr>
                          <pic:cNvPr descr="thesis_files/figure-docx/fig-sector-purpose-action-output-1.png" id="10" name="Picture"/>
                          <pic:cNvPicPr>
                            <a:picLocks noChangeArrowheads="1" noChangeAspect="1"/>
                          </pic:cNvPicPr>
                        </pic:nvPicPr>
                        <pic:blipFill>
                          <a:blip r:embed="rId31"/>
                          <a:stretch>
                            <a:fillRect/>
                          </a:stretch>
                        </pic:blipFill>
                        <pic:spPr bwMode="auto">
                          <a:xfrm>
                            <a:off x="0" y="0"/>
                            <a:ext cx="5760085" cy="2773373"/>
                          </a:xfrm>
                          <a:prstGeom prst="rect">
                            <a:avLst/>
                          </a:prstGeom>
                          <a:noFill/>
                          <a:ln w="9525">
                            <a:noFill/>
                            <a:headEnd/>
                            <a:tailEnd/>
                          </a:ln>
                        </pic:spPr>
                      </pic:pic>
                    </a:graphicData>
                  </a:graphic>
                </wp:inline>
              </w:drawing>
            </w:r>
          </w:p>
          <w:p>
            <w:pPr>
              <w:pStyle w:val="ImageCaption"/>
              <w:jc w:val="left"/>
              <w:spacing w:before="200"/>
              <w:ind w:firstLine="0" w:left="0" w:right="0"/>
            </w:pPr>
            <w:r>
              <w:t xml:space="preserve">Figure 10:</w:t>
            </w:r>
            <w:r>
              <w:t xml:space="preserve"> </w:t>
            </w:r>
            <w:r>
              <w:rPr>
                <w:rStyle w:val="CaptionText"/>
              </w:rPr>
              <w:t xml:space="preserve">Sectoral business purpose and operational action of disclosed AI activity, pooled 2021–2026 YTD.</w:t>
            </w:r>
            <w:r>
              <w:t xml:space="preserve"> </w:t>
            </w:r>
            <w:r>
              <w:rPr>
                <w:b w:val="0"/>
                <w:bCs w:val="0"/>
                <w:color w:val="595959"/>
              </w:rPr>
              <w:t xml:space="preserve">Panel A: each sector’s row sums to 100%, ordered by</w:t>
            </w:r>
            <w:r>
              <w:rPr>
                <w:b w:val="0"/>
                <w:bCs w:val="0"/>
                <w:color w:val="595959"/>
              </w:rPr>
              <w:t xml:space="preserve"> </w:t>
            </w:r>
            <w:r>
              <w:rPr>
                <w:i/>
                <w:iCs/>
                <w:b w:val="0"/>
                <w:bCs w:val="0"/>
                <w:color w:val="595959"/>
              </w:rPr>
              <w:t xml:space="preserve">Sell</w:t>
            </w:r>
            <w:r>
              <w:rPr>
                <w:b w:val="0"/>
                <w:bCs w:val="0"/>
                <w:color w:val="595959"/>
              </w:rPr>
              <w:t xml:space="preserve"> </w:t>
            </w:r>
            <w:r>
              <w:rPr>
                <w:b w:val="0"/>
                <w:bCs w:val="0"/>
                <w:color w:val="595959"/>
              </w:rPr>
              <w:t xml:space="preserve">share descending. Panel B: each cell is a sector’s share of that action type minus the pooled share across sectors (red = above, blue = below); labeled only where the gap is at least 3 points.</w:t>
            </w:r>
          </w:p>
          <w:bookmarkEnd w:id="38"/>
        </w:tc>
      </w:tr>
    </w:tbl>
    <w:p>
      <w:pPr>
        <w:pStyle w:val="Textoindependiente"/>
      </w:pPr>
      <w:r>
        <w:t xml:space="preserve">On business purpose (Panel A), Technology and Business Services lean most toward</w:t>
      </w:r>
      <w:r>
        <w:t xml:space="preserve"> </w:t>
      </w:r>
      <w:r>
        <w:rPr>
          <w:i/>
          <w:iCs/>
        </w:rPr>
        <w:t xml:space="preserve">Sell</w:t>
      </w:r>
      <w:r>
        <w:t xml:space="preserve"> </w:t>
      </w:r>
      <w:r>
        <w:t xml:space="preserve">and Utilities and Financial Services most toward</w:t>
      </w:r>
      <w:r>
        <w:t xml:space="preserve"> </w:t>
      </w:r>
      <w:r>
        <w:rPr>
          <w:i/>
          <w:iCs/>
        </w:rPr>
        <w:t xml:space="preserve">Operate</w:t>
      </w:r>
      <w:r>
        <w:t xml:space="preserve">. Panel B shows that operational action varies far less by sector: most action types barely deviate from the pooled mix. The clearest exception is Utilities, where</w:t>
      </w:r>
      <w:r>
        <w:t xml:space="preserve"> </w:t>
      </w:r>
      <w:r>
        <w:rPr>
          <w:i/>
          <w:iCs/>
        </w:rPr>
        <w:t xml:space="preserve">Pilot / Explore</w:t>
      </w:r>
      <w:r>
        <w:t xml:space="preserve"> </w:t>
      </w:r>
      <w:r>
        <w:t xml:space="preserve">and</w:t>
      </w:r>
      <w:r>
        <w:t xml:space="preserve"> </w:t>
      </w:r>
      <w:r>
        <w:rPr>
          <w:i/>
          <w:iCs/>
        </w:rPr>
        <w:t xml:space="preserve">Govern / Control</w:t>
      </w:r>
      <w:r>
        <w:t xml:space="preserve"> </w:t>
      </w:r>
      <w:r>
        <w:t xml:space="preserve">both peak (+7.1 and +5.3), consistent with AI still reading as experimental and tightly governed rather than as settled infrastructure there. A firm’s portfolio of initiatives should therefore be judged against its own operating model and its industry peers, not against Technology-sector disclosure as a universal benchmark.</w:t>
      </w:r>
    </w:p>
    <w:bookmarkEnd w:id="39"/>
    <w:bookmarkStart w:id="41" w:name="X876ff6a5298d8cf9db74742a6b79cc44e81e193"/>
    <w:p>
      <w:pPr>
        <w:pStyle w:val="Ttulo2"/>
      </w:pPr>
      <w:r>
        <w:t xml:space="preserve">3.3 Disclosure strategy meets disclosed AI activity</w:t>
      </w:r>
    </w:p>
    <w:p>
      <w:pPr>
        <w:keepNext/>
        <w:pStyle w:val="FirstParagraph"/>
      </w:pPr>
      <w:r>
        <w:t xml:space="preserve">The activity inventory was never an input to the fit; the archetypes come from frame-level posture only. Crossing the archetypes with the activity features shows that posture does map onto operational disclosure (</w:t>
      </w:r>
      <w:hyperlink w:anchor="fig-archetype-activity-heatmap">
        <w:r>
          <w:rPr>
            <w:rStyle w:val="Hipervnculo"/>
          </w:rPr>
          <w:t xml:space="preserve">Figure 11</w:t>
        </w:r>
      </w:hyperlink>
      <w:r>
        <w:t xml:space="preserve">):</w:t>
      </w:r>
    </w:p>
    <w:tbl xmlns:a="http://schemas.openxmlformats.org/drawingml/2006/main" xmlns:pic="http://schemas.openxmlformats.org/drawingml/2006/picture">
      <w:tblPr>
        <w:tblStyle w:val="Table"/>
        <w:tblW w:type="pct" w:w="5000"/>
        <w:tblLayout w:type="fixed"/>
        <w:tblLook w:firstRow="0" w:lastRow="0" w:firstColumn="0" w:lastColumn="0" w:noHBand="0" w:noVBand="0" w:val="0000"/>
        <w:tblBorders>
          <w:top w:val="none"/>
          <w:left w:val="none"/>
          <w:bottom w:val="none"/>
          <w:right w:val="none"/>
          <w:insideH w:val="none"/>
          <w:insideV w:val="none"/>
        </w:tblBorders>
      </w:tblPr>
      <w:tblGrid>
        <w:gridCol w:w="7920"/>
      </w:tblGrid>
      <w:tr>
        <w:trPr>
          <w:cantSplit/>
        </w:trPr>
        <w:tc>
          <w:tcPr/>
          <w:bookmarkStart w:id="42" w:name="fig-archetype-activity-heatmap"/>
          <w:p>
            <w:pPr>
              <w:pStyle w:val="Compact"/>
              <w:jc w:val="center"/>
              <w:ind w:firstLine="0" w:left="0" w:right="0"/>
            </w:pPr>
            <w:r>
              <w:drawing>
                <wp:inline>
                  <wp:extent cx="5760085" cy="3290439"/>
                  <wp:effectExtent b="0" l="0" r="0" t="0"/>
                  <wp:docPr descr="" title="" id="11" name="Picture"/>
                  <a:graphic>
                    <a:graphicData uri="http://schemas.openxmlformats.org/drawingml/2006/picture">
                      <pic:pic>
                        <pic:nvPicPr>
                          <pic:cNvPr descr="thesis_files/figure-docx/fig-archetype-activity-heatmap-output-1.png" id="11" name="Picture"/>
                          <pic:cNvPicPr>
                            <a:picLocks noChangeArrowheads="1" noChangeAspect="1"/>
                          </pic:cNvPicPr>
                        </pic:nvPicPr>
                        <pic:blipFill>
                          <a:blip r:embed="rId32"/>
                          <a:stretch>
                            <a:fillRect/>
                          </a:stretch>
                        </pic:blipFill>
                        <pic:spPr bwMode="auto">
                          <a:xfrm>
                            <a:off x="0" y="0"/>
                            <a:ext cx="5760085" cy="3290439"/>
                          </a:xfrm>
                          <a:prstGeom prst="rect">
                            <a:avLst/>
                          </a:prstGeom>
                          <a:noFill/>
                          <a:ln w="9525">
                            <a:noFill/>
                            <a:headEnd/>
                            <a:tailEnd/>
                          </a:ln>
                        </pic:spPr>
                      </pic:pic>
                    </a:graphicData>
                  </a:graphic>
                </wp:inline>
              </w:drawing>
            </w:r>
          </w:p>
          <w:p>
            <w:pPr>
              <w:pStyle w:val="ImageCaption"/>
              <w:jc w:val="left"/>
              <w:spacing w:before="200"/>
              <w:ind w:firstLine="0" w:left="0" w:right="0"/>
            </w:pPr>
            <w:r>
              <w:t xml:space="preserve">Figure 11:</w:t>
            </w:r>
            <w:r>
              <w:t xml:space="preserve"> </w:t>
            </w:r>
            <w:r>
              <w:rPr>
                <w:rStyle w:val="CaptionText"/>
              </w:rPr>
              <w:t xml:space="preserve">Archetypes differ most in activity volume and customer orientation: profile by archetype, pooled 2021–2026 YTD.</w:t>
            </w:r>
            <w:r>
              <w:t xml:space="preserve"> </w:t>
            </w:r>
            <w:r>
              <w:rPr>
                <w:b w:val="0"/>
                <w:bCs w:val="0"/>
                <w:color w:val="595959"/>
              </w:rPr>
              <w:t xml:space="preserve">Top panel: median disclosed AI activities per firm relative to the full universe. Bottom panel: raw rates by archetype, with shading indicating percentage-point deviation from the pooled benchmark.</w:t>
            </w:r>
          </w:p>
          <w:bookmarkEnd w:id="40"/>
        </w:tc>
      </w:tr>
    </w:tbl>
    <w:p>
      <w:pPr>
        <w:pStyle w:val="Textoindependiente"/>
      </w:pPr>
      <w:r>
        <w:t xml:space="preserve">Where the archetypes really differ is in volume and in customer orientation. Vocal Substantives report a median of 222 AI activities per firm, 7.0 times the pooled median, and their customer-facing share (62.1%) sits 11 points above the pooled rate. Governance-Led and Defensive Disclosers go the other way: both are well under the pooled customer-facing rate (25.9% and 40.0%) and also under it on own-brand naming, which fits communication built around internal process and oversight rather than around products sold to customers. Outcome metrics, by contrast, are scarce in every group: quantified outcomes stay close to a low pooled rate regardless of archetype.</w:t>
      </w:r>
    </w:p>
    <w:p>
      <w:pPr>
        <w:pStyle w:val="Textoindependiente"/>
      </w:pPr>
      <w:r>
        <w:t xml:space="preserve">The difference is not simply that some firms write more. At identical narrative volume, Vocal Substantives still report 2.02 times as many operational AI activities as Defensive Disclosers and Governance-Led Disclosers 1.52 times as many (both</w:t>
      </w:r>
      <w:r>
        <w:t xml:space="preserve"> </w:t>
      </w:r>
      <m:oMath>
        <m:r>
          <w:rPr>
            <w:sz w:val="22"/>
          </w:rPr>
          <m:t>p</m:t>
        </m:r>
        <m:r>
          <m:rPr>
            <m:sty m:val="p"/>
          </m:rPr>
          <w:rPr>
            <w:sz w:val="22"/>
          </w:rPr>
          <m:t>&lt;</m:t>
        </m:r>
        <m:r>
          <w:rPr>
            <w:sz w:val="22"/>
          </w:rPr>
          <m:t>0.001</m:t>
        </m:r>
      </m:oMath>
      <w:r>
        <w:t xml:space="preserve">; the negative binomial conditioning on total AI disclosure volume is in</w:t>
      </w:r>
      <w:r>
        <w:t xml:space="preserve"> </w:t>
      </w:r>
      <w:hyperlink w:anchor="appendix-b5">
        <w:r>
          <w:rPr>
            <w:rStyle w:val="Hipervnculo"/>
          </w:rPr>
          <w:t xml:space="preserve">Appendix B.5</w:t>
        </w:r>
      </w:hyperlink>
      <w:r>
        <w:t xml:space="preserve">). Posture is therefore useful for deciding where to start a review, but since outcome metrics are scarce in every group, an analyst still has to check the factual backing of each initiative one by one.</w:t>
      </w:r>
    </w:p>
    <w:bookmarkEnd w:id="41"/>
    <w:bookmarkStart w:id="43" w:name="what-firms-disclose-doing-differently"/>
    <w:p>
      <w:pPr>
        <w:pStyle w:val="Ttulo2"/>
      </w:pPr>
      <w:r>
        <w:t xml:space="preserve">3.4 What firms disclose doing differently</w:t>
      </w:r>
    </w:p>
    <w:p>
      <w:pPr>
        <w:keepNext/>
        <w:pStyle w:val="FirstParagraph"/>
      </w:pPr>
      <w:r>
        <w:t xml:space="preserve">What those activities are for also differs across the archetypes (</w:t>
      </w:r>
      <w:hyperlink w:anchor="fig-archetype-activity-mix">
        <w:r>
          <w:rPr>
            <w:rStyle w:val="Hipervnculo"/>
          </w:rPr>
          <w:t xml:space="preserve">Figure 12</w:t>
        </w:r>
      </w:hyperlink>
      <w:r>
        <w:t xml:space="preserve">):</w:t>
      </w:r>
    </w:p>
    <w:tbl xmlns:a="http://schemas.openxmlformats.org/drawingml/2006/main" xmlns:pic="http://schemas.openxmlformats.org/drawingml/2006/picture">
      <w:tblPr>
        <w:tblStyle w:val="Table"/>
        <w:tblW w:type="pct" w:w="5000"/>
        <w:tblLayout w:type="fixed"/>
        <w:tblLook w:firstRow="0" w:lastRow="0" w:firstColumn="0" w:lastColumn="0" w:noHBand="0" w:noVBand="0" w:val="0000"/>
        <w:tblBorders>
          <w:top w:val="none"/>
          <w:left w:val="none"/>
          <w:bottom w:val="none"/>
          <w:right w:val="none"/>
          <w:insideH w:val="none"/>
          <w:insideV w:val="none"/>
        </w:tblBorders>
      </w:tblPr>
      <w:tblGrid>
        <w:gridCol w:w="7920"/>
      </w:tblGrid>
      <w:tr>
        <w:trPr>
          <w:cantSplit/>
        </w:trPr>
        <w:tc>
          <w:tcPr/>
          <w:bookmarkStart w:id="44" w:name="fig-archetype-activity-mix"/>
          <w:p>
            <w:pPr>
              <w:pStyle w:val="Compact"/>
              <w:jc w:val="center"/>
              <w:ind w:firstLine="0" w:left="0" w:right="0"/>
            </w:pPr>
            <w:r>
              <w:drawing>
                <wp:inline>
                  <wp:extent cx="5760085" cy="2159768"/>
                  <wp:effectExtent b="0" l="0" r="0" t="0"/>
                  <wp:docPr descr="" title="" id="12" name="Picture"/>
                  <a:graphic>
                    <a:graphicData uri="http://schemas.openxmlformats.org/drawingml/2006/picture">
                      <pic:pic>
                        <pic:nvPicPr>
                          <pic:cNvPr descr="thesis_files/figure-docx/fig-archetype-activity-mix-output-1.png" id="12" name="Picture"/>
                          <pic:cNvPicPr>
                            <a:picLocks noChangeArrowheads="1" noChangeAspect="1"/>
                          </pic:cNvPicPr>
                        </pic:nvPicPr>
                        <pic:blipFill>
                          <a:blip r:embed="rId33"/>
                          <a:stretch>
                            <a:fillRect/>
                          </a:stretch>
                        </pic:blipFill>
                        <pic:spPr bwMode="auto">
                          <a:xfrm>
                            <a:off x="0" y="0"/>
                            <a:ext cx="5760085" cy="2159768"/>
                          </a:xfrm>
                          <a:prstGeom prst="rect">
                            <a:avLst/>
                          </a:prstGeom>
                          <a:noFill/>
                          <a:ln w="9525">
                            <a:noFill/>
                            <a:headEnd/>
                            <a:tailEnd/>
                          </a:ln>
                        </pic:spPr>
                      </pic:pic>
                    </a:graphicData>
                  </a:graphic>
                </wp:inline>
              </w:drawing>
            </w:r>
          </w:p>
          <w:p>
            <w:pPr>
              <w:pStyle w:val="ImageCaption"/>
              <w:jc w:val="left"/>
              <w:spacing w:before="200"/>
              <w:ind w:firstLine="0" w:left="0" w:right="0"/>
            </w:pPr>
            <w:r>
              <w:t xml:space="preserve">Figure 12:</w:t>
            </w:r>
            <w:r>
              <w:t xml:space="preserve"> </w:t>
            </w:r>
            <w:r>
              <w:rPr>
                <w:rStyle w:val="CaptionText"/>
              </w:rPr>
              <w:t xml:space="preserve">Mix of disclosed corporate AI activities by disclosure archetype, pooled 2021–2026 YTD.</w:t>
            </w:r>
            <w:r>
              <w:t xml:space="preserve"> </w:t>
            </w:r>
            <w:r>
              <w:rPr>
                <w:b w:val="0"/>
                <w:bCs w:val="0"/>
                <w:color w:val="595959"/>
              </w:rPr>
              <w:t xml:space="preserve">100% stacked horizontal bars: share of each archetype’s disclosed AI activities across six business roles (Sell, Operate, Build, Enable, Control, Serve).</w:t>
            </w:r>
          </w:p>
          <w:bookmarkEnd w:id="42"/>
        </w:tc>
      </w:tr>
    </w:tbl>
    <w:p>
      <w:pPr>
        <w:pStyle w:val="Textoindependiente"/>
      </w:pPr>
      <w:r>
        <w:t xml:space="preserve">Selling, meaning AI placed inside the products and services that customers buy, dominates all three archetypes, but its weight shifts against internal operations: Vocal Substantives lean on it hardest (70% of their AI activities are Sell), while Governance-Led Disclosers split more evenly between selling and internal operations. A governance posture does not, however, imply a control-dominated portfolio: even inside the Governance-Led group, risk and compliance work is only a small part of the reported deployments, and a firm can write at length about supervisory oversight while still putting its actual AI into commercial and operational tools. Three filings show how this looks on the page (</w:t>
      </w:r>
      <w:hyperlink w:anchor="tbl-archetype-activity-examples">
        <w:r>
          <w:rPr>
            <w:rStyle w:val="Hipervnculo"/>
          </w:rPr>
          <w:t xml:space="preserve">Table 9</w:t>
        </w:r>
      </w:hyperlink>
      <w:r>
        <w:t xml:space="preserve">).</w:t>
      </w:r>
    </w:p>
    <w:bookmarkStart w:id="45" w:name="tbl-archetype-activity-examples"/>
    <w:p>
      <w:pPr>
        <w:keepNext/>
        <w:pStyle w:val="ImageCaption"/>
        <w:jc w:val="left"/>
        <w:spacing w:before="200"/>
        <w:ind w:firstLine="0" w:left="0" w:right="0"/>
      </w:pPr>
      <w:r>
        <w:t xml:space="preserve">Table 9:</w:t>
      </w:r>
      <w:r>
        <w:t xml:space="preserve"> </w:t>
      </w:r>
      <w:r>
        <w:rPr>
          <w:rStyle w:val="CaptionText"/>
        </w:rPr>
        <w:t xml:space="preserve">Illustrative statutory filing excerpts across disclosure archetypes and activity orientations.</w:t>
      </w:r>
    </w:p>
    <w:tbl>
      <w:tblPr>
        <w:tblStyle w:val="Table"/>
        <w:tblW w:type="auto" w:w="0"/>
        <w:jc w:val="center"/>
        <w:tblLook w:firstRow="1" w:lastRow="0" w:firstColumn="0" w:lastColumn="0" w:noHBand="0" w:noVBand="0" w:val="0020"/>
        <w:tblBorders>
          <w:top w:val="single" w:sz="8" w:space="0" w:color="0F172A"/>
          <w:bottom w:val="single" w:sz="8" w:space="0" w:color="0F172A"/>
          <w:left w:val="none"/>
          <w:right w:val="none"/>
          <w:insideH w:val="single" w:sz="4" w:space="0" w:color="E2E8F0"/>
          <w:insideV w:val="none"/>
        </w:tblBorders>
        <w:tblCellMar>
          <w:top w:w="22" w:type="dxa"/>
          <w:bottom w:w="22" w:type="dxa"/>
          <w:left w:w="40" w:type="dxa"/>
          <w:right w:w="40" w:type="dxa"/>
        </w:tblCellMar>
      </w:tblPr>
      <w:tblGrid>
        <w:gridCol w:w="1584"/>
        <w:gridCol w:w="1584"/>
        <w:gridCol w:w="1584"/>
        <w:gridCol w:w="1584"/>
        <w:gridCol w:w="1584"/>
      </w:tblGrid>
      <w:tr>
        <w:trPr>
          <w:tblHeader w:val="on"/>
          <w:cantSplit/>
          <w:tblHeader/>
        </w:trPr>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5"/>
              </w:rPr>
              <w:t xml:space="preserve">Archetype</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5"/>
              </w:rPr>
              <w:t xml:space="preserve">Firm</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5"/>
              </w:rPr>
              <w:t xml:space="preserve">Primary Focus</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5"/>
              </w:rPr>
              <w:t xml:space="preserve">Filing Excerpt</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5"/>
              </w:rPr>
              <w:t xml:space="preserve">Diagnostic Interpretation</w:t>
            </w:r>
          </w:p>
        </w:tc>
      </w:tr>
      <w:tr>
        <w:trPr>
          <w:cantSplit/>
        </w:trPr>
        <w:tc>
          <w:tcPr/>
          <w:p>
            <w:pPr>
              <w:pStyle w:val="Compact"/>
              <w:keepNext/>
              <w:spacing w:before="8" w:after="8" w:line="240" w:lineRule="auto"/>
              <w:ind w:firstLine="0" w:left="0" w:right="0"/>
              <w:jc w:val="left"/>
              <w:jc w:val="center"/>
            </w:pPr>
            <w:r>
              <w:rPr>
                <w:rFonts w:ascii="Calibri" w:hAnsi="Calibri"/>
                <w:b/>
                <w:bCs/>
                <w:sz w:val="15"/>
              </w:rPr>
              <w:t xml:space="preserve">Vocal Substantives</w:t>
            </w:r>
          </w:p>
        </w:tc>
        <w:tc>
          <w:tcPr/>
          <w:p>
            <w:pPr>
              <w:pStyle w:val="Compact"/>
              <w:keepNext/>
              <w:spacing w:before="8" w:after="8" w:line="240" w:lineRule="auto"/>
              <w:ind w:firstLine="0" w:left="0" w:right="0"/>
              <w:jc w:val="left"/>
              <w:jc w:val="center"/>
            </w:pPr>
            <w:r>
              <w:rPr>
                <w:rFonts w:ascii="Calibri" w:hAnsi="Calibri"/>
                <w:b/>
                <w:bCs/>
                <w:sz w:val="15"/>
              </w:rPr>
              <w:t xml:space="preserve">AMD</w:t>
            </w:r>
          </w:p>
        </w:tc>
        <w:tc>
          <w:tcPr/>
          <w:p>
            <w:pPr>
              <w:pStyle w:val="Compact"/>
              <w:keepNext/>
              <w:spacing w:before="8" w:after="8" w:line="240" w:lineRule="auto"/>
              <w:ind w:firstLine="0" w:left="0" w:right="0"/>
              <w:jc w:val="left"/>
              <w:jc w:val="center"/>
            </w:pPr>
            <w:r>
              <w:rPr>
                <w:rFonts w:ascii="Calibri" w:hAnsi="Calibri"/>
                <w:sz w:val="15"/>
              </w:rPr>
              <w:t xml:space="preserve">Sell</w:t>
            </w:r>
          </w:p>
        </w:tc>
        <w:tc>
          <w:tcPr/>
          <w:p>
            <w:pPr>
              <w:pStyle w:val="Compact"/>
              <w:keepNext/>
              <w:spacing w:before="8" w:after="8" w:line="240" w:lineRule="auto"/>
              <w:ind w:firstLine="0" w:left="0" w:right="0"/>
              <w:jc w:val="left"/>
              <w:jc w:val="center"/>
            </w:pPr>
            <w:r>
              <w:rPr>
                <w:rFonts w:ascii="Calibri" w:hAnsi="Calibri"/>
                <w:sz w:val="15"/>
              </w:rPr>
              <w:t xml:space="preserve">“On March 31, 2025 (the Acquisition Date), we completed the acquisition of ZT Group Int’l, Inc. (ZT Systems), which is expected to enable AMD to deliver end-to-end AI solutions and…”</w:t>
            </w:r>
          </w:p>
        </w:tc>
        <w:tc>
          <w:tcPr/>
          <w:p>
            <w:pPr>
              <w:pStyle w:val="Compact"/>
              <w:keepNext/>
              <w:spacing w:before="8" w:after="8" w:line="240" w:lineRule="auto"/>
              <w:ind w:firstLine="0" w:left="0" w:right="0"/>
              <w:jc w:val="left"/>
              <w:jc w:val="center"/>
            </w:pPr>
            <w:r>
              <w:rPr>
                <w:rFonts w:ascii="Calibri" w:hAnsi="Calibri"/>
                <w:sz w:val="15"/>
              </w:rPr>
              <w:t xml:space="preserve">Specific and verifiable: names the acquisition, product line, and deployment targets.</w:t>
            </w:r>
          </w:p>
        </w:tc>
      </w:tr>
      <w:tr>
        <w:trPr>
          <w:cantSplit/>
        </w:trPr>
        <w:tc>
          <w:tcPr/>
          <w:p>
            <w:pPr>
              <w:pStyle w:val="Compact"/>
              <w:keepNext/>
              <w:spacing w:before="8" w:after="8" w:line="240" w:lineRule="auto"/>
              <w:ind w:firstLine="0" w:left="0" w:right="0"/>
              <w:jc w:val="left"/>
              <w:jc w:val="center"/>
            </w:pPr>
            <w:r>
              <w:rPr>
                <w:rFonts w:ascii="Calibri" w:hAnsi="Calibri"/>
                <w:b/>
                <w:bCs/>
                <w:sz w:val="15"/>
              </w:rPr>
              <w:t xml:space="preserve">Governance-Led Disclosers</w:t>
            </w:r>
          </w:p>
        </w:tc>
        <w:tc>
          <w:tcPr/>
          <w:p>
            <w:pPr>
              <w:pStyle w:val="Compact"/>
              <w:keepNext/>
              <w:spacing w:before="8" w:after="8" w:line="240" w:lineRule="auto"/>
              <w:ind w:firstLine="0" w:left="0" w:right="0"/>
              <w:jc w:val="left"/>
              <w:jc w:val="center"/>
            </w:pPr>
            <w:r>
              <w:rPr>
                <w:rFonts w:ascii="Calibri" w:hAnsi="Calibri"/>
                <w:b/>
                <w:bCs/>
                <w:sz w:val="15"/>
              </w:rPr>
              <w:t xml:space="preserve">AIG</w:t>
            </w:r>
          </w:p>
        </w:tc>
        <w:tc>
          <w:tcPr/>
          <w:p>
            <w:pPr>
              <w:pStyle w:val="Compact"/>
              <w:keepNext/>
              <w:spacing w:before="8" w:after="8" w:line="240" w:lineRule="auto"/>
              <w:ind w:firstLine="0" w:left="0" w:right="0"/>
              <w:jc w:val="left"/>
              <w:jc w:val="center"/>
            </w:pPr>
            <w:r>
              <w:rPr>
                <w:rFonts w:ascii="Calibri" w:hAnsi="Calibri"/>
                <w:sz w:val="15"/>
              </w:rPr>
              <w:t xml:space="preserve">Control</w:t>
            </w:r>
          </w:p>
        </w:tc>
        <w:tc>
          <w:tcPr/>
          <w:p>
            <w:pPr>
              <w:pStyle w:val="Compact"/>
              <w:keepNext/>
              <w:spacing w:before="8" w:after="8" w:line="240" w:lineRule="auto"/>
              <w:ind w:firstLine="0" w:left="0" w:right="0"/>
              <w:jc w:val="left"/>
              <w:jc w:val="center"/>
            </w:pPr>
            <w:r>
              <w:rPr>
                <w:rFonts w:ascii="Calibri" w:hAnsi="Calibri"/>
                <w:sz w:val="15"/>
              </w:rPr>
              <w:t xml:space="preserve">“Based on these discussions, we have expanded our disclosure regarding governance matters, including adding new disclosure regarding the Board’s oversight of AI and the leadership t…”</w:t>
            </w:r>
          </w:p>
        </w:tc>
        <w:tc>
          <w:tcPr/>
          <w:p>
            <w:pPr>
              <w:pStyle w:val="Compact"/>
              <w:keepNext/>
              <w:spacing w:before="8" w:after="8" w:line="240" w:lineRule="auto"/>
              <w:ind w:firstLine="0" w:left="0" w:right="0"/>
              <w:jc w:val="left"/>
              <w:jc w:val="center"/>
            </w:pPr>
            <w:r>
              <w:rPr>
                <w:rFonts w:ascii="Calibri" w:hAnsi="Calibri"/>
                <w:sz w:val="15"/>
              </w:rPr>
              <w:t xml:space="preserve">Institutional oversight language rather than technical or operational deployment.</w:t>
            </w:r>
          </w:p>
        </w:tc>
      </w:tr>
      <w:tr>
        <w:trPr>
          <w:cantSplit/>
        </w:trPr>
        <w:tc>
          <w:tcPr/>
          <w:p>
            <w:pPr>
              <w:pStyle w:val="Compact"/>
              <w:spacing w:before="8" w:after="8" w:line="240" w:lineRule="auto"/>
              <w:ind w:firstLine="0" w:left="0" w:right="0"/>
              <w:jc w:val="left"/>
              <w:jc w:val="center"/>
            </w:pPr>
            <w:r>
              <w:rPr>
                <w:rFonts w:ascii="Calibri" w:hAnsi="Calibri"/>
                <w:b/>
                <w:bCs/>
                <w:sz w:val="15"/>
              </w:rPr>
              <w:t xml:space="preserve">Defensive Disclosers</w:t>
            </w:r>
          </w:p>
        </w:tc>
        <w:tc>
          <w:tcPr/>
          <w:p>
            <w:pPr>
              <w:pStyle w:val="Compact"/>
              <w:spacing w:before="8" w:after="8" w:line="240" w:lineRule="auto"/>
              <w:ind w:firstLine="0" w:left="0" w:right="0"/>
              <w:jc w:val="left"/>
              <w:jc w:val="center"/>
            </w:pPr>
            <w:r>
              <w:rPr>
                <w:rFonts w:ascii="Calibri" w:hAnsi="Calibri"/>
                <w:b/>
                <w:bCs/>
                <w:sz w:val="15"/>
              </w:rPr>
              <w:t xml:space="preserve">Eli Lilly</w:t>
            </w:r>
          </w:p>
        </w:tc>
        <w:tc>
          <w:tcPr/>
          <w:p>
            <w:pPr>
              <w:pStyle w:val="Compact"/>
              <w:spacing w:before="8" w:after="8" w:line="240" w:lineRule="auto"/>
              <w:ind w:firstLine="0" w:left="0" w:right="0"/>
              <w:jc w:val="left"/>
              <w:jc w:val="center"/>
            </w:pPr>
            <w:r>
              <w:rPr>
                <w:rFonts w:ascii="Calibri" w:hAnsi="Calibri"/>
                <w:sz w:val="15"/>
              </w:rPr>
              <w:t xml:space="preserve">Generic (Sell / Operate)</w:t>
            </w:r>
          </w:p>
        </w:tc>
        <w:tc>
          <w:tcPr/>
          <w:p>
            <w:pPr>
              <w:pStyle w:val="Compact"/>
              <w:spacing w:before="8" w:after="8" w:line="240" w:lineRule="auto"/>
              <w:ind w:firstLine="0" w:left="0" w:right="0"/>
              <w:jc w:val="left"/>
              <w:jc w:val="center"/>
            </w:pPr>
            <w:r>
              <w:rPr>
                <w:rFonts w:ascii="Calibri" w:hAnsi="Calibri"/>
                <w:sz w:val="15"/>
              </w:rPr>
              <w:t xml:space="preserve">“This proxy statement contains forward-looking statements, including those regarding our strategies and financial performance; our development of new products, indications and techn…”</w:t>
            </w:r>
          </w:p>
        </w:tc>
        <w:tc>
          <w:tcPr/>
          <w:p>
            <w:pPr>
              <w:pStyle w:val="Compact"/>
              <w:spacing w:before="8" w:after="8" w:line="240" w:lineRule="auto"/>
              <w:ind w:firstLine="0" w:left="0" w:right="0"/>
              <w:jc w:val="left"/>
              <w:jc w:val="center"/>
            </w:pPr>
            <w:r>
              <w:rPr>
                <w:rFonts w:ascii="Calibri" w:hAnsi="Calibri"/>
                <w:sz w:val="15"/>
              </w:rPr>
              <w:t xml:space="preserve">Vague and defensive: no named products, operational stages, or concrete metrics.</w:t>
            </w:r>
          </w:p>
        </w:tc>
      </w:tr>
    </w:tbl>
    <w:bookmarkEnd w:id="43"/>
    <w:p/>
    <w:bookmarkEnd w:id="44"/>
    <w:bookmarkStart w:id="46" w:name="decomposing-ai-activity-grounding"/>
    <w:p>
      <w:pPr>
        <w:pStyle w:val="Ttulo2"/>
      </w:pPr>
      <w:r>
        <w:t xml:space="preserve">3.5 Decomposing AI activity grounding</w:t>
      </w:r>
    </w:p>
    <w:p>
      <w:pPr>
        <w:keepNext/>
        <w:pStyle w:val="FirstParagraph"/>
      </w:pPr>
      <w:r>
        <w:t xml:space="preserve">Firms disclose thousands of AI activities, and the question that matters is how concretely each one is grounded in the text. To measure AI activity grounding (</w:t>
      </w:r>
      <m:oMath>
        <m:r>
          <w:rPr>
            <w:sz w:val="22"/>
          </w:rPr>
          <m:t>G</m:t>
        </m:r>
      </m:oMath>
      <w:r>
        <w:t xml:space="preserve">), every disclosed activity is put through a ladder of requirements that become stricter at each step:</w:t>
      </w:r>
    </w:p>
    <w:p>
      <w:pPr>
        <w:keepNext/>
        <w:pStyle w:val="Textoindependiente"/>
      </w:pPr>
      <m:oMathPara>
        <m:oMathParaPr>
          <m:jc m:val="center"/>
        </m:oMathParaPr>
        <m:oMath>
          <m:r>
            <m:rPr>
              <m:nor/>
              <m:sty m:val="p"/>
            </m:rPr>
            <w:rPr>
              <w:sz w:val="22"/>
            </w:rPr>
            <m:t>AI Activity Claim</m:t>
          </m:r>
          <m:r>
            <w:rPr>
              <w:sz w:val="22"/>
            </w:rPr>
            <m:t> </m:t>
          </m:r>
          <m:r>
            <m:rPr>
              <m:sty m:val="p"/>
            </m:rPr>
            <w:rPr>
              <w:sz w:val="22"/>
            </w:rPr>
            <m:t>→</m:t>
          </m:r>
          <m:r>
            <w:rPr>
              <w:sz w:val="22"/>
            </w:rPr>
            <m:t> </m:t>
          </m:r>
          <m:r>
            <m:rPr>
              <m:nor/>
              <m:sty m:val="p"/>
            </m:rPr>
            <w:rPr>
              <w:sz w:val="22"/>
            </w:rPr>
            <m:t>Specific Business Function</m:t>
          </m:r>
          <m:r>
            <w:rPr>
              <w:sz w:val="22"/>
            </w:rPr>
            <m:t> </m:t>
          </m:r>
          <m:r>
            <m:rPr>
              <m:sty m:val="p"/>
            </m:rPr>
            <w:rPr>
              <w:sz w:val="22"/>
            </w:rPr>
            <m:t>→</m:t>
          </m:r>
          <m:r>
            <w:rPr>
              <w:sz w:val="22"/>
            </w:rPr>
            <m:t> </m:t>
          </m:r>
          <m:r>
            <m:rPr>
              <m:nor/>
              <m:sty m:val="p"/>
            </m:rPr>
            <w:rPr>
              <w:sz w:val="22"/>
            </w:rPr>
            <m:t>Deployed Stage</m:t>
          </m:r>
          <m:r>
            <w:rPr>
              <w:sz w:val="22"/>
            </w:rPr>
            <m:t> </m:t>
          </m:r>
          <m:r>
            <m:rPr>
              <m:sty m:val="p"/>
            </m:rPr>
            <w:rPr>
              <w:sz w:val="22"/>
            </w:rPr>
            <m:t>→</m:t>
          </m:r>
          <m:r>
            <w:rPr>
              <w:sz w:val="22"/>
            </w:rPr>
            <m:t> </m:t>
          </m:r>
          <m:r>
            <m:rPr>
              <m:nor/>
              <m:sty m:val="p"/>
            </m:rPr>
            <w:rPr>
              <w:sz w:val="22"/>
            </w:rPr>
            <m:t>Named Product/Process</m:t>
          </m:r>
          <m:r>
            <w:rPr>
              <w:sz w:val="22"/>
            </w:rPr>
            <m:t> </m:t>
          </m:r>
          <m:r>
            <m:rPr>
              <m:sty m:val="p"/>
            </m:rPr>
            <w:rPr>
              <w:sz w:val="22"/>
            </w:rPr>
            <m:t>→</m:t>
          </m:r>
          <m:r>
            <w:rPr>
              <w:sz w:val="22"/>
            </w:rPr>
            <m:t> </m:t>
          </m:r>
          <m:r>
            <m:rPr>
              <m:nor/>
              <m:sty m:val="p"/>
            </m:rPr>
            <w:rPr>
              <w:sz w:val="22"/>
            </w:rPr>
            <m:t>Quantified Outcome Metric</m:t>
          </m:r>
        </m:oMath>
      </m:oMathPara>
    </w:p>
    <w:tbl xmlns:a="http://schemas.openxmlformats.org/drawingml/2006/main" xmlns:pic="http://schemas.openxmlformats.org/drawingml/2006/picture">
      <w:tblPr>
        <w:tblStyle w:val="Table"/>
        <w:tblW w:type="pct" w:w="5000"/>
        <w:tblLayout w:type="fixed"/>
        <w:tblLook w:firstRow="0" w:lastRow="0" w:firstColumn="0" w:lastColumn="0" w:noHBand="0" w:noVBand="0" w:val="0000"/>
        <w:tblBorders>
          <w:top w:val="none"/>
          <w:left w:val="none"/>
          <w:bottom w:val="none"/>
          <w:right w:val="none"/>
          <w:insideH w:val="none"/>
          <w:insideV w:val="none"/>
        </w:tblBorders>
      </w:tblPr>
      <w:tblGrid>
        <w:gridCol w:w="7920"/>
      </w:tblGrid>
      <w:tr>
        <w:trPr>
          <w:cantSplit/>
        </w:trPr>
        <w:tc>
          <w:tcPr/>
          <w:bookmarkStart w:id="47" w:name="fig-ladder-substance"/>
          <w:p>
            <w:pPr>
              <w:pStyle w:val="Compact"/>
              <w:jc w:val="center"/>
              <w:ind w:firstLine="0" w:left="0" w:right="0"/>
            </w:pPr>
            <w:r>
              <w:drawing>
                <wp:inline>
                  <wp:extent cx="5760085" cy="2254472"/>
                  <wp:effectExtent b="0" l="0" r="0" t="0"/>
                  <wp:docPr descr="" title="" id="13" name="Picture"/>
                  <a:graphic>
                    <a:graphicData uri="http://schemas.openxmlformats.org/drawingml/2006/picture">
                      <pic:pic>
                        <pic:nvPicPr>
                          <pic:cNvPr descr="thesis_files/figure-docx/fig-ladder-substance-output-1.png" id="13" name="Picture"/>
                          <pic:cNvPicPr>
                            <a:picLocks noChangeArrowheads="1" noChangeAspect="1"/>
                          </pic:cNvPicPr>
                        </pic:nvPicPr>
                        <pic:blipFill>
                          <a:blip r:embed="rId34"/>
                          <a:stretch>
                            <a:fillRect/>
                          </a:stretch>
                        </pic:blipFill>
                        <pic:spPr bwMode="auto">
                          <a:xfrm>
                            <a:off x="0" y="0"/>
                            <a:ext cx="5760085" cy="2254472"/>
                          </a:xfrm>
                          <a:prstGeom prst="rect">
                            <a:avLst/>
                          </a:prstGeom>
                          <a:noFill/>
                          <a:ln w="9525">
                            <a:noFill/>
                            <a:headEnd/>
                            <a:tailEnd/>
                          </a:ln>
                        </pic:spPr>
                      </pic:pic>
                    </a:graphicData>
                  </a:graphic>
                </wp:inline>
              </w:drawing>
            </w:r>
          </w:p>
          <w:p>
            <w:pPr>
              <w:pStyle w:val="ImageCaption"/>
              <w:jc w:val="left"/>
              <w:spacing w:before="200"/>
              <w:ind w:firstLine="0" w:left="0" w:right="0"/>
            </w:pPr>
            <w:r>
              <w:t xml:space="preserve">Figure 13:</w:t>
            </w:r>
            <w:r>
              <w:t xml:space="preserve"> </w:t>
            </w:r>
            <w:r>
              <w:rPr>
                <w:rStyle w:val="CaptionText"/>
              </w:rPr>
              <w:t xml:space="preserve">Decomposing AI activity grounding across all disclosed AI activities, pooled 2021–2026 YTD.</w:t>
            </w:r>
            <w:r>
              <w:t xml:space="preserve"> </w:t>
            </w:r>
            <w:r>
              <w:rPr>
                <w:b w:val="0"/>
                <w:bCs w:val="0"/>
                <w:color w:val="595959"/>
              </w:rPr>
              <w:t xml:space="preserve">Left: cumulative nested progression of evidence requirements. Right: independent grounding attribute frequencies.</w:t>
            </w:r>
          </w:p>
          <w:bookmarkEnd w:id="45"/>
        </w:tc>
      </w:tr>
    </w:tbl>
    <w:p>
      <w:pPr>
        <w:pStyle w:val="Textoindependiente"/>
      </w:pPr>
      <w:r>
        <w:t xml:space="preserve">Only 9.7% of disclosed AI activities reach the top of the ladder, where an operational deployment comes together with a quantified performance metric (</w:t>
      </w:r>
      <w:hyperlink w:anchor="fig-ladder-substance">
        <w:r>
          <w:rPr>
            <w:rStyle w:val="Hipervnculo"/>
          </w:rPr>
          <w:t xml:space="preserve">Figure 13</w:t>
        </w:r>
      </w:hyperlink>
      <w:r>
        <w:t xml:space="preserve">). Each step of the ladder is an audit point in practice: a company can see exactly which piece of factual backing is missing from its own claim, whether a named business function, a deployed or scaled stage, a named product or process, or a quantified metric, and an investor can ask for that specific piece, without requiring every initiative to satisfy all five attributes at once.</w:t>
      </w:r>
    </w:p>
    <w:bookmarkEnd w:id="46"/>
    <w:bookmarkStart w:id="48" w:name="Xc86d676267fe91aae55cc8a6aa62f749f584d79"/>
    <w:p>
      <w:pPr>
        <w:keepNext/>
        <w:pStyle w:val="Ttulo2"/>
      </w:pPr>
      <w:r>
        <w:t xml:space="preserve">3.6 More activities but with thinner grounding</w:t>
      </w:r>
    </w:p>
    <w:tbl xmlns:a="http://schemas.openxmlformats.org/drawingml/2006/main" xmlns:pic="http://schemas.openxmlformats.org/drawingml/2006/picture">
      <w:tblPr>
        <w:tblStyle w:val="Table"/>
        <w:tblW w:type="pct" w:w="5000"/>
        <w:tblLayout w:type="fixed"/>
        <w:tblLook w:firstRow="0" w:lastRow="0" w:firstColumn="0" w:lastColumn="0" w:noHBand="0" w:noVBand="0" w:val="0000"/>
        <w:tblBorders>
          <w:top w:val="none"/>
          <w:left w:val="none"/>
          <w:bottom w:val="none"/>
          <w:right w:val="none"/>
          <w:insideH w:val="none"/>
          <w:insideV w:val="none"/>
        </w:tblBorders>
      </w:tblPr>
      <w:tblGrid>
        <w:gridCol w:w="7920"/>
      </w:tblGrid>
      <w:tr>
        <w:trPr>
          <w:cantSplit/>
        </w:trPr>
        <w:tc>
          <w:tcPr/>
          <w:bookmarkStart w:id="49" w:name="fig-volume-vs-grounding"/>
          <w:p>
            <w:pPr>
              <w:pStyle w:val="Compact"/>
              <w:jc w:val="center"/>
              <w:ind w:firstLine="0" w:left="0" w:right="0"/>
            </w:pPr>
            <w:r>
              <w:drawing>
                <wp:inline>
                  <wp:extent cx="5760085" cy="2395684"/>
                  <wp:effectExtent b="0" l="0" r="0" t="0"/>
                  <wp:docPr descr="" title="" id="14" name="Picture"/>
                  <a:graphic>
                    <a:graphicData uri="http://schemas.openxmlformats.org/drawingml/2006/picture">
                      <pic:pic>
                        <pic:nvPicPr>
                          <pic:cNvPr descr="thesis_files/figure-docx/fig-volume-vs-grounding-output-1.png" id="14" name="Picture"/>
                          <pic:cNvPicPr>
                            <a:picLocks noChangeArrowheads="1" noChangeAspect="1"/>
                          </pic:cNvPicPr>
                        </pic:nvPicPr>
                        <pic:blipFill>
                          <a:blip r:embed="rId35"/>
                          <a:stretch>
                            <a:fillRect/>
                          </a:stretch>
                        </pic:blipFill>
                        <pic:spPr bwMode="auto">
                          <a:xfrm>
                            <a:off x="0" y="0"/>
                            <a:ext cx="5760085" cy="2395684"/>
                          </a:xfrm>
                          <a:prstGeom prst="rect">
                            <a:avLst/>
                          </a:prstGeom>
                          <a:noFill/>
                          <a:ln w="9525">
                            <a:noFill/>
                            <a:headEnd/>
                            <a:tailEnd/>
                          </a:ln>
                        </pic:spPr>
                      </pic:pic>
                    </a:graphicData>
                  </a:graphic>
                </wp:inline>
              </w:drawing>
            </w:r>
          </w:p>
          <w:p>
            <w:pPr>
              <w:pStyle w:val="ImageCaption"/>
              <w:jc w:val="left"/>
              <w:spacing w:before="200"/>
              <w:ind w:firstLine="0" w:left="0" w:right="0"/>
            </w:pPr>
            <w:r>
              <w:t xml:space="preserve">Figure 14:</w:t>
            </w:r>
            <w:r>
              <w:t xml:space="preserve"> </w:t>
            </w:r>
            <w:r>
              <w:rPr>
                <w:rStyle w:val="CaptionText"/>
              </w:rPr>
              <w:t xml:space="preserve">Disclosed AI activity expands while average grounding declines: activity volume and grounding, 2021–2026 YTD.</w:t>
            </w:r>
          </w:p>
          <w:bookmarkEnd w:id="47"/>
        </w:tc>
      </w:tr>
    </w:tbl>
    <w:p>
      <w:pPr>
        <w:pStyle w:val="Textoindependiente"/>
      </w:pPr>
      <w:r>
        <w:t xml:space="preserve">The generative AI boom multiplied the number of disclosed activities while diluting their average grounding (</w:t>
      </w:r>
      <w:hyperlink w:anchor="fig-volume-vs-grounding">
        <w:r>
          <w:rPr>
            <w:rStyle w:val="Hipervnculo"/>
          </w:rPr>
          <w:t xml:space="preserve">Figure 14</w:t>
        </w:r>
      </w:hyperlink>
      <w:r>
        <w:t xml:space="preserve">). Disclosed activities in 2025 were 5.1 times the 2021 count (projected to 7.5 times in 2026), while the share of initiatives at a deployed or scaled stage fell from 79% to 72% (72% in 2026 YTD) and those naming a specific product or process dropped from 54% to 45% (40% in 2026). This is what institutional theory expects</w:t>
      </w:r>
      <w:r>
        <w:t xml:space="preserve"> </w:t>
      </w:r>
      <w:r>
        <w:t xml:space="preserve">(</w:t>
      </w:r>
      <w:hyperlink w:anchor="ref-meyer1977">
        <w:r>
          <w:rPr>
            <w:rStyle w:val="Hipervnculo"/>
          </w:rPr>
          <w:t xml:space="preserve">Meyer and Rowan 1977</w:t>
        </w:r>
      </w:hyperlink>
      <w:r>
        <w:t xml:space="preserve">)</w:t>
      </w:r>
      <w:r>
        <w:t xml:space="preserve">: once AI vocabulary became an external market expectation, rhetorical adoption spread much faster than organizational execution. The same widening connects two earlier findings.</w:t>
      </w:r>
      <w:r>
        <w:t xml:space="preserve"> </w:t>
      </w:r>
      <w:r>
        <w:t xml:space="preserve">Anantharaman, Parker, and Rozario (</w:t>
      </w:r>
      <w:hyperlink w:anchor="ref-anantharaman2026">
        <w:r>
          <w:rPr>
            <w:rStyle w:val="Hipervnculo"/>
          </w:rPr>
          <w:t xml:space="preserve">2026</w:t>
        </w:r>
      </w:hyperlink>
      <w:r>
        <w:t xml:space="preserve">)</w:t>
      </w:r>
      <w:r>
        <w:t xml:space="preserve"> </w:t>
      </w:r>
      <w:r>
        <w:t xml:space="preserve">document the post-ChatGPT surge in corporate AI talk but do not separate what firms claim to be running from what they claim to be planning, and</w:t>
      </w:r>
      <w:r>
        <w:t xml:space="preserve"> </w:t>
      </w:r>
      <w:r>
        <w:t xml:space="preserve">Basnet et al. (</w:t>
      </w:r>
      <w:hyperlink w:anchor="ref-basnet2025">
        <w:r>
          <w:rPr>
            <w:rStyle w:val="Hipervnculo"/>
          </w:rPr>
          <w:t xml:space="preserve">2025</w:t>
        </w:r>
      </w:hyperlink>
      <w:r>
        <w:t xml:space="preserve">)</w:t>
      </w:r>
      <w:r>
        <w:t xml:space="preserve"> </w:t>
      </w:r>
      <w:r>
        <w:t xml:space="preserve">show that separating actionable from speculative AI text is what makes a disclosure informative. The measurement used here supplies the missing half of the first and turns the second from a binary split into a graded account of what an activity actually names.</w:t>
      </w:r>
      <w:r>
        <w:rPr>
          <w:rStyle w:val="Refdenotaalpie"/>
        </w:rPr>
        <w:footnoteReference w:id="4"/>
      </w:r>
      <w:r>
        <w:t xml:space="preserve"> </w:t>
      </w:r>
      <w:r>
        <w:t xml:space="preserve">What declines here is the documentary detail carried per activity, that is, named products, deployment stage, concrete metrics, and not necessarily the real execution behind it; growth in the number of projects has to be read together with the grounding, because a larger volume of initiatives on its own says nothing about operational progress.</w:t>
      </w:r>
    </w:p>
    <w:p>
      <w:pPr>
        <w:pStyle w:val="FigureNote"/>
        <w:ind w:firstLine="0" w:left="0" w:right="0"/>
        <w:spacing w:before="0" w:after="120"/>
      </w:pPr>
      <w:r>
        <w:t xml:space="preserve">Panel A: disclosed AI activity volume surged several-fold. Panel B: marginal concreteness and grounding indicators deteriorated.</w:t>
      </w:r>
    </w:p>
    <w:bookmarkEnd w:id="48"/>
    <w:bookmarkStart w:id="50" w:name="X19fa2268c9a3aa880dc1bfa3294dffaa7416384"/>
    <w:p>
      <w:pPr>
        <w:pStyle w:val="Ttulo2"/>
      </w:pPr>
      <w:r>
        <w:t xml:space="preserve">3.7 Corporate branding versus external-vendor attribution</w:t>
      </w:r>
    </w:p>
    <w:p>
      <w:pPr>
        <w:keepNext/>
        <w:pStyle w:val="FirstParagraph"/>
      </w:pPr>
      <w:r>
        <w:t xml:space="preserve">An investor reading an AI claim also wants to know where the technology comes from. The named entity roles across the 46,855 disclosed AI activity statements show a clear imbalance (</w:t>
      </w:r>
      <w:hyperlink w:anchor="fig-tech-provenance">
        <w:r>
          <w:rPr>
            <w:rStyle w:val="Hipervnculo"/>
          </w:rPr>
          <w:t xml:space="preserve">Figure 15</w:t>
        </w:r>
      </w:hyperlink>
      <w:r>
        <w:t xml:space="preserve">): 87.7% attach the firm’s own brand or in-house product name to the deployment, against 27.2% that name or declare an external source. Attribution is incomplete rather than substitutive: external credit almost never displaces the firm’s own brand, it is layered alongside it.</w:t>
      </w:r>
    </w:p>
    <w:tbl xmlns:a="http://schemas.openxmlformats.org/drawingml/2006/main" xmlns:pic="http://schemas.openxmlformats.org/drawingml/2006/picture">
      <w:tblPr>
        <w:tblStyle w:val="Table"/>
        <w:tblW w:type="pct" w:w="5000"/>
        <w:tblLayout w:type="fixed"/>
        <w:tblLook w:firstRow="0" w:lastRow="0" w:firstColumn="0" w:lastColumn="0" w:noHBand="0" w:noVBand="0" w:val="0000"/>
        <w:tblBorders>
          <w:top w:val="none"/>
          <w:left w:val="none"/>
          <w:bottom w:val="none"/>
          <w:right w:val="none"/>
          <w:insideH w:val="none"/>
          <w:insideV w:val="none"/>
        </w:tblBorders>
      </w:tblPr>
      <w:tblGrid>
        <w:gridCol w:w="7920"/>
      </w:tblGrid>
      <w:tr>
        <w:trPr>
          <w:cantSplit/>
        </w:trPr>
        <w:tc>
          <w:tcPr/>
          <w:bookmarkStart w:id="51" w:name="fig-tech-provenance"/>
          <w:p>
            <w:pPr>
              <w:pStyle w:val="Compact"/>
              <w:jc w:val="center"/>
              <w:ind w:firstLine="0" w:left="0" w:right="0"/>
            </w:pPr>
            <w:r>
              <w:drawing>
                <wp:inline>
                  <wp:extent cx="5760085" cy="2330340"/>
                  <wp:effectExtent b="0" l="0" r="0" t="0"/>
                  <wp:docPr descr="" title="" id="15" name="Picture"/>
                  <a:graphic>
                    <a:graphicData uri="http://schemas.openxmlformats.org/drawingml/2006/picture">
                      <pic:pic>
                        <pic:nvPicPr>
                          <pic:cNvPr descr="thesis_files/figure-docx/fig-tech-provenance-output-1.png" id="15" name="Picture"/>
                          <pic:cNvPicPr>
                            <a:picLocks noChangeArrowheads="1" noChangeAspect="1"/>
                          </pic:cNvPicPr>
                        </pic:nvPicPr>
                        <pic:blipFill>
                          <a:blip r:embed="rId36"/>
                          <a:stretch>
                            <a:fillRect/>
                          </a:stretch>
                        </pic:blipFill>
                        <pic:spPr bwMode="auto">
                          <a:xfrm>
                            <a:off x="0" y="0"/>
                            <a:ext cx="5760085" cy="2330340"/>
                          </a:xfrm>
                          <a:prstGeom prst="rect">
                            <a:avLst/>
                          </a:prstGeom>
                          <a:noFill/>
                          <a:ln w="9525">
                            <a:noFill/>
                            <a:headEnd/>
                            <a:tailEnd/>
                          </a:ln>
                        </pic:spPr>
                      </pic:pic>
                    </a:graphicData>
                  </a:graphic>
                </wp:inline>
              </w:drawing>
            </w:r>
          </w:p>
          <w:p>
            <w:pPr>
              <w:pStyle w:val="ImageCaption"/>
              <w:jc w:val="left"/>
              <w:spacing w:before="200"/>
              <w:ind w:firstLine="0" w:left="0" w:right="0"/>
            </w:pPr>
            <w:r>
              <w:t xml:space="preserve">Figure 15:</w:t>
            </w:r>
            <w:r>
              <w:t xml:space="preserve"> </w:t>
            </w:r>
            <w:r>
              <w:rPr>
                <w:rStyle w:val="CaptionText"/>
              </w:rPr>
              <w:t xml:space="preserve">Corporate branding versus external-vendor attribution in disclosed AI activities, pooled 2021–2026 YTD.</w:t>
            </w:r>
            <w:r>
              <w:t xml:space="preserve"> </w:t>
            </w:r>
            <w:r>
              <w:rPr>
                <w:b w:val="0"/>
                <w:bCs w:val="0"/>
                <w:color w:val="595959"/>
              </w:rPr>
              <w:t xml:space="preserve">Indicator shares overlap across statements and do not sum to 100. External sources combine named vendors/foundation models, commercial partners, or declared third-party origin, identified via entity tagging and vendor lexicon matching.</w:t>
            </w:r>
          </w:p>
          <w:bookmarkEnd w:id="49"/>
        </w:tc>
      </w:tr>
    </w:tbl>
    <w:p>
      <w:pPr>
        <w:pStyle w:val="Textoindependiente"/>
      </w:pPr>
      <w:r>
        <w:t xml:space="preserve">Issuers consistently put their own brand ahead of external attribution, and an investor reading such a disclosure has to ask directly about model provenance, vendor reliance and architectural dependency.</w:t>
      </w:r>
    </w:p>
    <w:bookmarkStart w:id="52" w:name="X50730097f43738d3a96425de3613bfbd020bf58"/>
    <w:p>
      <w:pPr>
        <w:pStyle w:val="Ttulo3"/>
      </w:pPr>
      <w:r>
        <w:t xml:space="preserve">3.7.1 Technology ecosystems named in AI disclosure</w:t>
      </w:r>
    </w:p>
    <w:p>
      <w:pPr>
        <w:keepNext/>
        <w:pStyle w:val="FirstParagraph"/>
      </w:pPr>
      <w:r>
        <w:t xml:space="preserve">When S&amp;P 500 corporations discuss artificial intelligence, which suppliers do they name? Only commercial names count here: a company, a cloud platform, an accelerator, a model family, read inside paragraphs that already carry an AI disclosure frame, and only when the supplier is somebody else’s. Country words are not names:</w:t>
      </w:r>
      <w:r>
        <w:t xml:space="preserve"> </w:t>
      </w:r>
      <w:r>
        <w:t xml:space="preserve">“China”</w:t>
      </w:r>
      <w:r>
        <w:t xml:space="preserve"> </w:t>
      </w:r>
      <w:r>
        <w:t xml:space="preserve">locates a market, not a technology. The AI technology stack (model developers, cloud infrastructure, semiconductors) is kept apart from enterprise software (applied AI inside business platforms), since a blended number would hide which of the two is moving.</w:t>
      </w:r>
      <w:r>
        <w:t xml:space="preserve"> </w:t>
      </w:r>
      <w:hyperlink w:anchor="appendix-b6">
        <w:r>
          <w:rPr>
            <w:rStyle w:val="Hipervnculo"/>
          </w:rPr>
          <w:t xml:space="preserve">Appendix B.6</w:t>
        </w:r>
      </w:hyperlink>
      <w:r>
        <w:t xml:space="preserve"> </w:t>
      </w:r>
      <w:r>
        <w:t xml:space="preserve">gives the lexicon and the disambiguation rules.</w:t>
      </w:r>
    </w:p>
    <w:tbl xmlns:a="http://schemas.openxmlformats.org/drawingml/2006/main" xmlns:pic="http://schemas.openxmlformats.org/drawingml/2006/picture">
      <w:tblPr>
        <w:tblStyle w:val="Table"/>
        <w:tblW w:type="pct" w:w="5000"/>
        <w:tblLayout w:type="fixed"/>
        <w:tblLook w:firstRow="0" w:lastRow="0" w:firstColumn="0" w:lastColumn="0" w:noHBand="0" w:noVBand="0" w:val="0000"/>
        <w:tblBorders>
          <w:top w:val="none"/>
          <w:left w:val="none"/>
          <w:bottom w:val="none"/>
          <w:right w:val="none"/>
          <w:insideH w:val="none"/>
          <w:insideV w:val="none"/>
        </w:tblBorders>
      </w:tblPr>
      <w:tblGrid>
        <w:gridCol w:w="7920"/>
      </w:tblGrid>
      <w:tr>
        <w:trPr>
          <w:cantSplit/>
        </w:trPr>
        <w:tc>
          <w:tcPr/>
          <w:bookmarkStart w:id="53" w:name="fig-vendor-ecosystems"/>
          <w:p>
            <w:pPr>
              <w:pStyle w:val="Compact"/>
              <w:jc w:val="center"/>
              <w:ind w:firstLine="0" w:left="0" w:right="0"/>
            </w:pPr>
            <w:r>
              <w:drawing>
                <wp:inline>
                  <wp:extent cx="5760085" cy="2254472"/>
                  <wp:effectExtent b="0" l="0" r="0" t="0"/>
                  <wp:docPr descr="" title="" id="16" name="Picture"/>
                  <a:graphic>
                    <a:graphicData uri="http://schemas.openxmlformats.org/drawingml/2006/picture">
                      <pic:pic>
                        <pic:nvPicPr>
                          <pic:cNvPr descr="thesis_files/figure-docx/fig-vendor-ecosystems-output-1.png" id="16" name="Picture"/>
                          <pic:cNvPicPr>
                            <a:picLocks noChangeArrowheads="1" noChangeAspect="1"/>
                          </pic:cNvPicPr>
                        </pic:nvPicPr>
                        <pic:blipFill>
                          <a:blip r:embed="rId37"/>
                          <a:stretch>
                            <a:fillRect/>
                          </a:stretch>
                        </pic:blipFill>
                        <pic:spPr bwMode="auto">
                          <a:xfrm>
                            <a:off x="0" y="0"/>
                            <a:ext cx="5760085" cy="2254472"/>
                          </a:xfrm>
                          <a:prstGeom prst="rect">
                            <a:avLst/>
                          </a:prstGeom>
                          <a:noFill/>
                          <a:ln w="9525">
                            <a:noFill/>
                            <a:headEnd/>
                            <a:tailEnd/>
                          </a:ln>
                        </pic:spPr>
                      </pic:pic>
                    </a:graphicData>
                  </a:graphic>
                </wp:inline>
              </w:drawing>
            </w:r>
          </w:p>
          <w:p>
            <w:pPr>
              <w:pStyle w:val="ImageCaption"/>
              <w:jc w:val="left"/>
              <w:spacing w:before="200"/>
              <w:ind w:firstLine="0" w:left="0" w:right="0"/>
            </w:pPr>
            <w:r>
              <w:t xml:space="preserve">Figure 16:</w:t>
            </w:r>
            <w:r>
              <w:t xml:space="preserve"> </w:t>
            </w:r>
            <w:r>
              <w:rPr>
                <w:rStyle w:val="CaptionText"/>
              </w:rPr>
              <w:t xml:space="preserve">Named technology ecosystems in AI disclosure across S&amp;P 500 firms, 2021–2026 YTD.</w:t>
            </w:r>
            <w:r>
              <w:t xml:space="preserve"> </w:t>
            </w:r>
            <w:r>
              <w:rPr>
                <w:b w:val="0"/>
                <w:bCs w:val="0"/>
                <w:color w:val="595959"/>
              </w:rPr>
              <w:t xml:space="preserve">Panel A tracks the share of AI-disclosing documents naming each ecosystem’s stack, with 2026 as a dotted, year-to-date segment; Panel B breaks the same rate down by archetype. The denominator is the 8,452 documents with an AI frame; rates are independent presence indicators, so the four series do not sum to 100.</w:t>
            </w:r>
          </w:p>
          <w:bookmarkEnd w:id="50"/>
        </w:tc>
      </w:tr>
    </w:tbl>
    <w:p>
      <w:pPr>
        <w:pStyle w:val="Textoindependiente"/>
      </w:pPr>
      <w:r>
        <w:t xml:space="preserve">Two findings stand out (</w:t>
      </w:r>
      <w:hyperlink w:anchor="fig-vendor-ecosystems">
        <w:r>
          <w:rPr>
            <w:rStyle w:val="Hipervnculo"/>
          </w:rPr>
          <w:t xml:space="preserve">Figure 16</w:t>
        </w:r>
      </w:hyperlink>
      <w:r>
        <w:t xml:space="preserve">,</w:t>
      </w:r>
      <w:r>
        <w:t xml:space="preserve"> </w:t>
      </w:r>
      <w:hyperlink w:anchor="fig-vendor-providers">
        <w:r>
          <w:rPr>
            <w:rStyle w:val="Hipervnculo"/>
          </w:rPr>
          <w:t xml:space="preserve">Figure 17</w:t>
        </w:r>
      </w:hyperlink>
      <w:r>
        <w:t xml:space="preserve">).</w:t>
      </w:r>
    </w:p>
    <w:p>
      <w:pPr>
        <w:pStyle w:val="Compact"/>
        <w:numPr>
          <w:ilvl w:val="0"/>
          <w:numId w:val="24"/>
        </w:numPr>
      </w:pPr>
      <w:r>
        <w:rPr>
          <w:b/>
          <w:bCs/>
        </w:rPr>
        <w:t xml:space="preserve">Naming a supplier is now the majority practice, and the supplier is American.</w:t>
      </w:r>
      <w:r>
        <w:t xml:space="preserve"> </w:t>
      </w:r>
      <w:r>
        <w:t xml:space="preserve">66.3% of the 483 firms with AI disclosure name any external provider, and 59.8% name a U.S. technology stack against 12.0% for China; no non-U.S. provider reaches a tenth of firms.</w:t>
      </w:r>
    </w:p>
    <w:p>
      <w:pPr>
        <w:keepNext/>
        <w:pStyle w:val="Compact"/>
        <w:numPr>
          <w:ilvl w:val="0"/>
          <w:numId w:val="24"/>
        </w:numPr>
      </w:pPr>
      <w:r>
        <w:rPr>
          <w:b/>
          <w:bCs/>
        </w:rPr>
        <w:t xml:space="preserve">Chinese providers appear in one year and then recede.</w:t>
      </w:r>
      <w:r>
        <w:t xml:space="preserve"> </w:t>
      </w:r>
      <w:r>
        <w:t xml:space="preserve">Chinese stack mentions stay below 2% of documents in every year except 2025, when they reach 2.9%, and fall to 0.8% in the 2026 year-to-date sample. DeepSeek alone accounts for the movement, which makes it an episode in who gets named rather than a durable Chinese presence in the disclosed stack.</w:t>
      </w:r>
    </w:p>
    <w:tbl xmlns:a="http://schemas.openxmlformats.org/drawingml/2006/main" xmlns:pic="http://schemas.openxmlformats.org/drawingml/2006/picture">
      <w:tblPr>
        <w:tblStyle w:val="Table"/>
        <w:tblW w:type="pct" w:w="5000"/>
        <w:tblLayout w:type="fixed"/>
        <w:tblLook w:firstRow="0" w:lastRow="0" w:firstColumn="0" w:lastColumn="0" w:noHBand="0" w:noVBand="0" w:val="0000"/>
        <w:tblBorders>
          <w:top w:val="none"/>
          <w:left w:val="none"/>
          <w:bottom w:val="none"/>
          <w:right w:val="none"/>
          <w:insideH w:val="none"/>
          <w:insideV w:val="none"/>
        </w:tblBorders>
      </w:tblPr>
      <w:tblGrid>
        <w:gridCol w:w="7920"/>
      </w:tblGrid>
      <w:tr>
        <w:trPr>
          <w:cantSplit/>
        </w:trPr>
        <w:tc>
          <w:tcPr/>
          <w:bookmarkStart w:id="54" w:name="fig-vendor-providers"/>
          <w:p>
            <w:pPr>
              <w:pStyle w:val="Compact"/>
              <w:jc w:val="center"/>
              <w:ind w:firstLine="0" w:left="0" w:right="0"/>
            </w:pPr>
            <w:r>
              <w:drawing>
                <wp:inline>
                  <wp:extent cx="5760085" cy="1978552"/>
                  <wp:effectExtent b="0" l="0" r="0" t="0"/>
                  <wp:docPr descr="" title="" id="17" name="Picture"/>
                  <a:graphic>
                    <a:graphicData uri="http://schemas.openxmlformats.org/drawingml/2006/picture">
                      <pic:pic>
                        <pic:nvPicPr>
                          <pic:cNvPr descr="thesis_files/figure-docx/fig-vendor-providers-output-1.png" id="17" name="Picture"/>
                          <pic:cNvPicPr>
                            <a:picLocks noChangeArrowheads="1" noChangeAspect="1"/>
                          </pic:cNvPicPr>
                        </pic:nvPicPr>
                        <pic:blipFill>
                          <a:blip r:embed="rId38"/>
                          <a:stretch>
                            <a:fillRect/>
                          </a:stretch>
                        </pic:blipFill>
                        <pic:spPr bwMode="auto">
                          <a:xfrm>
                            <a:off x="0" y="0"/>
                            <a:ext cx="5760085" cy="1978552"/>
                          </a:xfrm>
                          <a:prstGeom prst="rect">
                            <a:avLst/>
                          </a:prstGeom>
                          <a:noFill/>
                          <a:ln w="9525">
                            <a:noFill/>
                            <a:headEnd/>
                            <a:tailEnd/>
                          </a:ln>
                        </pic:spPr>
                      </pic:pic>
                    </a:graphicData>
                  </a:graphic>
                </wp:inline>
              </w:drawing>
            </w:r>
          </w:p>
          <w:p>
            <w:pPr>
              <w:pStyle w:val="ImageCaption"/>
              <w:jc w:val="left"/>
              <w:spacing w:before="200"/>
              <w:ind w:firstLine="0" w:left="0" w:right="0"/>
            </w:pPr>
            <w:r>
              <w:t xml:space="preserve">Figure 17:</w:t>
            </w:r>
            <w:r>
              <w:t xml:space="preserve"> </w:t>
            </w:r>
            <w:r>
              <w:rPr>
                <w:rStyle w:val="CaptionText"/>
              </w:rPr>
              <w:t xml:space="preserve">Provider families most cited in AI disclosure, by ecosystem and stack role, pooled 2021–2026 YTD.</w:t>
            </w:r>
            <w:r>
              <w:t xml:space="preserve"> </w:t>
            </w:r>
            <w:r>
              <w:rPr>
                <w:b w:val="0"/>
                <w:bCs w:val="0"/>
                <w:color w:val="595959"/>
              </w:rPr>
              <w:t xml:space="preserve">Bars: share of AI-disclosing firms naming each family, colored by ecosystem, with its stack role beside the name (M model, C cloud, S semiconductor, E enterprise software). The 15 most-named of 49 families in the corpus (full list,</w:t>
            </w:r>
            <w:r>
              <w:rPr>
                <w:b w:val="0"/>
                <w:bCs w:val="0"/>
                <w:color w:val="595959"/>
              </w:rPr>
              <w:t xml:space="preserve"> </w:t>
            </w:r>
            <w:hyperlink w:anchor="appendix-b6">
              <w:r>
                <w:rPr>
                  <w:rStyle w:val="Hipervnculo"/>
                  <w:b w:val="0"/>
                  <w:bCs w:val="0"/>
                  <w:color w:val="595959"/>
                </w:rPr>
                <w:t xml:space="preserve">Appendix B.6</w:t>
              </w:r>
            </w:hyperlink>
            <w:r>
              <w:rPr>
                <w:b w:val="0"/>
                <w:bCs w:val="0"/>
                <w:color w:val="595959"/>
              </w:rPr>
              <w:t xml:space="preserve">); a firm’s own products are excluded. Only disclosures containing sections identified as AI-related are included.</w:t>
            </w:r>
          </w:p>
          <w:bookmarkEnd w:id="51"/>
        </w:tc>
      </w:tr>
    </w:tbl>
    <w:p>
      <w:pPr>
        <w:pStyle w:val="Textoindependiente"/>
      </w:pPr>
      <w:r>
        <w:t xml:space="preserve">Enterprise software reverses part of the picture without changing its center: Europe reaches 10.4% here, against 7.5% in the technology stack, entering these disclosures as a software vendor rather than as a source of models or compute.</w:t>
      </w:r>
    </w:p>
    <w:bookmarkEnd w:id="52"/>
    <w:bookmarkEnd w:id="53"/>
    <w:bookmarkStart w:id="55" w:name="X88a692838e2ab83ed2b3207ccb5c1240cbaab0e"/>
    <w:p>
      <w:pPr>
        <w:pStyle w:val="Ttulo2"/>
      </w:pPr>
      <w:r>
        <w:t xml:space="preserve">3.8 Exogenous shocks: regulatory warnings and technology surprises</w:t>
      </w:r>
    </w:p>
    <w:p>
      <w:pPr>
        <w:pStyle w:val="FirstParagraph"/>
      </w:pPr>
      <w:r>
        <w:t xml:space="preserve">Two dated events fall inside the sample: the SEC’s December 2023 warning on AI claims, and DeepSeek’s release in January 2025. Each is examined as an interrupted time series on the aggregate, that is, a break in the level and in the slope of a monthly series with reporting seasonality and the composition of firms filing that month held constant, rather than as a difference between exposed and unexposed firms. A shock that moves every firm alike leaves no differential to detect, which is what a difference design would look for and miss.</w:t>
      </w:r>
    </w:p>
    <w:bookmarkStart w:id="56" w:name="sec-scrutiny-december-2023"/>
    <w:p>
      <w:pPr>
        <w:pStyle w:val="Ttulo3"/>
      </w:pPr>
      <w:r>
        <w:t xml:space="preserve">3.8.1 SEC scrutiny, December 2023</w:t>
      </w:r>
    </w:p>
    <w:p>
      <w:pPr>
        <w:pStyle w:val="FirstParagraph"/>
      </w:pPr>
      <w:r>
        <w:t xml:space="preserve">In December 2023 the SEC warned public companies against overstating what their AI can do, with the agency’s chair naming</w:t>
      </w:r>
      <w:r>
        <w:t xml:space="preserve"> </w:t>
      </w:r>
      <w:r>
        <w:t xml:space="preserve">“AI washing”</w:t>
      </w:r>
      <w:r>
        <w:t xml:space="preserve"> </w:t>
      </w:r>
      <w:r>
        <w:t xml:space="preserve">as securities fraud in the same terms as any other misstatement</w:t>
      </w:r>
      <w:r>
        <w:t xml:space="preserve"> </w:t>
      </w:r>
      <w:r>
        <w:t xml:space="preserve">(</w:t>
      </w:r>
      <w:hyperlink w:anchor="ref-gensler2023">
        <w:r>
          <w:rPr>
            <w:rStyle w:val="Hipervnculo"/>
          </w:rPr>
          <w:t xml:space="preserve">Gensler 2024</w:t>
        </w:r>
      </w:hyperlink>
      <w:r>
        <w:t xml:space="preserve">)</w:t>
      </w:r>
      <w:r>
        <w:t xml:space="preserve">, followed by enforcement against advisers who had claimed capability they did not have</w:t>
      </w:r>
      <w:r>
        <w:t xml:space="preserve"> </w:t>
      </w:r>
      <w:r>
        <w:t xml:space="preserve">(</w:t>
      </w:r>
      <w:hyperlink w:anchor="ref-sec2024pressrelease">
        <w:r>
          <w:rPr>
            <w:rStyle w:val="Hipervnculo"/>
          </w:rPr>
          <w:t xml:space="preserve">U.S. Securities and Exchange Commission 2024</w:t>
        </w:r>
      </w:hyperlink>
      <w:r>
        <w:t xml:space="preserve">)</w:t>
      </w:r>
      <w:r>
        <w:t xml:space="preserve">: risk and governance framing accelerate over the sample, but neither turns at that date, and both fit a break in early 2023 better than the warning itself (</w:t>
      </w:r>
      <w:hyperlink w:anchor="appendix-c3">
        <w:r>
          <w:rPr>
            <w:rStyle w:val="Hipervnculo"/>
          </w:rPr>
          <w:t xml:space="preserve">Appendix C.3</w:t>
        </w:r>
      </w:hyperlink>
      <w:r>
        <w:t xml:space="preserve">).</w:t>
      </w:r>
    </w:p>
    <w:p>
      <w:pPr>
        <w:keepNext/>
        <w:pStyle w:val="Textoindependiente"/>
      </w:pPr>
      <w:r>
        <w:t xml:space="preserve">Direct scrutiny is also rare. Across SEC staff comment letters from 2022 to mid-2026, 8 threads match AI terms within the panel and 1 questioned a firm’s operational AI claims: the Welltower inquiry of 2025-04-28, which contrasted a boilerplate sentence in the 10-K with an</w:t>
      </w:r>
      <w:r>
        <w:t xml:space="preserve"> </w:t>
      </w:r>
      <w:r>
        <w:t xml:space="preserve">“industry-leading”</w:t>
      </w:r>
      <w:r>
        <w:t xml:space="preserve"> </w:t>
      </w:r>
      <w:r>
        <w:t xml:space="preserve">platform claimed on the earnings call. The response was not defensive retreat (</w:t>
      </w:r>
      <w:hyperlink w:anchor="fig-sec-welltower">
        <w:r>
          <w:rPr>
            <w:rStyle w:val="Hipervnculo"/>
          </w:rPr>
          <w:t xml:space="preserve">Figure 18</w:t>
        </w:r>
      </w:hyperlink>
      <w:r>
        <w:t xml:space="preserve">).</w:t>
      </w:r>
    </w:p>
    <w:tbl xmlns:a="http://schemas.openxmlformats.org/drawingml/2006/main" xmlns:pic="http://schemas.openxmlformats.org/drawingml/2006/picture">
      <w:tblPr>
        <w:tblStyle w:val="Table"/>
        <w:tblW w:type="pct" w:w="5000"/>
        <w:tblLayout w:type="fixed"/>
        <w:tblLook w:firstRow="0" w:lastRow="0" w:firstColumn="0" w:lastColumn="0" w:noHBand="0" w:noVBand="0" w:val="0000"/>
        <w:tblBorders>
          <w:top w:val="none"/>
          <w:left w:val="none"/>
          <w:bottom w:val="none"/>
          <w:right w:val="none"/>
          <w:insideH w:val="none"/>
          <w:insideV w:val="none"/>
        </w:tblBorders>
      </w:tblPr>
      <w:tblGrid>
        <w:gridCol w:w="7920"/>
      </w:tblGrid>
      <w:tr>
        <w:trPr>
          <w:cantSplit/>
        </w:trPr>
        <w:tc>
          <w:tcPr/>
          <w:bookmarkStart w:id="57" w:name="fig-sec-welltower"/>
          <w:p>
            <w:pPr>
              <w:pStyle w:val="Compact"/>
              <w:jc w:val="center"/>
              <w:ind w:firstLine="0" w:left="0" w:right="0"/>
            </w:pPr>
            <w:r>
              <w:drawing>
                <wp:inline>
                  <wp:extent cx="5760085" cy="2278940"/>
                  <wp:effectExtent b="0" l="0" r="0" t="0"/>
                  <wp:docPr descr="" title="" id="18" name="Picture"/>
                  <a:graphic>
                    <a:graphicData uri="http://schemas.openxmlformats.org/drawingml/2006/picture">
                      <pic:pic>
                        <pic:nvPicPr>
                          <pic:cNvPr descr="thesis_files/figure-docx/fig-sec-welltower-output-1.png" id="18" name="Picture"/>
                          <pic:cNvPicPr>
                            <a:picLocks noChangeArrowheads="1" noChangeAspect="1"/>
                          </pic:cNvPicPr>
                        </pic:nvPicPr>
                        <pic:blipFill>
                          <a:blip r:embed="rId39"/>
                          <a:stretch>
                            <a:fillRect/>
                          </a:stretch>
                        </pic:blipFill>
                        <pic:spPr bwMode="auto">
                          <a:xfrm>
                            <a:off x="0" y="0"/>
                            <a:ext cx="5760085" cy="2278940"/>
                          </a:xfrm>
                          <a:prstGeom prst="rect">
                            <a:avLst/>
                          </a:prstGeom>
                          <a:noFill/>
                          <a:ln w="9525">
                            <a:noFill/>
                            <a:headEnd/>
                            <a:tailEnd/>
                          </a:ln>
                        </pic:spPr>
                      </pic:pic>
                    </a:graphicData>
                  </a:graphic>
                </wp:inline>
              </w:drawing>
            </w:r>
          </w:p>
          <w:p>
            <w:pPr>
              <w:pStyle w:val="ImageCaption"/>
              <w:jc w:val="left"/>
              <w:spacing w:before="200"/>
              <w:ind w:firstLine="0" w:left="0" w:right="0"/>
            </w:pPr>
            <w:r>
              <w:t xml:space="preserve">Figure 18:</w:t>
            </w:r>
            <w:r>
              <w:t xml:space="preserve"> </w:t>
            </w:r>
            <w:r>
              <w:rPr>
                <w:rStyle w:val="CaptionText"/>
              </w:rPr>
              <w:t xml:space="preserve">Welltower’s annual-report AI disclosure around the SEC comment letter of 2025-04-28, against the mean of three matched real-estate peers.</w:t>
            </w:r>
            <w:r>
              <w:t xml:space="preserve"> </w:t>
            </w:r>
            <w:r>
              <w:rPr>
                <w:b w:val="0"/>
                <w:bCs w:val="0"/>
                <w:color w:val="595959"/>
              </w:rPr>
              <w:t xml:space="preserve">k = −1 is the FY2024 10-K the letter reviewed; k = 0 is the first 10-K filed after the letter. Panel A: AI claim density; Panel B: realized-integration claims, the dimension the staff asked about.</w:t>
            </w:r>
          </w:p>
          <w:bookmarkEnd w:id="54"/>
        </w:tc>
      </w:tr>
    </w:tbl>
    <w:p>
      <w:pPr>
        <w:pStyle w:val="Textoindependiente"/>
      </w:pPr>
      <w:r>
        <w:t xml:space="preserve">In the first annual report filed after the inquiry, Welltower’s AI claim density fell from 0.309 to 0.268 claims per thousand words, and in the dimension the letter targeted, realized integration, density fell to 0.097. Decoupling narrowed from 0.142 to -0.126. One firm cannot establish a regulatory effect, and read alongside the aggregate series, where no break dates to the intervention, the evidence supports a narrow claim: scrutiny is rare, and where it occurred the firm added evidence rather than withdrawing claims (case details in</w:t>
      </w:r>
      <w:r>
        <w:t xml:space="preserve"> </w:t>
      </w:r>
      <w:hyperlink w:anchor="tbl-g2-sec-cases">
        <w:r>
          <w:rPr>
            <w:rStyle w:val="Hipervnculo"/>
          </w:rPr>
          <w:t xml:space="preserve">Table 49</w:t>
        </w:r>
      </w:hyperlink>
      <w:r>
        <w:t xml:space="preserve">,</w:t>
      </w:r>
      <w:r>
        <w:t xml:space="preserve"> </w:t>
      </w:r>
      <w:hyperlink w:anchor="appendix-c2">
        <w:r>
          <w:rPr>
            <w:rStyle w:val="Hipervnculo"/>
          </w:rPr>
          <w:t xml:space="preserve">Appendix C.2</w:t>
        </w:r>
      </w:hyperlink>
      <w:r>
        <w:t xml:space="preserve">).</w:t>
      </w:r>
    </w:p>
    <w:bookmarkEnd w:id="55"/>
    <w:bookmarkStart w:id="58" w:name="deepseek-january-2025"/>
    <w:p>
      <w:pPr>
        <w:pStyle w:val="Ttulo3"/>
      </w:pPr>
      <w:r>
        <w:t xml:space="preserve">3.8.2 DeepSeek, January 2025</w:t>
      </w:r>
    </w:p>
    <w:p>
      <w:pPr>
        <w:keepNext/>
        <w:pStyle w:val="FirstParagraph"/>
      </w:pPr>
      <w:r>
        <w:t xml:space="preserve">DeepSeek produced a two-month burst of open-source vocabulary on earnings calls and left no lasting change in level (</w:t>
      </w:r>
      <w:hyperlink w:anchor="fig-deepseek-break">
        <w:r>
          <w:rPr>
            <w:rStyle w:val="Hipervnculo"/>
          </w:rPr>
          <w:t xml:space="preserve">Figure 19</w:t>
        </w:r>
      </w:hyperlink>
      <w:r>
        <w:t xml:space="preserve">).</w:t>
      </w:r>
    </w:p>
    <w:tbl xmlns:a="http://schemas.openxmlformats.org/drawingml/2006/main" xmlns:pic="http://schemas.openxmlformats.org/drawingml/2006/picture">
      <w:tblPr>
        <w:tblStyle w:val="Table"/>
        <w:tblW w:type="pct" w:w="5000"/>
        <w:tblLayout w:type="fixed"/>
        <w:tblLook w:firstRow="0" w:lastRow="0" w:firstColumn="0" w:lastColumn="0" w:noHBand="0" w:noVBand="0" w:val="0000"/>
        <w:tblBorders>
          <w:top w:val="none"/>
          <w:left w:val="none"/>
          <w:bottom w:val="none"/>
          <w:right w:val="none"/>
          <w:insideH w:val="none"/>
          <w:insideV w:val="none"/>
        </w:tblBorders>
      </w:tblPr>
      <w:tblGrid>
        <w:gridCol w:w="7920"/>
      </w:tblGrid>
      <w:tr>
        <w:trPr>
          <w:cantSplit/>
        </w:trPr>
        <w:tc>
          <w:tcPr/>
          <w:bookmarkStart w:id="59" w:name="fig-deepseek-break"/>
          <w:p>
            <w:pPr>
              <w:pStyle w:val="Compact"/>
              <w:jc w:val="center"/>
              <w:ind w:firstLine="0" w:left="0" w:right="0"/>
            </w:pPr>
            <w:r>
              <w:drawing>
                <wp:inline>
                  <wp:extent cx="5760085" cy="1865365"/>
                  <wp:effectExtent b="0" l="0" r="0" t="0"/>
                  <wp:docPr descr="" title="" id="19" name="Picture"/>
                  <a:graphic>
                    <a:graphicData uri="http://schemas.openxmlformats.org/drawingml/2006/picture">
                      <pic:pic>
                        <pic:nvPicPr>
                          <pic:cNvPr descr="thesis_files/figure-docx/fig-deepseek-break-output-1.png" id="19" name="Picture"/>
                          <pic:cNvPicPr>
                            <a:picLocks noChangeArrowheads="1" noChangeAspect="1"/>
                          </pic:cNvPicPr>
                        </pic:nvPicPr>
                        <pic:blipFill>
                          <a:blip r:embed="rId40"/>
                          <a:stretch>
                            <a:fillRect/>
                          </a:stretch>
                        </pic:blipFill>
                        <pic:spPr bwMode="auto">
                          <a:xfrm>
                            <a:off x="0" y="0"/>
                            <a:ext cx="5760085" cy="1865365"/>
                          </a:xfrm>
                          <a:prstGeom prst="rect">
                            <a:avLst/>
                          </a:prstGeom>
                          <a:noFill/>
                          <a:ln w="9525">
                            <a:noFill/>
                            <a:headEnd/>
                            <a:tailEnd/>
                          </a:ln>
                        </pic:spPr>
                      </pic:pic>
                    </a:graphicData>
                  </a:graphic>
                </wp:inline>
              </w:drawing>
            </w:r>
          </w:p>
          <w:p>
            <w:pPr>
              <w:pStyle w:val="ImageCaption"/>
              <w:jc w:val="left"/>
              <w:spacing w:before="200"/>
              <w:ind w:firstLine="0" w:left="0" w:right="0"/>
            </w:pPr>
            <w:r>
              <w:t xml:space="preserve">Figure 19:</w:t>
            </w:r>
            <w:r>
              <w:t xml:space="preserve"> </w:t>
            </w:r>
            <w:r>
              <w:rPr>
                <w:rStyle w:val="CaptionText"/>
              </w:rPr>
              <w:t xml:space="preserve">Open-source vocabulary in earnings calls around the January 2025 DeepSeek release.</w:t>
            </w:r>
            <w:r>
              <w:t xml:space="preserve"> </w:t>
            </w:r>
            <w:r>
              <w:rPr>
                <w:b w:val="0"/>
                <w:bCs w:val="0"/>
                <w:color w:val="595959"/>
              </w:rPr>
              <w:t xml:space="preserve">Monthly open-source mentions in earnings calls (Jan 2021–Aug 2026). Shaded band: 95% confidence interval; dashed line: counterfactual pre-event trend. The interrupted-time-series specification, including the seasonal, weighting and pulse-term controls, is in</w:t>
            </w:r>
            <w:r>
              <w:rPr>
                <w:b w:val="0"/>
                <w:bCs w:val="0"/>
                <w:color w:val="595959"/>
              </w:rPr>
              <w:t xml:space="preserve"> </w:t>
            </w:r>
            <w:hyperlink w:anchor="appendix-c3">
              <w:r>
                <w:rPr>
                  <w:rStyle w:val="Hipervnculo"/>
                  <w:b w:val="0"/>
                  <w:bCs w:val="0"/>
                  <w:color w:val="595959"/>
                </w:rPr>
                <w:t xml:space="preserve">Appendix C.3</w:t>
              </w:r>
            </w:hyperlink>
            <w:r>
              <w:rPr>
                <w:b w:val="0"/>
                <w:bCs w:val="0"/>
                <w:color w:val="595959"/>
              </w:rPr>
              <w:t xml:space="preserve">.</w:t>
            </w:r>
          </w:p>
          <w:bookmarkEnd w:id="56"/>
        </w:tc>
      </w:tr>
    </w:tbl>
    <w:p>
      <w:pPr>
        <w:pStyle w:val="Textoindependiente"/>
      </w:pPr>
      <w:r>
        <w:t xml:space="preserve">Over 68 months of calls, January 2025 alone stands +1.65 mentions per 100,000 words above the path around it (95% CI [+1.36, +1.93],</w:t>
      </w:r>
      <w:r>
        <w:t xml:space="preserve"> </w:t>
      </w:r>
      <m:oMath>
        <m:r>
          <w:rPr>
            <w:sz w:val="22"/>
          </w:rPr>
          <m:t>p</m:t>
        </m:r>
      </m:oMath>
      <w:r>
        <w:t xml:space="preserve"> </w:t>
      </w:r>
      <w:r>
        <w:t xml:space="preserve">&lt; 0.001) and February a further +0.75 (95% CI [+0.50, +0.99],</w:t>
      </w:r>
      <w:r>
        <w:t xml:space="preserve"> </w:t>
      </w:r>
      <m:oMath>
        <m:r>
          <w:rPr>
            <w:sz w:val="22"/>
          </w:rPr>
          <m:t>p</m:t>
        </m:r>
      </m:oMath>
      <w:r>
        <w:t xml:space="preserve"> </w:t>
      </w:r>
      <w:r>
        <w:t xml:space="preserve">&lt; 0.001). January itself reaches 208.59, roughly ten times the earlier monthly mean of 0.21. Once those two months are held in their own terms, the level change that outlasts them is -0.04 (95% CI [-0.33, +0.25],</w:t>
      </w:r>
      <w:r>
        <w:t xml:space="preserve"> </w:t>
      </w:r>
      <m:oMath>
        <m:r>
          <w:rPr>
            <w:sz w:val="22"/>
          </w:rPr>
          <m:t>p</m:t>
        </m:r>
      </m:oMath>
      <w:r>
        <w:t xml:space="preserve"> </w:t>
      </w:r>
      <w:r>
        <w:t xml:space="preserve">= 0.775), which is nothing distinguishable from none.</w:t>
      </w:r>
    </w:p>
    <w:p>
      <w:pPr>
        <w:pStyle w:val="Textoindependiente"/>
      </w:pPr>
      <w:r>
        <w:t xml:space="preserve">The trend itself flattens rather than falls. The series had been rising at +0.013 mentions per 100,000 words per month (</w:t>
      </w:r>
      <m:oMath>
        <m:r>
          <w:rPr>
            <w:sz w:val="22"/>
          </w:rPr>
          <m:t>p</m:t>
        </m:r>
      </m:oMath>
      <w:r>
        <w:t xml:space="preserve"> </w:t>
      </w:r>
      <w:r>
        <w:t xml:space="preserve">&lt; 0.001) before the event; afterwards it runs at +0.002 (95% CI [-0.024, +0.028],</w:t>
      </w:r>
      <w:r>
        <w:t xml:space="preserve"> </w:t>
      </w:r>
      <m:oMath>
        <m:r>
          <w:rPr>
            <w:sz w:val="22"/>
          </w:rPr>
          <m:t>p</m:t>
        </m:r>
      </m:oMath>
      <w:r>
        <w:t xml:space="preserve"> </w:t>
      </w:r>
      <w:r>
        <w:t xml:space="preserve">= 0.889), and the change in slope itself, -0.011 (</w:t>
      </w:r>
      <m:oMath>
        <m:r>
          <w:rPr>
            <w:sz w:val="22"/>
          </w:rPr>
          <m:t>p</m:t>
        </m:r>
      </m:oMath>
      <w:r>
        <w:t xml:space="preserve"> </w:t>
      </w:r>
      <w:r>
        <w:t xml:space="preserve">= 0.431), is not distinguishable from zero. A conversation that had grown for four years stopped growing; the estimate gives no basis for saying it reversed.</w:t>
      </w:r>
    </w:p>
    <w:p>
      <w:pPr>
        <w:pStyle w:val="Textoindependiente"/>
      </w:pPr>
      <w:r>
        <w:t xml:space="preserve">What ties the series to the event is the text rather than the timing: analysts name the model, AT&amp;T’s call on 2025-01-27 opening</w:t>
      </w:r>
      <w:r>
        <w:t xml:space="preserve"> </w:t>
      </w:r>
      <w:r>
        <w:t xml:space="preserve">“you’ve seen DeepSeek has created a much lower cost, large language model”</w:t>
      </w:r>
      <w:r>
        <w:t xml:space="preserve"> </w:t>
      </w:r>
      <w:r>
        <w:t xml:space="preserve">and Corning’s two days later on</w:t>
      </w:r>
      <w:r>
        <w:t xml:space="preserve"> </w:t>
      </w:r>
      <w:r>
        <w:t xml:space="preserve">“market dislocation over the last week from DeepSeek”</w:t>
      </w:r>
      <w:r>
        <w:t xml:space="preserve">. The series is earnings calls alone, since a call can respond within weeks while a 10-K published in a given month was written earlier; the pooled series shows no break, consistent with that dilution without establishing it. January is not entirely after the 20th, so what is located here is a change around the turn of the year, not on a particular day. An analyst therefore has to keep temporary market attention to a new technology apart from a durable change in what firms actually disclose doing.</w:t>
      </w:r>
    </w:p>
    <w:bookmarkEnd w:id="57"/>
    <w:bookmarkEnd w:id="58"/>
    <w:bookmarkStart w:id="60" w:name="X4bf2f84bfaa5317910838114b5b017f22195122"/>
    <w:p>
      <w:pPr>
        <w:pStyle w:val="Ttulo2"/>
      </w:pPr>
      <w:r>
        <w:t xml:space="preserve">3.9 What disclosed AI activity adds to disclosure posture</w:t>
      </w:r>
    </w:p>
    <w:p>
      <w:pPr>
        <w:pStyle w:val="FirstParagraph"/>
      </w:pPr>
      <w:r>
        <w:t xml:space="preserve">Disclosed activity carries information that posture alone does not. At equal disclosure volume, Vocal Substantives report 2.02 times as many AI activities as Defensive Disclosers, demonstrating that the archetypes do not simply reflect verbosity. Yet firms retain wide discretion over what they emphasize inside any single document, leaving open whether these operational claims survive when legal and regulatory commitments increase.</w:t>
      </w:r>
    </w:p>
    <w:bookmarkEnd w:id="59"/>
    <w:bookmarkEnd w:id="60"/>
    <w:bookmarkStart w:id="61" w:name="Xba2d76c1d8e95555d38cda0f58ac06a1cdd1575"/>
    <w:p>
      <w:pPr>
        <w:pStyle w:val="Ttulo1"/>
      </w:pPr>
      <w:r>
        <w:rPr>
          <w:caps/>
          <w:smallCaps w:val="0"/>
        </w:rPr>
        <w:t xml:space="preserve">4. Credibility Under Increasing Disclosure Commitment</w:t>
      </w:r>
    </w:p>
    <w:p>
      <w:pPr>
        <w:pStyle w:val="FirstParagraph"/>
      </w:pPr>
      <w:r>
        <w:t xml:space="preserve">How credible are corporate AI claims once the legal and regulatory commitment behind them rises? There is no audited census of enterprise AI adoption, so credibility is assessed here by watching what survives as the cost of misrepresentation goes up</w:t>
      </w:r>
      <w:r>
        <w:t xml:space="preserve"> </w:t>
      </w:r>
      <w:r>
        <w:t xml:space="preserve">(</w:t>
      </w:r>
      <w:hyperlink w:anchor="ref-crawford1982">
        <w:r>
          <w:rPr>
            <w:rStyle w:val="Hipervnculo"/>
          </w:rPr>
          <w:t xml:space="preserve">Crawford and Sobel 1982</w:t>
        </w:r>
      </w:hyperlink>
      <w:r>
        <w:t xml:space="preserve">;</w:t>
      </w:r>
      <w:r>
        <w:t xml:space="preserve"> </w:t>
      </w:r>
      <w:hyperlink w:anchor="ref-rogers2011">
        <w:r>
          <w:rPr>
            <w:rStyle w:val="Hipervnculo"/>
          </w:rPr>
          <w:t xml:space="preserve">Rogers, Van Buskirk, and Zechman 2011</w:t>
        </w:r>
      </w:hyperlink>
      <w:r>
        <w:t xml:space="preserve">)</w:t>
      </w:r>
      <w:r>
        <w:t xml:space="preserve">. What a firm leaves out is as much a decision as what it puts in:</w:t>
      </w:r>
      <w:r>
        <w:t xml:space="preserve"> </w:t>
      </w:r>
      <w:r>
        <w:t xml:space="preserve">Dye (</w:t>
      </w:r>
      <w:hyperlink w:anchor="ref-dye1985">
        <w:r>
          <w:rPr>
            <w:rStyle w:val="Hipervnculo"/>
          </w:rPr>
          <w:t xml:space="preserve">1985</w:t>
        </w:r>
      </w:hyperlink>
      <w:r>
        <w:t xml:space="preserve">)</w:t>
      </w:r>
      <w:r>
        <w:t xml:space="preserve"> </w:t>
      </w:r>
      <w:r>
        <w:t xml:space="preserve">shows that when investors cannot even tell whether a manager holds the information, withholding an unfavorable detail costs nothing. That is why the absence of a named system or a figure is treated here as evidence about the claim and not as missing data. Three designs test credibility: decoupling between disclosure intensity and disclosed substance inside the same document; a comparison of activity composition and grounding between voluntary earnings calls and statutory filings; and the disclosure response to SEC comment-letter scrutiny. The three move from what can be checked inside the text to settings where the disclosure has external consequences (</w:t>
      </w:r>
      <w:hyperlink w:anchor="tbl-credibility-designs">
        <w:r>
          <w:rPr>
            <w:rStyle w:val="Hipervnculo"/>
          </w:rPr>
          <w:t xml:space="preserve">Table 10</w:t>
        </w:r>
      </w:hyperlink>
      <w:r>
        <w:t xml:space="preserve">).</w:t>
      </w:r>
    </w:p>
    <w:bookmarkStart w:id="62" w:name="tbl-credibility-designs"/>
    <w:p>
      <w:pPr>
        <w:keepNext/>
        <w:pStyle w:val="ImageCaption"/>
        <w:jc w:val="left"/>
        <w:spacing w:before="200"/>
        <w:ind w:firstLine="0" w:left="0" w:right="0"/>
      </w:pPr>
      <w:r>
        <w:t xml:space="preserve">Table 10:</w:t>
      </w:r>
      <w:r>
        <w:t xml:space="preserve"> </w:t>
      </w:r>
      <w:r>
        <w:rPr>
          <w:rStyle w:val="CaptionText"/>
        </w:rPr>
        <w:t xml:space="preserve">Empirical designs for assessing the credibility of corporate AI claims.</w:t>
      </w:r>
    </w:p>
    <w:tbl>
      <w:tblPr>
        <w:tblStyle w:val="Table"/>
        <w:tblW w:type="auto" w:w="0"/>
        <w:jc w:val="center"/>
        <w:tblLook w:firstRow="1" w:lastRow="0" w:firstColumn="0" w:lastColumn="0" w:noHBand="0" w:noVBand="0" w:val="0020"/>
        <w:tblBorders>
          <w:top w:val="single" w:sz="8" w:space="0" w:color="0F172A"/>
          <w:bottom w:val="single" w:sz="8" w:space="0" w:color="0F172A"/>
          <w:left w:val="none"/>
          <w:right w:val="none"/>
          <w:insideH w:val="single" w:sz="4" w:space="0" w:color="E2E8F0"/>
          <w:insideV w:val="none"/>
        </w:tblBorders>
        <w:tblCellMar>
          <w:top w:w="26" w:type="dxa"/>
          <w:bottom w:w="26" w:type="dxa"/>
          <w:left w:w="48" w:type="dxa"/>
          <w:right w:w="48" w:type="dxa"/>
        </w:tblCellMar>
      </w:tblPr>
      <w:tblGrid>
        <w:gridCol w:w="1980"/>
        <w:gridCol w:w="1980"/>
        <w:gridCol w:w="1980"/>
        <w:gridCol w:w="1980"/>
      </w:tblGrid>
      <w:tr>
        <w:trPr>
          <w:tblHeader w:val="on"/>
          <w:cantSplit/>
          <w:tblHeader/>
        </w:trPr>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6"/>
              </w:rPr>
              <w:t xml:space="preserve">Credibility test</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6"/>
              </w:rPr>
              <w:t xml:space="preserve">Evidence and unit of analysis</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6"/>
              </w:rPr>
              <w:t xml:space="preserve">Empirical comparison</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6"/>
              </w:rPr>
              <w:t xml:space="preserve">Credibility inference</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1. Within-document substantiation</w:t>
            </w:r>
          </w:p>
        </w:tc>
        <w:tc>
          <w:tcPr/>
          <w:p>
            <w:pPr>
              <w:pStyle w:val="Compact"/>
              <w:keepNext/>
              <w:spacing w:before="8" w:after="8" w:line="240" w:lineRule="auto"/>
              <w:ind w:firstLine="0" w:left="0" w:right="0"/>
              <w:jc w:val="left"/>
              <w:jc w:val="center"/>
            </w:pPr>
            <w:r>
              <w:rPr>
                <w:rFonts w:ascii="Calibri" w:hAnsi="Calibri"/>
                <w:sz w:val="16"/>
              </w:rPr>
              <w:t xml:space="preserve">AI disclosure frames and extracted AI activity claims within the same firm-year document set</w:t>
            </w:r>
          </w:p>
        </w:tc>
        <w:tc>
          <w:tcPr/>
          <w:p>
            <w:pPr>
              <w:pStyle w:val="Compact"/>
              <w:keepNext/>
              <w:spacing w:before="8" w:after="8" w:line="240" w:lineRule="auto"/>
              <w:ind w:firstLine="0" w:left="0" w:right="0"/>
              <w:jc w:val="left"/>
              <w:jc w:val="center"/>
            </w:pPr>
            <w:r>
              <w:rPr>
                <w:rFonts w:ascii="Calibri" w:hAnsi="Calibri"/>
                <w:sz w:val="16"/>
              </w:rPr>
              <w:t xml:space="preserve">Disclosure Intensity (D) versus Disclosed Substance (S); their gap is summarized by Decoupling (W)</w:t>
            </w:r>
          </w:p>
        </w:tc>
        <w:tc>
          <w:tcPr/>
          <w:p>
            <w:pPr>
              <w:pStyle w:val="Compact"/>
              <w:keepNext/>
              <w:spacing w:before="8" w:after="8" w:line="240" w:lineRule="auto"/>
              <w:ind w:firstLine="0" w:left="0" w:right="0"/>
              <w:jc w:val="left"/>
              <w:jc w:val="center"/>
            </w:pPr>
            <w:r>
              <w:rPr>
                <w:rFonts w:ascii="Calibri" w:hAnsi="Calibri"/>
                <w:sz w:val="16"/>
              </w:rPr>
              <w:t xml:space="preserve">Claims are more credible when extensive AI communication is matched by specific activities, deployed systems, named artifacts, and quantified outcomes. Large positive W identifies disclosure running ahead of disclosed substance.</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2. Cross-venue comparison</w:t>
            </w:r>
          </w:p>
        </w:tc>
        <w:tc>
          <w:tcPr/>
          <w:p>
            <w:pPr>
              <w:pStyle w:val="Compact"/>
              <w:keepNext/>
              <w:spacing w:before="8" w:after="8" w:line="240" w:lineRule="auto"/>
              <w:ind w:firstLine="0" w:left="0" w:right="0"/>
              <w:jc w:val="left"/>
              <w:jc w:val="center"/>
            </w:pPr>
            <w:r>
              <w:rPr>
                <w:rFonts w:ascii="Calibri" w:hAnsi="Calibri"/>
                <w:sz w:val="16"/>
              </w:rPr>
              <w:t xml:space="preserve">AI disclosures across voluntary earnings calls and statutory 10-K/10-Q filings within the same firm-year</w:t>
            </w:r>
          </w:p>
        </w:tc>
        <w:tc>
          <w:tcPr/>
          <w:p>
            <w:pPr>
              <w:pStyle w:val="Compact"/>
              <w:keepNext/>
              <w:spacing w:before="8" w:after="8" w:line="240" w:lineRule="auto"/>
              <w:ind w:firstLine="0" w:left="0" w:right="0"/>
              <w:jc w:val="left"/>
              <w:jc w:val="center"/>
            </w:pPr>
            <w:r>
              <w:rPr>
                <w:rFonts w:ascii="Calibri" w:hAnsi="Calibri"/>
                <w:sz w:val="16"/>
              </w:rPr>
              <w:t xml:space="preserve">Firm × fiscal-year fixed-effects comparison of activity composition and evidentiary grounding across communication venues</w:t>
            </w:r>
          </w:p>
        </w:tc>
        <w:tc>
          <w:tcPr/>
          <w:p>
            <w:pPr>
              <w:pStyle w:val="Compact"/>
              <w:keepNext/>
              <w:spacing w:before="8" w:after="8" w:line="240" w:lineRule="auto"/>
              <w:ind w:firstLine="0" w:left="0" w:right="0"/>
              <w:jc w:val="left"/>
              <w:jc w:val="center"/>
            </w:pPr>
            <w:r>
              <w:rPr>
                <w:rFonts w:ascii="Calibri" w:hAnsi="Calibri"/>
                <w:sz w:val="16"/>
              </w:rPr>
              <w:t xml:space="preserve">Evidentiary filtering under statutory exposure: claims carrying operational grounding in calls appear with less verifiable detail in formal filings.</w:t>
            </w:r>
          </w:p>
        </w:tc>
      </w:tr>
      <w:tr>
        <w:trPr>
          <w:cantSplit/>
        </w:trPr>
        <w:tc>
          <w:tcPr/>
          <w:p>
            <w:pPr>
              <w:pStyle w:val="Compact"/>
              <w:spacing w:before="8" w:after="8" w:line="240" w:lineRule="auto"/>
              <w:ind w:firstLine="0" w:left="0" w:right="0"/>
              <w:jc w:val="left"/>
              <w:jc w:val="center"/>
            </w:pPr>
            <w:r>
              <w:rPr>
                <w:rFonts w:ascii="Calibri" w:hAnsi="Calibri"/>
                <w:sz w:val="16"/>
              </w:rPr>
              <w:t xml:space="preserve">3. Regulatory-scrutiny response</w:t>
            </w:r>
          </w:p>
        </w:tc>
        <w:tc>
          <w:tcPr/>
          <w:p>
            <w:pPr>
              <w:pStyle w:val="Compact"/>
              <w:spacing w:before="8" w:after="8" w:line="240" w:lineRule="auto"/>
              <w:ind w:firstLine="0" w:left="0" w:right="0"/>
              <w:jc w:val="left"/>
              <w:jc w:val="center"/>
            </w:pPr>
            <w:r>
              <w:rPr>
                <w:rFonts w:ascii="Calibri" w:hAnsi="Calibri"/>
                <w:sz w:val="16"/>
              </w:rPr>
              <w:t xml:space="preserve">Firm disclosures before and after SEC AI-related comment letters, compared with control firms</w:t>
            </w:r>
          </w:p>
        </w:tc>
        <w:tc>
          <w:tcPr/>
          <w:p>
            <w:pPr>
              <w:pStyle w:val="Compact"/>
              <w:spacing w:before="8" w:after="8" w:line="240" w:lineRule="auto"/>
              <w:ind w:firstLine="0" w:left="0" w:right="0"/>
              <w:jc w:val="left"/>
              <w:jc w:val="center"/>
            </w:pPr>
            <w:r>
              <w:rPr>
                <w:rFonts w:ascii="Calibri" w:hAnsi="Calibri"/>
                <w:sz w:val="16"/>
              </w:rPr>
              <w:t xml:space="preserve">Event-study tracking of changes in disclosure, substance, and grounding following direct regulatory inquiry</w:t>
            </w:r>
          </w:p>
        </w:tc>
        <w:tc>
          <w:tcPr/>
          <w:p>
            <w:pPr>
              <w:pStyle w:val="Compact"/>
              <w:spacing w:before="8" w:after="8" w:line="240" w:lineRule="auto"/>
              <w:ind w:firstLine="0" w:left="0" w:right="0"/>
              <w:jc w:val="left"/>
              <w:jc w:val="center"/>
            </w:pPr>
            <w:r>
              <w:rPr>
                <w:rFonts w:ascii="Calibri" w:hAnsi="Calibri"/>
                <w:sz w:val="16"/>
              </w:rPr>
              <w:t xml:space="preserve">A credible response should increase specificity, substantiation, or governance rather than merely expand generic AI language after scrutiny.</w:t>
            </w:r>
          </w:p>
        </w:tc>
      </w:tr>
    </w:tbl>
    <w:bookmarkEnd w:id="61"/>
    <w:p/>
    <w:bookmarkStart w:id="63" w:name="where-disclosure-runs-ahead-of-substance"/>
    <w:p>
      <w:pPr>
        <w:pStyle w:val="Ttulo2"/>
      </w:pPr>
      <w:r>
        <w:t xml:space="preserve">4.1 Where disclosure runs ahead of substance</w:t>
      </w:r>
    </w:p>
    <w:p>
      <w:pPr>
        <w:pStyle w:val="FirstParagraph"/>
      </w:pPr>
      <w:r>
        <w:t xml:space="preserve">Does a firm’s disclosure volume keep pace with its concrete operational substance? Volume is Disclosure Intensity (</w:t>
      </w:r>
      <m:oMath>
        <m:r>
          <w:rPr>
            <w:sz w:val="22"/>
          </w:rPr>
          <m:t>D</m:t>
        </m:r>
      </m:oMath>
      <w:r>
        <w:t xml:space="preserve">: AI frames per thousand words); substance is Disclosed Substance (</w:t>
      </w:r>
      <m:oMath>
        <m:r>
          <w:rPr>
            <w:sz w:val="22"/>
          </w:rPr>
          <m:t>S</m:t>
        </m:r>
      </m:oMath>
      <w:r>
        <w:t xml:space="preserve">: log activity count weighted by AI Activity Grounding). The sample is 1,884 disclosing firm-years (475 S&amp;P 500 firms, 2021–2026, 2026 shown as year-to-date).</w:t>
      </w:r>
    </w:p>
    <w:p>
      <w:pPr>
        <w:pStyle w:val="Textoindependiente"/>
      </w:pPr>
      <w:r>
        <w:t xml:space="preserve">Decoupling (</w:t>
      </w:r>
      <m:oMath>
        <m:sSub>
          <m:e>
            <m:r>
              <w:rPr>
                <w:sz w:val="22"/>
              </w:rPr>
              <m:t>W</m:t>
            </m:r>
          </m:e>
          <m:sub>
            <m:r>
              <w:rPr>
                <w:sz w:val="22"/>
              </w:rPr>
              <m:t>i</m:t>
            </m:r>
            <m:r>
              <w:rPr>
                <w:sz w:val="22"/>
              </w:rPr>
              <m:t>t</m:t>
            </m:r>
          </m:sub>
        </m:sSub>
      </m:oMath>
      <w:r>
        <w:t xml:space="preserve">), the percentile-rank gap between Disclosure Intensity and Disclosed Substance, answers that question directly:</w:t>
      </w:r>
      <w:r>
        <w:t xml:space="preserve"> </w:t>
      </w:r>
      <m:oMath>
        <m:r>
          <w:rPr>
            <w:sz w:val="22"/>
          </w:rPr>
          <m:t>W</m:t>
        </m:r>
        <m:r>
          <m:rPr>
            <m:sty m:val="p"/>
          </m:rPr>
          <w:rPr>
            <w:sz w:val="22"/>
          </w:rPr>
          <m:t>=</m:t>
        </m:r>
        <m:r>
          <w:rPr>
            <w:sz w:val="22"/>
          </w:rPr>
          <m:t>0</m:t>
        </m:r>
      </m:oMath>
      <w:r>
        <w:t xml:space="preserve"> </w:t>
      </w:r>
      <w:r>
        <w:t xml:space="preserve">means talk and substance rank the same,</w:t>
      </w:r>
      <w:r>
        <w:t xml:space="preserve"> </w:t>
      </w:r>
      <m:oMath>
        <m:r>
          <w:rPr>
            <w:sz w:val="22"/>
          </w:rPr>
          <m:t>W</m:t>
        </m:r>
        <m:r>
          <m:rPr>
            <m:sty m:val="p"/>
          </m:rPr>
          <w:rPr>
            <w:sz w:val="22"/>
          </w:rPr>
          <m:t>&gt;</m:t>
        </m:r>
        <m:r>
          <w:rPr>
            <w:sz w:val="22"/>
          </w:rPr>
          <m:t>0</m:t>
        </m:r>
      </m:oMath>
      <w:r>
        <w:t xml:space="preserve"> </w:t>
      </w:r>
      <w:r>
        <w:t xml:space="preserve">means narrative runs ahead of grounded substance (</w:t>
      </w:r>
      <w:r>
        <w:t xml:space="preserve">“decoupling”</w:t>
      </w:r>
      <w:r>
        <w:t xml:space="preserve">), and</w:t>
      </w:r>
      <w:r>
        <w:t xml:space="preserve"> </w:t>
      </w:r>
      <m:oMath>
        <m:r>
          <w:rPr>
            <w:sz w:val="22"/>
          </w:rPr>
          <m:t>W</m:t>
        </m:r>
        <m:r>
          <m:rPr>
            <m:sty m:val="p"/>
          </m:rPr>
          <w:rPr>
            <w:sz w:val="22"/>
          </w:rPr>
          <m:t>&lt;</m:t>
        </m:r>
        <m:r>
          <w:rPr>
            <w:sz w:val="22"/>
          </w:rPr>
          <m:t>0</m:t>
        </m:r>
      </m:oMath>
      <w:r>
        <w:t xml:space="preserve"> </w:t>
      </w:r>
      <w:r>
        <w:t xml:space="preserve">means</w:t>
      </w:r>
      <w:r>
        <w:t xml:space="preserve"> </w:t>
      </w:r>
      <w:r>
        <w:t xml:space="preserve">“quiet substance.”</w:t>
      </w:r>
    </w:p>
    <w:p>
      <w:pPr>
        <w:keepNext/>
        <w:pStyle w:val="Textoindependiente"/>
      </w:pPr>
      <w:r>
        <w:t xml:space="preserve">The construct turns the ideas of organizational decoupling</w:t>
      </w:r>
      <w:r>
        <w:t xml:space="preserve"> </w:t>
      </w:r>
      <w:r>
        <w:t xml:space="preserve">(</w:t>
      </w:r>
      <w:hyperlink w:anchor="ref-meyer1977">
        <w:r>
          <w:rPr>
            <w:rStyle w:val="Hipervnculo"/>
          </w:rPr>
          <w:t xml:space="preserve">Meyer and Rowan 1977</w:t>
        </w:r>
      </w:hyperlink>
      <w:r>
        <w:t xml:space="preserve">;</w:t>
      </w:r>
      <w:r>
        <w:t xml:space="preserve"> </w:t>
      </w:r>
      <w:hyperlink w:anchor="ref-westphal1994">
        <w:r>
          <w:rPr>
            <w:rStyle w:val="Hipervnculo"/>
          </w:rPr>
          <w:t xml:space="preserve">Westphal and Zajac 1994</w:t>
        </w:r>
      </w:hyperlink>
      <w:r>
        <w:t xml:space="preserve">;</w:t>
      </w:r>
      <w:r>
        <w:t xml:space="preserve"> </w:t>
      </w:r>
      <w:hyperlink w:anchor="ref-bromley2012">
        <w:r>
          <w:rPr>
            <w:rStyle w:val="Hipervnculo"/>
          </w:rPr>
          <w:t xml:space="preserve">Bromley and Powell 2012</w:t>
        </w:r>
      </w:hyperlink>
      <w:r>
        <w:t xml:space="preserve">)</w:t>
      </w:r>
      <w:r>
        <w:t xml:space="preserve"> </w:t>
      </w:r>
      <w:r>
        <w:t xml:space="preserve">and symbolic disclosure</w:t>
      </w:r>
      <w:r>
        <w:t xml:space="preserve"> </w:t>
      </w:r>
      <w:r>
        <w:t xml:space="preserve">(</w:t>
      </w:r>
      <w:hyperlink w:anchor="ref-delmas2011">
        <w:r>
          <w:rPr>
            <w:rStyle w:val="Hipervnculo"/>
          </w:rPr>
          <w:t xml:space="preserve">Delmas and Burbano 2011</w:t>
        </w:r>
      </w:hyperlink>
      <w:r>
        <w:t xml:space="preserve">;</w:t>
      </w:r>
      <w:r>
        <w:t xml:space="preserve"> </w:t>
      </w:r>
      <w:hyperlink w:anchor="ref-lyon2015">
        <w:r>
          <w:rPr>
            <w:rStyle w:val="Hipervnculo"/>
          </w:rPr>
          <w:t xml:space="preserve">Lyon and Montgomery 2015</w:t>
        </w:r>
      </w:hyperlink>
      <w:r>
        <w:t xml:space="preserve">;</w:t>
      </w:r>
      <w:r>
        <w:t xml:space="preserve"> </w:t>
      </w:r>
      <w:hyperlink w:anchor="ref-elhajjar2025">
        <w:r>
          <w:rPr>
            <w:rStyle w:val="Hipervnculo"/>
          </w:rPr>
          <w:t xml:space="preserve">Elhajjar and Itani 2025</w:t>
        </w:r>
      </w:hyperlink>
      <w:r>
        <w:t xml:space="preserve">)</w:t>
      </w:r>
      <w:r>
        <w:t xml:space="preserve"> </w:t>
      </w:r>
      <w:r>
        <w:t xml:space="preserve">into something observable inside public filings: how much a firm talks about AI compared with the grounded operational activity it is willing to put on the record. Most firms land close to the diagonal where the two ranks are equal (</w:t>
      </w:r>
      <w:hyperlink w:anchor="fig-ds-alignment-scatter">
        <w:r>
          <w:rPr>
            <w:rStyle w:val="Hipervnculo"/>
          </w:rPr>
          <w:t xml:space="preserve">Figure 20</w:t>
        </w:r>
      </w:hyperlink>
      <w:r>
        <w:t xml:space="preserve">).</w:t>
      </w:r>
    </w:p>
    <w:tbl xmlns:a="http://schemas.openxmlformats.org/drawingml/2006/main" xmlns:pic="http://schemas.openxmlformats.org/drawingml/2006/picture">
      <w:tblPr>
        <w:tblStyle w:val="Table"/>
        <w:tblW w:type="pct" w:w="5000"/>
        <w:tblLayout w:type="fixed"/>
        <w:tblLook w:firstRow="0" w:lastRow="0" w:firstColumn="0" w:lastColumn="0" w:noHBand="0" w:noVBand="0" w:val="0000"/>
        <w:tblBorders>
          <w:top w:val="none"/>
          <w:left w:val="none"/>
          <w:bottom w:val="none"/>
          <w:right w:val="none"/>
          <w:insideH w:val="none"/>
          <w:insideV w:val="none"/>
        </w:tblBorders>
      </w:tblPr>
      <w:tblGrid>
        <w:gridCol w:w="7920"/>
      </w:tblGrid>
      <w:tr>
        <w:trPr>
          <w:cantSplit/>
        </w:trPr>
        <w:tc>
          <w:tcPr/>
          <w:bookmarkStart w:id="64" w:name="fig-ds-alignment-scatter"/>
          <w:p>
            <w:pPr>
              <w:pStyle w:val="Compact"/>
              <w:jc w:val="center"/>
              <w:ind w:firstLine="0" w:left="0" w:right="0"/>
            </w:pPr>
            <w:r>
              <w:drawing>
                <wp:inline>
                  <wp:extent cx="5760085" cy="4414726"/>
                  <wp:effectExtent b="0" l="0" r="0" t="0"/>
                  <wp:docPr descr="" title="" id="20" name="Picture"/>
                  <a:graphic>
                    <a:graphicData uri="http://schemas.openxmlformats.org/drawingml/2006/picture">
                      <pic:pic>
                        <pic:nvPicPr>
                          <pic:cNvPr descr="thesis_files/figure-docx/fig-ds-alignment-scatter-output-1.png" id="20" name="Picture"/>
                          <pic:cNvPicPr>
                            <a:picLocks noChangeArrowheads="1" noChangeAspect="1"/>
                          </pic:cNvPicPr>
                        </pic:nvPicPr>
                        <pic:blipFill>
                          <a:blip r:embed="rId41"/>
                          <a:stretch>
                            <a:fillRect/>
                          </a:stretch>
                        </pic:blipFill>
                        <pic:spPr bwMode="auto">
                          <a:xfrm>
                            <a:off x="0" y="0"/>
                            <a:ext cx="5760085" cy="4414726"/>
                          </a:xfrm>
                          <a:prstGeom prst="rect">
                            <a:avLst/>
                          </a:prstGeom>
                          <a:noFill/>
                          <a:ln w="9525">
                            <a:noFill/>
                            <a:headEnd/>
                            <a:tailEnd/>
                          </a:ln>
                        </pic:spPr>
                      </pic:pic>
                    </a:graphicData>
                  </a:graphic>
                </wp:inline>
              </w:drawing>
            </w:r>
          </w:p>
          <w:p>
            <w:pPr>
              <w:pStyle w:val="ImageCaption"/>
              <w:jc w:val="left"/>
              <w:spacing w:before="200"/>
              <w:ind w:firstLine="0" w:left="0" w:right="0"/>
            </w:pPr>
            <w:r>
              <w:t xml:space="preserve">Figure 20:</w:t>
            </w:r>
            <w:r>
              <w:t xml:space="preserve"> </w:t>
            </w:r>
            <w:r>
              <w:rPr>
                <w:rStyle w:val="CaptionText"/>
              </w:rPr>
              <w:t xml:space="preserve">Talk against substance: where firms rank on each, and where the two come apart, end of 2025.</w:t>
            </w:r>
            <w:r>
              <w:t xml:space="preserve"> </w:t>
            </w:r>
            <w:r>
              <w:rPr>
                <w:b w:val="0"/>
                <w:bCs w:val="0"/>
                <w:color w:val="595959"/>
              </w:rPr>
              <w:t xml:space="preserve">One point per firm in 2025, ranked that year on talk (</w:t>
            </w:r>
            <m:oMath>
              <m:r>
                <w:rPr>
                  <w:sz w:val="22"/>
                </w:rPr>
                <m:t>D</m:t>
              </m:r>
            </m:oMath>
            <w:r>
              <w:rPr>
                <w:b w:val="0"/>
                <w:bCs w:val="0"/>
                <w:color w:val="595959"/>
              </w:rPr>
              <w:t xml:space="preserve">) and grounded activity (</w:t>
            </w:r>
            <m:oMath>
              <m:r>
                <w:rPr>
                  <w:sz w:val="22"/>
                </w:rPr>
                <m:t>S</m:t>
              </m:r>
            </m:oMath>
            <w:r>
              <w:rPr>
                <w:b w:val="0"/>
                <w:bCs w:val="0"/>
                <w:color w:val="595959"/>
              </w:rPr>
              <w:t xml:space="preserve">) (</w:t>
            </w:r>
            <w:hyperlink w:anchor="appendix-a6">
              <w:r>
                <w:rPr>
                  <w:rStyle w:val="Hipervnculo"/>
                  <w:b w:val="0"/>
                  <w:bCs w:val="0"/>
                  <w:color w:val="595959"/>
                </w:rPr>
                <w:t xml:space="preserve">Appendix A.6</w:t>
              </w:r>
            </w:hyperlink>
            <w:r>
              <w:rPr>
                <w:b w:val="0"/>
                <w:bCs w:val="0"/>
                <w:color w:val="595959"/>
              </w:rPr>
              <w:t xml:space="preserve">). Colored points mark the top and bottom 5% decoupling (</w:t>
            </w:r>
            <m:oMath>
              <m:r>
                <w:rPr>
                  <w:sz w:val="22"/>
                </w:rPr>
                <m:t>W</m:t>
              </m:r>
            </m:oMath>
            <w:r>
              <w:rPr>
                <w:b w:val="0"/>
                <w:bCs w:val="0"/>
                <w:color w:val="595959"/>
              </w:rPr>
              <w:t xml:space="preserve">) tails of that year’s cross-section and the diagonal, each with five firms labeled; the cut shown in the legend is therefore the single-year percentile, slightly below the pooled-panel one. The flat band along the bottom is a tie: firms with no extracted AI activity all score zero substance.</w:t>
            </w:r>
          </w:p>
          <w:bookmarkEnd w:id="62"/>
        </w:tc>
      </w:tr>
    </w:tbl>
    <w:p>
      <w:pPr>
        <w:pStyle w:val="Textoindependiente"/>
      </w:pPr>
      <w:r>
        <w:t xml:space="preserve">They rank about as high on talk as on grounded activity, which is what you would hope to see. The firms that talk most are not the ones the measure flags: Vocal Substantives crowd the top-right corner, high on both, and sit near the line. What</w:t>
      </w:r>
      <w:r>
        <w:t xml:space="preserve"> </w:t>
      </w:r>
      <m:oMath>
        <m:r>
          <w:rPr>
            <w:sz w:val="22"/>
          </w:rPr>
          <m:t>W</m:t>
        </m:r>
      </m:oMath>
      <w:r>
        <w:t xml:space="preserve"> </w:t>
      </w:r>
      <w:r>
        <w:t xml:space="preserve">reads is the distance from it. Below the line, the narrative has run ahead of anything the filings can show; above it, the activity is there and the firm has barely mentioned it.</w:t>
      </w:r>
    </w:p>
    <w:p>
      <w:pPr>
        <w:keepNext/>
        <w:pStyle w:val="Textoindependiente"/>
      </w:pPr>
      <w:r>
        <w:t xml:space="preserve">One caution about how</w:t>
      </w:r>
      <w:r>
        <w:t xml:space="preserve"> </w:t>
      </w:r>
      <m:oMath>
        <m:r>
          <w:rPr>
            <w:sz w:val="22"/>
          </w:rPr>
          <m:t>W</m:t>
        </m:r>
      </m:oMath>
      <w:r>
        <w:t xml:space="preserve"> </w:t>
      </w:r>
      <w:r>
        <w:t xml:space="preserve">should be read: the ranks are renormalized every cycle, so the cross-sectional mean sits near zero in every year by construction. Averaging</w:t>
      </w:r>
      <w:r>
        <w:t xml:space="preserve"> </w:t>
      </w:r>
      <m:oMath>
        <m:r>
          <w:rPr>
            <w:sz w:val="22"/>
          </w:rPr>
          <m:t>W</m:t>
        </m:r>
      </m:oMath>
      <w:r>
        <w:t xml:space="preserve"> </w:t>
      </w:r>
      <w:r>
        <w:t xml:space="preserve">over the years therefore cannot say whether the market as a whole became more decoupled or less, and comparing relative percentiles across years does not answer that question either.</w:t>
      </w:r>
      <w:r>
        <w:t xml:space="preserve"> </w:t>
      </w:r>
      <w:hyperlink w:anchor="fig-ds-alignment-scatter">
        <w:r>
          <w:rPr>
            <w:rStyle w:val="Hipervnculo"/>
          </w:rPr>
          <w:t xml:space="preserve">Figure 20</w:t>
        </w:r>
      </w:hyperlink>
      <w:r>
        <w:t xml:space="preserve"> </w:t>
      </w:r>
      <w:r>
        <w:t xml:space="preserve">is about sorting: which firms sit where against their peers inside one reporting cycle. The market-wide question is answered by the widening distance between expanding activity volume and diluted grounding over the 2021–2026 panel (</w:t>
      </w:r>
      <w:hyperlink w:anchor="fig-volume-vs-grounding">
        <w:r>
          <w:rPr>
            <w:rStyle w:val="Hipervnculo"/>
          </w:rPr>
          <w:t xml:space="preserve">Figure 14</w:t>
        </w:r>
      </w:hyperlink>
      <w:r>
        <w:t xml:space="preserve">).</w:t>
      </w:r>
    </w:p>
    <w:tbl xmlns:a="http://schemas.openxmlformats.org/drawingml/2006/main" xmlns:pic="http://schemas.openxmlformats.org/drawingml/2006/picture">
      <w:tblPr>
        <w:tblStyle w:val="Table"/>
        <w:tblW w:type="pct" w:w="5000"/>
        <w:tblLayout w:type="fixed"/>
        <w:tblLook w:firstRow="0" w:lastRow="0" w:firstColumn="0" w:lastColumn="0" w:noHBand="0" w:noVBand="0" w:val="0000"/>
        <w:tblBorders>
          <w:top w:val="none"/>
          <w:left w:val="none"/>
          <w:bottom w:val="none"/>
          <w:right w:val="none"/>
          <w:insideH w:val="none"/>
          <w:insideV w:val="none"/>
        </w:tblBorders>
      </w:tblPr>
      <w:tblGrid>
        <w:gridCol w:w="7920"/>
      </w:tblGrid>
      <w:tr>
        <w:trPr>
          <w:cantSplit/>
        </w:trPr>
        <w:tc>
          <w:tcPr/>
          <w:bookmarkStart w:id="65" w:name="fig-ds-dumbbell"/>
          <w:p>
            <w:pPr>
              <w:pStyle w:val="Compact"/>
              <w:jc w:val="center"/>
              <w:ind w:firstLine="0" w:left="0" w:right="0"/>
            </w:pPr>
            <w:r>
              <w:drawing>
                <wp:inline>
                  <wp:extent cx="5760085" cy="3159249"/>
                  <wp:effectExtent b="0" l="0" r="0" t="0"/>
                  <wp:docPr descr="" title="" id="21" name="Picture"/>
                  <a:graphic>
                    <a:graphicData uri="http://schemas.openxmlformats.org/drawingml/2006/picture">
                      <pic:pic>
                        <pic:nvPicPr>
                          <pic:cNvPr descr="thesis_files/figure-docx/fig-ds-dumbbell-output-1.png" id="21" name="Picture"/>
                          <pic:cNvPicPr>
                            <a:picLocks noChangeArrowheads="1" noChangeAspect="1"/>
                          </pic:cNvPicPr>
                        </pic:nvPicPr>
                        <pic:blipFill>
                          <a:blip r:embed="rId42"/>
                          <a:stretch>
                            <a:fillRect/>
                          </a:stretch>
                        </pic:blipFill>
                        <pic:spPr bwMode="auto">
                          <a:xfrm>
                            <a:off x="0" y="0"/>
                            <a:ext cx="5760085" cy="3159249"/>
                          </a:xfrm>
                          <a:prstGeom prst="rect">
                            <a:avLst/>
                          </a:prstGeom>
                          <a:noFill/>
                          <a:ln w="9525">
                            <a:noFill/>
                            <a:headEnd/>
                            <a:tailEnd/>
                          </a:ln>
                        </pic:spPr>
                      </pic:pic>
                    </a:graphicData>
                  </a:graphic>
                </wp:inline>
              </w:drawing>
            </w:r>
          </w:p>
          <w:p>
            <w:pPr>
              <w:pStyle w:val="ImageCaption"/>
              <w:jc w:val="left"/>
              <w:spacing w:before="200"/>
              <w:ind w:firstLine="0" w:left="0" w:right="0"/>
            </w:pPr>
            <w:r>
              <w:t xml:space="preserve">Figure 21:</w:t>
            </w:r>
            <w:r>
              <w:t xml:space="preserve"> </w:t>
            </w:r>
            <w:r>
              <w:rPr>
                <w:rStyle w:val="CaptionText"/>
              </w:rPr>
              <w:t xml:space="preserve">Disclosure intensity and disclosed substance for selected firms, with the gap between them, end of 2025.</w:t>
            </w:r>
            <w:r>
              <w:t xml:space="preserve"> </w:t>
            </w:r>
            <w:r>
              <w:rPr>
                <w:b w:val="0"/>
                <w:bCs w:val="0"/>
                <w:color w:val="595959"/>
              </w:rPr>
              <w:t xml:space="preserve">Each line joins a firm’s percentile ranks of disclosure intensity (</w:t>
            </w:r>
            <m:oMath>
              <m:r>
                <w:rPr>
                  <w:sz w:val="22"/>
                </w:rPr>
                <m:t>D</m:t>
              </m:r>
            </m:oMath>
            <w:r>
              <w:rPr>
                <w:b w:val="0"/>
                <w:bCs w:val="0"/>
                <w:color w:val="595959"/>
              </w:rPr>
              <w:t xml:space="preserve">) and disclosed substance (</w:t>
            </w:r>
            <m:oMath>
              <m:r>
                <w:rPr>
                  <w:sz w:val="22"/>
                </w:rPr>
                <m:t>S</m:t>
              </m:r>
            </m:oMath>
            <w:r>
              <w:rPr>
                <w:b w:val="0"/>
                <w:bCs w:val="0"/>
                <w:color w:val="595959"/>
              </w:rPr>
              <w:t xml:space="preserve">); the gap between the two endpoints is</w:t>
            </w:r>
            <w:r>
              <w:rPr>
                <w:b w:val="0"/>
                <w:bCs w:val="0"/>
                <w:color w:val="595959"/>
              </w:rPr>
              <w:t xml:space="preserve"> </w:t>
            </w:r>
            <m:oMath>
              <m:r>
                <w:rPr>
                  <w:sz w:val="22"/>
                </w:rPr>
                <m:t>W</m:t>
              </m:r>
            </m:oMath>
            <w:r>
              <w:rPr>
                <w:b w:val="0"/>
                <w:bCs w:val="0"/>
                <w:color w:val="595959"/>
              </w:rPr>
              <w:t xml:space="preserve">. Cases show the three largest positive, negative, and near-zero gaps among firms in the upper half of</w:t>
            </w:r>
            <w:r>
              <w:rPr>
                <w:b w:val="0"/>
                <w:bCs w:val="0"/>
                <w:color w:val="595959"/>
              </w:rPr>
              <w:t xml:space="preserve"> </w:t>
            </w:r>
            <m:oMath>
              <m:r>
                <w:rPr>
                  <w:sz w:val="22"/>
                </w:rPr>
                <m:t>D</m:t>
              </m:r>
            </m:oMath>
            <w:r>
              <w:rPr>
                <w:b w:val="0"/>
                <w:bCs w:val="0"/>
                <w:color w:val="595959"/>
              </w:rPr>
              <w:t xml:space="preserve"> </w:t>
            </w:r>
            <w:r>
              <w:rPr>
                <w:b w:val="0"/>
                <w:bCs w:val="0"/>
                <w:color w:val="595959"/>
              </w:rPr>
              <w:t xml:space="preserve">in 2025.</w:t>
            </w:r>
          </w:p>
          <w:bookmarkEnd w:id="63"/>
        </w:tc>
      </w:tr>
    </w:tbl>
    <w:bookmarkStart w:id="66" w:name="tbl-decoupling-excerpts"/>
    <w:p>
      <w:pPr>
        <w:keepNext/>
        <w:pStyle w:val="ImageCaption"/>
        <w:jc w:val="left"/>
        <w:spacing w:before="200"/>
        <w:ind w:firstLine="0" w:left="0" w:right="0"/>
      </w:pPr>
      <w:r>
        <w:t xml:space="preserve">Table 11:</w:t>
      </w:r>
      <w:r>
        <w:t xml:space="preserve"> </w:t>
      </w:r>
      <w:r>
        <w:rPr>
          <w:rStyle w:val="CaptionText"/>
        </w:rPr>
        <w:t xml:space="preserve">What the two extremes read like: one firm from each end of the gap.</w:t>
      </w:r>
    </w:p>
    <w:tbl>
      <w:tblPr>
        <w:tblStyle w:val="Table"/>
        <w:tblW w:type="auto" w:w="0"/>
        <w:jc w:val="center"/>
        <w:tblLook w:firstRow="1" w:lastRow="0" w:firstColumn="0" w:lastColumn="0" w:noHBand="0" w:noVBand="0" w:val="0020"/>
        <w:tblBorders>
          <w:top w:val="single" w:sz="8" w:space="0" w:color="0F172A"/>
          <w:bottom w:val="single" w:sz="8" w:space="0" w:color="0F172A"/>
          <w:left w:val="none"/>
          <w:right w:val="none"/>
          <w:insideH w:val="single" w:sz="4" w:space="0" w:color="E2E8F0"/>
          <w:insideV w:val="none"/>
        </w:tblBorders>
        <w:tblCellMar>
          <w:top w:w="22" w:type="dxa"/>
          <w:bottom w:w="22" w:type="dxa"/>
          <w:left w:w="40" w:type="dxa"/>
          <w:right w:w="40" w:type="dxa"/>
        </w:tblCellMar>
      </w:tblPr>
      <w:tblGrid>
        <w:gridCol w:w="1584"/>
        <w:gridCol w:w="1584"/>
        <w:gridCol w:w="1584"/>
        <w:gridCol w:w="1584"/>
        <w:gridCol w:w="1584"/>
      </w:tblGrid>
      <w:tr>
        <w:trPr>
          <w:tblHeader w:val="on"/>
          <w:cantSplit/>
          <w:tblHeader/>
        </w:trPr>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5"/>
              </w:rPr>
              <w:t xml:space="preserve">Pole</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5"/>
              </w:rPr>
              <w:t xml:space="preserve">Firm</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5"/>
              </w:rPr>
              <w:t xml:space="preserve">Source</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5"/>
              </w:rPr>
              <w:t xml:space="preserve">Excerpt</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5"/>
              </w:rPr>
              <w:t xml:space="preserve">What the extraction reads</w:t>
            </w:r>
          </w:p>
        </w:tc>
      </w:tr>
      <w:tr>
        <w:trPr>
          <w:cantSplit/>
        </w:trPr>
        <w:tc>
          <w:tcPr/>
          <w:p>
            <w:pPr>
              <w:pStyle w:val="Compact"/>
              <w:keepNext/>
              <w:spacing w:before="8" w:after="8" w:line="240" w:lineRule="auto"/>
              <w:ind w:firstLine="0" w:left="0" w:right="0"/>
              <w:jc w:val="left"/>
              <w:jc w:val="center"/>
            </w:pPr>
            <w:r>
              <w:rPr>
                <w:rFonts w:ascii="Calibri" w:hAnsi="Calibri"/>
                <w:sz w:val="15"/>
              </w:rPr>
              <w:t xml:space="preserve">Talk ahead of substance</w:t>
            </w:r>
          </w:p>
        </w:tc>
        <w:tc>
          <w:tcPr/>
          <w:p>
            <w:pPr>
              <w:pStyle w:val="Compact"/>
              <w:keepNext/>
              <w:spacing w:before="8" w:after="8" w:line="240" w:lineRule="auto"/>
              <w:ind w:firstLine="0" w:left="0" w:right="0"/>
              <w:jc w:val="left"/>
              <w:jc w:val="center"/>
            </w:pPr>
            <w:r>
              <w:rPr>
                <w:rFonts w:ascii="Calibri" w:hAnsi="Calibri"/>
                <w:sz w:val="15"/>
              </w:rPr>
              <w:t xml:space="preserve">NWL</w:t>
            </w:r>
          </w:p>
        </w:tc>
        <w:tc>
          <w:tcPr/>
          <w:p>
            <w:pPr>
              <w:pStyle w:val="Compact"/>
              <w:keepNext/>
              <w:spacing w:before="8" w:after="8" w:line="240" w:lineRule="auto"/>
              <w:ind w:firstLine="0" w:left="0" w:right="0"/>
              <w:jc w:val="left"/>
              <w:jc w:val="center"/>
            </w:pPr>
            <w:r>
              <w:rPr>
                <w:rFonts w:ascii="Calibri" w:hAnsi="Calibri"/>
                <w:sz w:val="15"/>
              </w:rPr>
              <w:t xml:space="preserve">10-K, 2025</w:t>
            </w:r>
          </w:p>
        </w:tc>
        <w:tc>
          <w:tcPr/>
          <w:p>
            <w:pPr>
              <w:pStyle w:val="Compact"/>
              <w:keepNext/>
              <w:spacing w:before="8" w:after="8" w:line="240" w:lineRule="auto"/>
              <w:ind w:firstLine="0" w:left="0" w:right="0"/>
              <w:jc w:val="left"/>
              <w:jc w:val="center"/>
            </w:pPr>
            <w:r>
              <w:rPr>
                <w:rFonts w:ascii="Calibri" w:hAnsi="Calibri"/>
                <w:sz w:val="15"/>
              </w:rPr>
              <w:t xml:space="preserve">“The Company may use artificial intelligence in its business, and challenges with properly managing its use could result in reputational harm, competitive harm, and legal liability.”</w:t>
            </w:r>
          </w:p>
        </w:tc>
        <w:tc>
          <w:tcPr/>
          <w:p>
            <w:pPr>
              <w:pStyle w:val="Compact"/>
              <w:keepNext/>
              <w:spacing w:before="8" w:after="8" w:line="240" w:lineRule="auto"/>
              <w:ind w:firstLine="0" w:left="0" w:right="0"/>
              <w:jc w:val="left"/>
              <w:jc w:val="center"/>
            </w:pPr>
            <w:r>
              <w:rPr>
                <w:rFonts w:ascii="Calibri" w:hAnsi="Calibri"/>
                <w:sz w:val="15"/>
              </w:rPr>
              <w:t xml:space="preserve">No activity: a stated possibility, no system, stage or result</w:t>
            </w:r>
          </w:p>
        </w:tc>
      </w:tr>
      <w:tr>
        <w:trPr>
          <w:cantSplit/>
        </w:trPr>
        <w:tc>
          <w:tcPr/>
          <w:p>
            <w:pPr>
              <w:pStyle w:val="Compact"/>
              <w:keepNext/>
              <w:spacing w:before="8" w:after="8" w:line="240" w:lineRule="auto"/>
              <w:ind w:firstLine="0" w:left="0" w:right="0"/>
              <w:jc w:val="left"/>
              <w:jc w:val="center"/>
            </w:pPr>
            <w:r>
              <w:rPr>
                <w:rFonts w:ascii="Calibri" w:hAnsi="Calibri"/>
                <w:sz w:val="15"/>
              </w:rPr>
              <w:t xml:space="preserve">Aligned</w:t>
            </w:r>
          </w:p>
        </w:tc>
        <w:tc>
          <w:tcPr/>
          <w:p>
            <w:pPr>
              <w:pStyle w:val="Compact"/>
              <w:keepNext/>
              <w:spacing w:before="8" w:after="8" w:line="240" w:lineRule="auto"/>
              <w:ind w:firstLine="0" w:left="0" w:right="0"/>
              <w:jc w:val="left"/>
              <w:jc w:val="center"/>
            </w:pPr>
            <w:r>
              <w:rPr>
                <w:rFonts w:ascii="Calibri" w:hAnsi="Calibri"/>
                <w:sz w:val="15"/>
              </w:rPr>
              <w:t xml:space="preserve">CNC</w:t>
            </w:r>
          </w:p>
        </w:tc>
        <w:tc>
          <w:tcPr/>
          <w:p>
            <w:pPr>
              <w:pStyle w:val="Compact"/>
              <w:keepNext/>
              <w:spacing w:before="8" w:after="8" w:line="240" w:lineRule="auto"/>
              <w:ind w:firstLine="0" w:left="0" w:right="0"/>
              <w:jc w:val="left"/>
              <w:jc w:val="center"/>
            </w:pPr>
            <w:r>
              <w:rPr>
                <w:rFonts w:ascii="Calibri" w:hAnsi="Calibri"/>
                <w:sz w:val="15"/>
              </w:rPr>
              <w:t xml:space="preserve">DEF 14A, 2025</w:t>
            </w:r>
          </w:p>
        </w:tc>
        <w:tc>
          <w:tcPr/>
          <w:p>
            <w:pPr>
              <w:pStyle w:val="Compact"/>
              <w:keepNext/>
              <w:spacing w:before="8" w:after="8" w:line="240" w:lineRule="auto"/>
              <w:ind w:firstLine="0" w:left="0" w:right="0"/>
              <w:jc w:val="left"/>
              <w:jc w:val="center"/>
            </w:pPr>
            <w:r>
              <w:rPr>
                <w:rFonts w:ascii="Calibri" w:hAnsi="Calibri"/>
                <w:sz w:val="15"/>
              </w:rPr>
              <w:t xml:space="preserve">“We are deploying AI within our provider contracting operations to reduce the manual labor associated with configuring and maintaining contracts.”</w:t>
            </w:r>
          </w:p>
        </w:tc>
        <w:tc>
          <w:tcPr/>
          <w:p>
            <w:pPr>
              <w:pStyle w:val="Compact"/>
              <w:keepNext/>
              <w:spacing w:before="8" w:after="8" w:line="240" w:lineRule="auto"/>
              <w:ind w:firstLine="0" w:left="0" w:right="0"/>
              <w:jc w:val="left"/>
              <w:jc w:val="center"/>
            </w:pPr>
            <w:r>
              <w:rPr>
                <w:rFonts w:ascii="Calibri" w:hAnsi="Calibri"/>
                <w:sz w:val="15"/>
              </w:rPr>
              <w:t xml:space="preserve">Activity in a named operation, deployed, no result reported</w:t>
            </w:r>
          </w:p>
        </w:tc>
      </w:tr>
      <w:tr>
        <w:trPr>
          <w:cantSplit/>
        </w:trPr>
        <w:tc>
          <w:tcPr/>
          <w:p>
            <w:pPr>
              <w:pStyle w:val="Compact"/>
              <w:spacing w:before="8" w:after="8" w:line="240" w:lineRule="auto"/>
              <w:ind w:firstLine="0" w:left="0" w:right="0"/>
              <w:jc w:val="left"/>
              <w:jc w:val="center"/>
            </w:pPr>
            <w:r>
              <w:rPr>
                <w:rFonts w:ascii="Calibri" w:hAnsi="Calibri"/>
                <w:sz w:val="15"/>
              </w:rPr>
              <w:t xml:space="preserve">Substance ahead of talk</w:t>
            </w:r>
          </w:p>
        </w:tc>
        <w:tc>
          <w:tcPr/>
          <w:p>
            <w:pPr>
              <w:pStyle w:val="Compact"/>
              <w:spacing w:before="8" w:after="8" w:line="240" w:lineRule="auto"/>
              <w:ind w:firstLine="0" w:left="0" w:right="0"/>
              <w:jc w:val="left"/>
              <w:jc w:val="center"/>
            </w:pPr>
            <w:r>
              <w:rPr>
                <w:rFonts w:ascii="Calibri" w:hAnsi="Calibri"/>
                <w:sz w:val="15"/>
              </w:rPr>
              <w:t xml:space="preserve">AON</w:t>
            </w:r>
          </w:p>
        </w:tc>
        <w:tc>
          <w:tcPr/>
          <w:p>
            <w:pPr>
              <w:pStyle w:val="Compact"/>
              <w:spacing w:before="8" w:after="8" w:line="240" w:lineRule="auto"/>
              <w:ind w:firstLine="0" w:left="0" w:right="0"/>
              <w:jc w:val="left"/>
              <w:jc w:val="center"/>
            </w:pPr>
            <w:r>
              <w:rPr>
                <w:rFonts w:ascii="Calibri" w:hAnsi="Calibri"/>
                <w:sz w:val="15"/>
              </w:rPr>
              <w:t xml:space="preserve">DEF 14A, 2026</w:t>
            </w:r>
          </w:p>
        </w:tc>
        <w:tc>
          <w:tcPr/>
          <w:p>
            <w:pPr>
              <w:pStyle w:val="Compact"/>
              <w:spacing w:before="8" w:after="8" w:line="240" w:lineRule="auto"/>
              <w:ind w:firstLine="0" w:left="0" w:right="0"/>
              <w:jc w:val="left"/>
              <w:jc w:val="center"/>
            </w:pPr>
            <w:r>
              <w:rPr>
                <w:rFonts w:ascii="Calibri" w:hAnsi="Calibri"/>
                <w:sz w:val="15"/>
              </w:rPr>
              <w:t xml:space="preserve">“Deploy AI and advanced analytics to transform data into real-time, actionable insights and provide clients with digitally-enabled, consistently excellent service through our global Aon Business Services platform.”</w:t>
            </w:r>
          </w:p>
        </w:tc>
        <w:tc>
          <w:tcPr/>
          <w:p>
            <w:pPr>
              <w:pStyle w:val="Compact"/>
              <w:spacing w:before="8" w:after="8" w:line="240" w:lineRule="auto"/>
              <w:ind w:firstLine="0" w:left="0" w:right="0"/>
              <w:jc w:val="left"/>
              <w:jc w:val="center"/>
            </w:pPr>
            <w:r>
              <w:rPr>
                <w:rFonts w:ascii="Calibri" w:hAnsi="Calibri"/>
                <w:sz w:val="15"/>
              </w:rPr>
              <w:t xml:space="preserve">Named platform, deployed stage, customer-facing</w:t>
            </w:r>
          </w:p>
        </w:tc>
      </w:tr>
    </w:tbl>
    <w:bookmarkEnd w:id="64"/>
    <w:p>
      <w:pPr>
        <w:pStyle w:val="FigureNote"/>
        <w:ind w:firstLine="0" w:left="0" w:right="0"/>
        <w:spacing w:before="0" w:after="120"/>
      </w:pPr>
      <w:r>
        <w:rPr>
          <w:i/>
          <w:iCs/>
        </w:rPr>
        <w:t xml:space="preserve">Notes:</w:t>
      </w:r>
      <w:r>
        <w:t xml:space="preserve"> </w:t>
      </w:r>
      <w:r>
        <w:t xml:space="preserve">Representative excerpts illustrating the poles of decoupling (</w:t>
      </w:r>
      <m:oMath>
        <m:r>
          <w:rPr>
            <w:sz w:val="22"/>
          </w:rPr>
          <m:t>W</m:t>
        </m:r>
      </m:oMath>
      <w:r>
        <w:t xml:space="preserve">) from</w:t>
      </w:r>
      <w:r>
        <w:t xml:space="preserve"> </w:t>
      </w:r>
      <w:hyperlink w:anchor="fig-ds-dumbbell">
        <w:r>
          <w:rPr>
            <w:rStyle w:val="Hipervnculo"/>
          </w:rPr>
          <w:t xml:space="preserve">Figure 21</w:t>
        </w:r>
      </w:hyperlink>
      <w:r>
        <w:t xml:space="preserve"> </w:t>
      </w:r>
      <w:r>
        <w:t xml:space="preserve">among high-intensity disclosers, contrasting boilerplate possibilities against grounded deployments.</w:t>
      </w:r>
    </w:p>
    <w:p>
      <w:pPr>
        <w:pStyle w:val="Textoindependiente"/>
      </w:pPr>
      <w:r>
        <w:t xml:space="preserve">Firms that talk about AI at comparable intensity end up far apart on substance (</w:t>
      </w:r>
      <w:hyperlink w:anchor="fig-ds-dumbbell">
        <w:r>
          <w:rPr>
            <w:rStyle w:val="Hipervnculo"/>
          </w:rPr>
          <w:t xml:space="preserve">Figure 21</w:t>
        </w:r>
      </w:hyperlink>
      <w:r>
        <w:t xml:space="preserve">). Pooled over the 2021–2026 panel,</w:t>
      </w:r>
      <w:r>
        <w:t xml:space="preserve"> </w:t>
      </w:r>
      <m:oMath>
        <m:r>
          <w:rPr>
            <w:sz w:val="22"/>
          </w:rPr>
          <m:t>W</m:t>
        </m:r>
      </m:oMath>
      <w:r>
        <w:t xml:space="preserve"> </w:t>
      </w:r>
      <w:r>
        <w:t xml:space="preserve">is widely dispersed (</w:t>
      </w:r>
      <m:oMath>
        <m:r>
          <m:rPr>
            <m:nor/>
            <m:sty m:val="p"/>
          </m:rPr>
          <w:rPr>
            <w:sz w:val="22"/>
          </w:rPr>
          <m:t>standard deviation</m:t>
        </m:r>
        <m:r>
          <m:rPr>
            <m:sty m:val="p"/>
          </m:rPr>
          <w:rPr>
            <w:sz w:val="22"/>
          </w:rPr>
          <m:t>=</m:t>
        </m:r>
      </m:oMath>
      <w:r>
        <w:t xml:space="preserve"> </w:t>
      </w:r>
      <w:r>
        <w:t xml:space="preserve">0.23), with 95 firm-years in the decoupled tail at the pooled 95th percentile (</w:t>
      </w:r>
      <m:oMath>
        <m:r>
          <w:rPr>
            <w:sz w:val="22"/>
          </w:rPr>
          <m:t>W</m:t>
        </m:r>
        <m:r>
          <m:rPr>
            <m:sty m:val="p"/>
          </m:rPr>
          <w:rPr>
            <w:sz w:val="22"/>
          </w:rPr>
          <m:t>≥</m:t>
        </m:r>
      </m:oMath>
      <w:r>
        <w:t xml:space="preserve"> </w:t>
      </w:r>
      <w:r>
        <w:t xml:space="preserve">0.39). These firms dedicate substantial narrative volume to AI while disclosing minimal verifiable operational substance, combining top-quintile disclosure intensity with bottom-quintile substantive grounding. This divergence represents a durable reporting posture rather than idiosyncratic annual noise, persisting year-over-year at a Spearman</w:t>
      </w:r>
      <w:r>
        <w:t xml:space="preserve"> </w:t>
      </w:r>
      <m:oMath>
        <m:r>
          <w:rPr>
            <w:sz w:val="22"/>
          </w:rPr>
          <m:t>ρ</m:t>
        </m:r>
        <m:r>
          <m:rPr>
            <m:sty m:val="p"/>
          </m:rPr>
          <w:rPr>
            <w:sz w:val="22"/>
          </w:rPr>
          <m:t>=</m:t>
        </m:r>
      </m:oMath>
      <w:r>
        <w:t xml:space="preserve"> </w:t>
      </w:r>
      <w:r>
        <w:t xml:space="preserve">+0.599 (</w:t>
      </w:r>
      <w:hyperlink w:anchor="appendix-c2">
        <w:r>
          <w:rPr>
            <w:rStyle w:val="Hipervnculo"/>
          </w:rPr>
          <w:t xml:space="preserve">Appendix C.2</w:t>
        </w:r>
      </w:hyperlink>
      <w:r>
        <w:t xml:space="preserve">).</w:t>
      </w:r>
    </w:p>
    <w:bookmarkEnd w:id="65"/>
    <w:bookmarkStart w:id="67" w:name="what-changes-from-filing-to-call"/>
    <w:p>
      <w:pPr>
        <w:pStyle w:val="Ttulo2"/>
      </w:pPr>
      <w:r>
        <w:t xml:space="preserve">4.2 What changes from filing to call</w:t>
      </w:r>
    </w:p>
    <w:p>
      <w:pPr>
        <w:pStyle w:val="FirstParagraph"/>
      </w:pPr>
      <w:r>
        <w:t xml:space="preserve">A lasting decoupling raises a further question: what happens when the same firm discusses AI in two venues carrying very different legal liability.</w:t>
      </w:r>
    </w:p>
    <w:p>
      <w:pPr>
        <w:pStyle w:val="Textoindependiente"/>
      </w:pPr>
      <w:r>
        <w:t xml:space="preserve">Holding the firm and the year fixed isolates that comparison. The design is a firm × fiscal-year fixed effect (</w:t>
      </w:r>
      <m:oMath>
        <m:sSub>
          <m:e>
            <m:r>
              <w:rPr>
                <w:sz w:val="22"/>
              </w:rPr>
              <m:t>α</m:t>
            </m:r>
          </m:e>
          <m:sub>
            <m:r>
              <w:rPr>
                <w:sz w:val="22"/>
              </w:rPr>
              <m:t>i</m:t>
            </m:r>
            <m:r>
              <m:rPr>
                <m:sty m:val="p"/>
              </m:rPr>
              <w:rPr>
                <w:sz w:val="22"/>
              </w:rPr>
              <m:t>,</m:t>
            </m:r>
            <m:r>
              <w:rPr>
                <w:sz w:val="22"/>
              </w:rPr>
              <m:t>t</m:t>
            </m:r>
          </m:sub>
        </m:sSub>
      </m:oMath>
      <w:r>
        <w:t xml:space="preserve">) over 790 balanced cells (285 firms) with at least three disclosed AI activities in each channel:</w:t>
      </w:r>
    </w:p>
    <w:p>
      <w:pPr>
        <w:pStyle w:val="Textoindependiente"/>
      </w:pPr>
      <m:oMathPara>
        <m:oMathParaPr>
          <m:jc m:val="center"/>
        </m:oMathParaPr>
        <m:oMath>
          <m:sSub>
            <m:e>
              <m:r>
                <w:rPr>
                  <w:sz w:val="22"/>
                </w:rPr>
                <m:t>Y</m:t>
              </m:r>
            </m:e>
            <m:sub>
              <m:r>
                <w:rPr>
                  <w:sz w:val="22"/>
                </w:rPr>
                <m:t>i</m:t>
              </m:r>
              <m:r>
                <m:rPr>
                  <m:sty m:val="p"/>
                </m:rPr>
                <w:rPr>
                  <w:sz w:val="22"/>
                </w:rPr>
                <m:t>,</m:t>
              </m:r>
              <m:r>
                <w:rPr>
                  <w:sz w:val="22"/>
                </w:rPr>
                <m:t>t</m:t>
              </m:r>
              <m:r>
                <m:rPr>
                  <m:sty m:val="p"/>
                </m:rPr>
                <w:rPr>
                  <w:sz w:val="22"/>
                </w:rPr>
                <m:t>,</m:t>
              </m:r>
              <m:r>
                <m:rPr>
                  <m:nor/>
                  <m:sty m:val="p"/>
                </m:rPr>
                <w:rPr>
                  <w:sz w:val="22"/>
                </w:rPr>
                <m:t>venue</m:t>
              </m:r>
            </m:sub>
          </m:sSub>
          <m:r>
            <m:rPr>
              <m:sty m:val="p"/>
            </m:rPr>
            <w:rPr>
              <w:sz w:val="22"/>
            </w:rPr>
            <m:t>=</m:t>
          </m:r>
          <m:sSub>
            <m:e>
              <m:r>
                <w:rPr>
                  <w:sz w:val="22"/>
                </w:rPr>
                <m:t>α</m:t>
              </m:r>
            </m:e>
            <m:sub>
              <m:r>
                <w:rPr>
                  <w:sz w:val="22"/>
                </w:rPr>
                <m:t>i</m:t>
              </m:r>
              <m:r>
                <m:rPr>
                  <m:sty m:val="p"/>
                </m:rPr>
                <w:rPr>
                  <w:sz w:val="22"/>
                </w:rPr>
                <m:t>,</m:t>
              </m:r>
              <m:r>
                <w:rPr>
                  <w:sz w:val="22"/>
                </w:rPr>
                <m:t>t</m:t>
              </m:r>
            </m:sub>
          </m:sSub>
          <m:r>
            <m:rPr>
              <m:sty m:val="p"/>
            </m:rPr>
            <w:rPr>
              <w:sz w:val="22"/>
            </w:rPr>
            <m:t>+</m:t>
          </m:r>
          <m:r>
            <w:rPr>
              <w:sz w:val="22"/>
            </w:rPr>
            <m:t>β</m:t>
          </m:r>
          <m:r>
            <w:rPr>
              <w:sz w:val="22"/>
            </w:rPr>
            <m:t> </m:t>
          </m:r>
          <m:r>
            <m:rPr>
              <m:sty m:val="b"/>
            </m:rPr>
            <w:rPr>
              <w:sz w:val="22"/>
            </w:rPr>
            <m:t>1</m:t>
          </m:r>
          <m:d>
            <m:dPr>
              <m:begChr m:val="["/>
              <m:sepChr m:val=""/>
              <m:endChr m:val="]"/>
              <m:grow/>
            </m:dPr>
            <m:e>
              <m:r>
                <m:rPr>
                  <m:nor/>
                  <m:sty m:val="p"/>
                </m:rPr>
                <w:rPr>
                  <w:sz w:val="22"/>
                </w:rPr>
                <m:t>venue</m:t>
              </m:r>
              <m:r>
                <m:rPr>
                  <m:sty m:val="p"/>
                </m:rPr>
                <w:rPr>
                  <w:sz w:val="22"/>
                </w:rPr>
                <m:t>=</m:t>
              </m:r>
              <m:r>
                <m:rPr>
                  <m:nor/>
                  <m:sty m:val="p"/>
                </m:rPr>
                <w:rPr>
                  <w:sz w:val="22"/>
                </w:rPr>
                <m:t>Call</m:t>
              </m:r>
            </m:e>
          </m:d>
          <m:r>
            <m:rPr>
              <m:sty m:val="p"/>
            </m:rPr>
            <w:rPr>
              <w:sz w:val="22"/>
            </w:rPr>
            <m:t>+</m:t>
          </m:r>
          <m:sSub>
            <m:e>
              <m:r>
                <w:rPr>
                  <w:sz w:val="22"/>
                </w:rPr>
                <m:t>ε</m:t>
              </m:r>
            </m:e>
            <m:sub>
              <m:r>
                <w:rPr>
                  <w:sz w:val="22"/>
                </w:rPr>
                <m:t>i</m:t>
              </m:r>
              <m:r>
                <m:rPr>
                  <m:sty m:val="p"/>
                </m:rPr>
                <w:rPr>
                  <w:sz w:val="22"/>
                </w:rPr>
                <m:t>,</m:t>
              </m:r>
              <m:r>
                <w:rPr>
                  <w:sz w:val="22"/>
                </w:rPr>
                <m:t>t</m:t>
              </m:r>
              <m:r>
                <m:rPr>
                  <m:sty m:val="p"/>
                </m:rPr>
                <w:rPr>
                  <w:sz w:val="22"/>
                </w:rPr>
                <m:t>,</m:t>
              </m:r>
              <m:r>
                <m:rPr>
                  <m:nor/>
                  <m:sty m:val="p"/>
                </m:rPr>
                <w:rPr>
                  <w:sz w:val="22"/>
                </w:rPr>
                <m:t>venue</m:t>
              </m:r>
            </m:sub>
          </m:sSub>
        </m:oMath>
      </m:oMathPara>
    </w:p>
    <w:p>
      <w:pPr>
        <w:keepNext/>
        <w:pStyle w:val="FirstParagraph"/>
      </w:pPr>
      <w:r>
        <w:t xml:space="preserve">Each cell holds exactly two observations: all earnings calls of the fiscal year pooled into one call record, and all statutory filings of that year (the 10-K and the 10-Qs) as the filing benchmark. The metrics are per thousand words or shares of the disclosed activities. Standard errors are clustered at the firm level, and the fixed effects absorb whatever is constant about the firm as well as macroeconomic shocks. A call mixes management remarks with analyst Q&amp;A, so the estimate is the net institutional difference between two venues with different legal exposure</w:t>
      </w:r>
      <w:r>
        <w:t xml:space="preserve"> </w:t>
      </w:r>
      <w:r>
        <w:t xml:space="preserve">(</w:t>
      </w:r>
      <w:hyperlink w:anchor="ref-frankel1999">
        <w:r>
          <w:rPr>
            <w:rStyle w:val="Hipervnculo"/>
          </w:rPr>
          <w:t xml:space="preserve">Frankel, Johnson, and Skinner 1999</w:t>
        </w:r>
      </w:hyperlink>
      <w:r>
        <w:t xml:space="preserve">;</w:t>
      </w:r>
      <w:r>
        <w:t xml:space="preserve"> </w:t>
      </w:r>
      <w:hyperlink w:anchor="ref-matsumoto2011">
        <w:r>
          <w:rPr>
            <w:rStyle w:val="Hipervnculo"/>
          </w:rPr>
          <w:t xml:space="preserve">Matsumoto, Pronk, and Roelofsen 2011</w:t>
        </w:r>
      </w:hyperlink>
      <w:r>
        <w:t xml:space="preserve">)</w:t>
      </w:r>
      <w:r>
        <w:t xml:space="preserve">, read as a shift in the composition of disclosed activity and evidence.</w:t>
      </w:r>
    </w:p>
    <w:tbl xmlns:a="http://schemas.openxmlformats.org/drawingml/2006/main" xmlns:pic="http://schemas.openxmlformats.org/drawingml/2006/picture">
      <w:tblPr>
        <w:tblStyle w:val="Table"/>
        <w:tblW w:type="pct" w:w="5000"/>
        <w:tblLayout w:type="fixed"/>
        <w:tblLook w:firstRow="0" w:lastRow="0" w:firstColumn="0" w:lastColumn="0" w:noHBand="0" w:noVBand="0" w:val="0000"/>
        <w:tblBorders>
          <w:top w:val="none"/>
          <w:left w:val="none"/>
          <w:bottom w:val="none"/>
          <w:right w:val="none"/>
          <w:insideH w:val="none"/>
          <w:insideV w:val="none"/>
        </w:tblBorders>
      </w:tblPr>
      <w:tblGrid>
        <w:gridCol w:w="7920"/>
      </w:tblGrid>
      <w:tr>
        <w:trPr>
          <w:cantSplit/>
        </w:trPr>
        <w:tc>
          <w:tcPr/>
          <w:bookmarkStart w:id="68" w:name="fig-venue-call-filing-differences"/>
          <w:p>
            <w:pPr>
              <w:pStyle w:val="Compact"/>
              <w:jc w:val="center"/>
              <w:ind w:firstLine="0" w:left="0" w:right="0"/>
            </w:pPr>
            <w:r>
              <w:drawing>
                <wp:inline>
                  <wp:extent cx="5760085" cy="3580986"/>
                  <wp:effectExtent b="0" l="0" r="0" t="0"/>
                  <wp:docPr descr="" title="" id="22" name="Picture"/>
                  <a:graphic>
                    <a:graphicData uri="http://schemas.openxmlformats.org/drawingml/2006/picture">
                      <pic:pic>
                        <pic:nvPicPr>
                          <pic:cNvPr descr="thesis_files/figure-docx/fig-venue-call-filing-differences-output-1.png" id="22" name="Picture"/>
                          <pic:cNvPicPr>
                            <a:picLocks noChangeArrowheads="1" noChangeAspect="1"/>
                          </pic:cNvPicPr>
                        </pic:nvPicPr>
                        <pic:blipFill>
                          <a:blip r:embed="rId43"/>
                          <a:stretch>
                            <a:fillRect/>
                          </a:stretch>
                        </pic:blipFill>
                        <pic:spPr bwMode="auto">
                          <a:xfrm>
                            <a:off x="0" y="0"/>
                            <a:ext cx="5760085" cy="3580986"/>
                          </a:xfrm>
                          <a:prstGeom prst="rect">
                            <a:avLst/>
                          </a:prstGeom>
                          <a:noFill/>
                          <a:ln w="9525">
                            <a:noFill/>
                            <a:headEnd/>
                            <a:tailEnd/>
                          </a:ln>
                        </pic:spPr>
                      </pic:pic>
                    </a:graphicData>
                  </a:graphic>
                </wp:inline>
              </w:drawing>
            </w:r>
          </w:p>
          <w:p>
            <w:pPr>
              <w:pStyle w:val="ImageCaption"/>
              <w:jc w:val="left"/>
              <w:spacing w:before="200"/>
              <w:ind w:firstLine="0" w:left="0" w:right="0"/>
            </w:pPr>
            <w:r>
              <w:t xml:space="preserve">Figure 22:</w:t>
            </w:r>
            <w:r>
              <w:t xml:space="preserve"> </w:t>
            </w:r>
            <w:r>
              <w:rPr>
                <w:rStyle w:val="CaptionText"/>
              </w:rPr>
              <w:t xml:space="preserve">Calls provide more evidentiary detail within the same firm-year: differences in AI activity composition and grounding, pooled 2021–2026 YTD.</w:t>
            </w:r>
            <w:r>
              <w:t xml:space="preserve"> </w:t>
            </w:r>
            <w:r>
              <w:rPr>
                <w:b w:val="0"/>
                <w:bCs w:val="0"/>
                <w:color w:val="595959"/>
              </w:rPr>
              <w:t xml:space="preserve">95% CI. Both panels: firm × fiscal-year fixed-effects estimates; pooled call/filing ratios reported elsewhere are descriptive means without fixed effects.</w:t>
            </w:r>
          </w:p>
          <w:bookmarkEnd w:id="66"/>
        </w:tc>
      </w:tr>
    </w:tbl>
    <w:p>
      <w:pPr>
        <w:pStyle w:val="Textoindependiente"/>
      </w:pPr>
      <w:r>
        <w:t xml:space="preserve">What firms claim to do stays largely consistent across venues, but the evidence attached to those claims diverges sharply (</w:t>
      </w:r>
      <w:hyperlink w:anchor="fig-venue-call-filing-differences">
        <w:r>
          <w:rPr>
            <w:rStyle w:val="Hipervnculo"/>
          </w:rPr>
          <w:t xml:space="preserve">Figure 22</w:t>
        </w:r>
      </w:hyperlink>
      <w:r>
        <w:t xml:space="preserve">). Internal operational deployment (+1.1 pp,</w:t>
      </w:r>
      <w:r>
        <w:t xml:space="preserve"> </w:t>
      </w:r>
      <m:oMath>
        <m:r>
          <w:rPr>
            <w:sz w:val="22"/>
          </w:rPr>
          <m:t>p</m:t>
        </m:r>
      </m:oMath>
      <w:r>
        <w:t xml:space="preserve"> </w:t>
      </w:r>
      <w:r>
        <w:t xml:space="preserve">= 0.22) and proprietary development (-1.8 pp,</w:t>
      </w:r>
      <w:r>
        <w:t xml:space="preserve"> </w:t>
      </w:r>
      <m:oMath>
        <m:r>
          <w:rPr>
            <w:sz w:val="22"/>
          </w:rPr>
          <m:t>p</m:t>
        </m:r>
      </m:oMath>
      <w:r>
        <w:t xml:space="preserve"> </w:t>
      </w:r>
      <w:r>
        <w:t xml:space="preserve">= 0.0049) line up closely between calls and filings; customer-facing deployment is the exception, appearing somewhat more often on calls (+7.2 pp,</w:t>
      </w:r>
      <w:r>
        <w:t xml:space="preserve"> </w:t>
      </w:r>
      <m:oMath>
        <m:r>
          <w:rPr>
            <w:sz w:val="22"/>
          </w:rPr>
          <m:t>p</m:t>
        </m:r>
      </m:oMath>
      <w:r>
        <w:t xml:space="preserve"> </w:t>
      </w:r>
      <w:r>
        <w:t xml:space="preserve">&lt; 0.001), which fits managers speaking to analysts about commercial applications.</w:t>
      </w:r>
    </w:p>
    <w:p>
      <w:pPr>
        <w:pStyle w:val="Textoindependiente"/>
      </w:pPr>
      <w:r>
        <w:t xml:space="preserve">The evidence behind those activities does not travel the same way: the share carrying a quantified outcome is ↑ 9.2 percentage points higher in calls (</w:t>
      </w:r>
      <m:oMath>
        <m:r>
          <w:rPr>
            <w:sz w:val="22"/>
          </w:rPr>
          <m:t>p</m:t>
        </m:r>
      </m:oMath>
      <w:r>
        <w:t xml:space="preserve"> </w:t>
      </w:r>
      <w:r>
        <w:t xml:space="preserve">&lt; 0.001), named products (↑ 8.9 percentage points higher in calls (</w:t>
      </w:r>
      <m:oMath>
        <m:r>
          <w:rPr>
            <w:sz w:val="22"/>
          </w:rPr>
          <m:t>p</m:t>
        </m:r>
      </m:oMath>
      <w:r>
        <w:t xml:space="preserve"> </w:t>
      </w:r>
      <w:r>
        <w:t xml:space="preserve">&lt; 0.001)) and third-party providers (↑ 5.5 percentage points higher in calls (</w:t>
      </w:r>
      <m:oMath>
        <m:r>
          <w:rPr>
            <w:sz w:val="22"/>
          </w:rPr>
          <m:t>p</m:t>
        </m:r>
      </m:oMath>
      <w:r>
        <w:t xml:space="preserve"> </w:t>
      </w:r>
      <w:r>
        <w:t xml:space="preserve">&lt; 0.001)) are both lower in the filings, and governance caveats run the other way (↓ 10.1 percentage points lower in calls (</w:t>
      </w:r>
      <m:oMath>
        <m:r>
          <w:rPr>
            <w:sz w:val="22"/>
          </w:rPr>
          <m:t>p</m:t>
        </m:r>
      </m:oMath>
      <w:r>
        <w:t xml:space="preserve"> </w:t>
      </w:r>
      <w:r>
        <w:t xml:space="preserve">&lt; 0.001)).</w:t>
      </w:r>
    </w:p>
    <w:p>
      <w:pPr>
        <w:pStyle w:val="Textoindependiente"/>
      </w:pPr>
      <w:r>
        <w:t xml:space="preserve">The pattern looks like filtering under higher statutory exposure, evidentiary detail trimmed as a claim moves from the call into the filing, rather than an explicit retraction. The design compares composition at the venue level, so it does not track whether any specific claim made on a call reappears, unchanged or softened, in the filing that follows.</w:t>
      </w:r>
    </w:p>
    <w:p>
      <w:pPr>
        <w:keepNext/>
        <w:pStyle w:val="Textoindependiente"/>
      </w:pPr>
      <w:r>
        <w:t xml:space="preserve">The pooled model gives the average gap over the whole panel, which leaves one question open: did this divergence already exist before generative AI, or did it appear together with it? Estimating the same within-firm-year gap (</w:t>
      </w:r>
      <m:oMath>
        <m:sSub>
          <m:e>
            <m:r>
              <m:rPr>
                <m:nor/>
                <m:sty m:val="p"/>
              </m:rPr>
              <w:rPr>
                <w:sz w:val="22"/>
              </w:rPr>
              <m:t>Call</m:t>
            </m:r>
          </m:e>
          <m:sub>
            <m:r>
              <w:rPr>
                <w:sz w:val="22"/>
              </w:rPr>
              <m:t>i</m:t>
            </m:r>
            <m:r>
              <m:rPr>
                <m:sty m:val="p"/>
              </m:rPr>
              <w:rPr>
                <w:sz w:val="22"/>
              </w:rPr>
              <m:t>,</m:t>
            </m:r>
            <m:r>
              <w:rPr>
                <w:sz w:val="22"/>
              </w:rPr>
              <m:t>t</m:t>
            </m:r>
          </m:sub>
        </m:sSub>
        <m:r>
          <m:rPr>
            <m:sty m:val="p"/>
          </m:rPr>
          <w:rPr>
            <w:sz w:val="22"/>
          </w:rPr>
          <m:t>−</m:t>
        </m:r>
        <m:sSub>
          <m:e>
            <m:r>
              <m:rPr>
                <m:nor/>
                <m:sty m:val="p"/>
              </m:rPr>
              <w:rPr>
                <w:sz w:val="22"/>
              </w:rPr>
              <m:t>Filing</m:t>
            </m:r>
          </m:e>
          <m:sub>
            <m:r>
              <w:rPr>
                <w:sz w:val="22"/>
              </w:rPr>
              <m:t>i</m:t>
            </m:r>
            <m:r>
              <m:rPr>
                <m:sty m:val="p"/>
              </m:rPr>
              <w:rPr>
                <w:sz w:val="22"/>
              </w:rPr>
              <m:t>,</m:t>
            </m:r>
            <m:r>
              <w:rPr>
                <w:sz w:val="22"/>
              </w:rPr>
              <m:t>t</m:t>
            </m:r>
          </m:sub>
        </m:sSub>
      </m:oMath>
      <w:r>
        <w:t xml:space="preserve">) year by year, on the three dimensions that carry the evidence, separates the two cases (</w:t>
      </w:r>
      <w:hyperlink w:anchor="fig-venue-gap-by-year">
        <w:r>
          <w:rPr>
            <w:rStyle w:val="Hipervnculo"/>
          </w:rPr>
          <w:t xml:space="preserve">Figure 23</w:t>
        </w:r>
      </w:hyperlink>
      <w:r>
        <w:t xml:space="preserve">).</w:t>
      </w:r>
    </w:p>
    <w:tbl xmlns:a="http://schemas.openxmlformats.org/drawingml/2006/main" xmlns:pic="http://schemas.openxmlformats.org/drawingml/2006/picture">
      <w:tblPr>
        <w:tblStyle w:val="Table"/>
        <w:tblW w:type="pct" w:w="5000"/>
        <w:tblLayout w:type="fixed"/>
        <w:tblLook w:firstRow="0" w:lastRow="0" w:firstColumn="0" w:lastColumn="0" w:noHBand="0" w:noVBand="0" w:val="0000"/>
        <w:tblBorders>
          <w:top w:val="none"/>
          <w:left w:val="none"/>
          <w:bottom w:val="none"/>
          <w:right w:val="none"/>
          <w:insideH w:val="none"/>
          <w:insideV w:val="none"/>
        </w:tblBorders>
      </w:tblPr>
      <w:tblGrid>
        <w:gridCol w:w="7920"/>
      </w:tblGrid>
      <w:tr>
        <w:trPr>
          <w:cantSplit/>
        </w:trPr>
        <w:tc>
          <w:tcPr/>
          <w:bookmarkStart w:id="69" w:name="fig-venue-gap-by-year"/>
          <w:p>
            <w:pPr>
              <w:pStyle w:val="Compact"/>
              <w:jc w:val="center"/>
              <w:ind w:firstLine="0" w:left="0" w:right="0"/>
            </w:pPr>
            <w:r>
              <w:drawing>
                <wp:inline>
                  <wp:extent cx="5760085" cy="2412250"/>
                  <wp:effectExtent b="0" l="0" r="0" t="0"/>
                  <wp:docPr descr="" title="" id="23" name="Picture"/>
                  <a:graphic>
                    <a:graphicData uri="http://schemas.openxmlformats.org/drawingml/2006/picture">
                      <pic:pic>
                        <pic:nvPicPr>
                          <pic:cNvPr descr="thesis_files/figure-docx/fig-venue-gap-by-year-output-1.png" id="23" name="Picture"/>
                          <pic:cNvPicPr>
                            <a:picLocks noChangeArrowheads="1" noChangeAspect="1"/>
                          </pic:cNvPicPr>
                        </pic:nvPicPr>
                        <pic:blipFill>
                          <a:blip r:embed="rId44"/>
                          <a:stretch>
                            <a:fillRect/>
                          </a:stretch>
                        </pic:blipFill>
                        <pic:spPr bwMode="auto">
                          <a:xfrm>
                            <a:off x="0" y="0"/>
                            <a:ext cx="5760085" cy="2412250"/>
                          </a:xfrm>
                          <a:prstGeom prst="rect">
                            <a:avLst/>
                          </a:prstGeom>
                          <a:noFill/>
                          <a:ln w="9525">
                            <a:noFill/>
                            <a:headEnd/>
                            <a:tailEnd/>
                          </a:ln>
                        </pic:spPr>
                      </pic:pic>
                    </a:graphicData>
                  </a:graphic>
                </wp:inline>
              </w:drawing>
            </w:r>
          </w:p>
          <w:p>
            <w:pPr>
              <w:pStyle w:val="ImageCaption"/>
              <w:jc w:val="left"/>
              <w:spacing w:before="200"/>
              <w:ind w:firstLine="0" w:left="0" w:right="0"/>
            </w:pPr>
            <w:r>
              <w:t xml:space="preserve">Figure 23:</w:t>
            </w:r>
            <w:r>
              <w:t xml:space="preserve"> </w:t>
            </w:r>
            <w:r>
              <w:rPr>
                <w:rStyle w:val="CaptionText"/>
              </w:rPr>
              <w:t xml:space="preserve">Call-minus-filing gap by fiscal year on three evidentiary dimensions, 2021–2026 YTD.</w:t>
            </w:r>
            <w:r>
              <w:t xml:space="preserve"> </w:t>
            </w:r>
            <w:r>
              <w:rPr>
                <w:b w:val="0"/>
                <w:bCs w:val="0"/>
                <w:color w:val="595959"/>
              </w:rPr>
              <w:t xml:space="preserve">Each point: mean call-minus-filing gap across that year’s firm × fiscal-year cells, with the 95% CI from a one-sample</w:t>
            </w:r>
            <w:r>
              <w:rPr>
                <w:b w:val="0"/>
                <w:bCs w:val="0"/>
                <w:color w:val="595959"/>
              </w:rPr>
              <w:t xml:space="preserve"> </w:t>
            </w:r>
            <m:oMath>
              <m:r>
                <w:rPr>
                  <w:sz w:val="22"/>
                </w:rPr>
                <m:t>t</m:t>
              </m:r>
            </m:oMath>
            <w:r>
              <w:rPr>
                <w:b w:val="0"/>
                <w:bCs w:val="0"/>
                <w:color w:val="595959"/>
              </w:rPr>
              <w:t xml:space="preserve">-test. 2026 is still open at the 2026-09-03 cut-off and is seasonally corrected (</w:t>
            </w:r>
            <w:hyperlink w:anchor="appendix-a3">
              <w:r>
                <w:rPr>
                  <w:rStyle w:val="Hipervnculo"/>
                  <w:b w:val="0"/>
                  <w:bCs w:val="0"/>
                  <w:color w:val="595959"/>
                </w:rPr>
                <w:t xml:space="preserve">Appendix A.3</w:t>
              </w:r>
            </w:hyperlink>
            <w:r>
              <w:rPr>
                <w:b w:val="0"/>
                <w:bCs w:val="0"/>
                <w:color w:val="595959"/>
              </w:rPr>
              <w:t xml:space="preserve">); the hollow marker is the uncorrected value. Cells per year: 2021: 57, 2022: 56, 2023: 103, 2024: 152, 2025: 228, 2026: 194.</w:t>
            </w:r>
          </w:p>
          <w:bookmarkEnd w:id="67"/>
        </w:tc>
      </w:tr>
    </w:tbl>
    <w:p>
      <w:pPr>
        <w:pStyle w:val="Textoindependiente"/>
      </w:pPr>
      <w:r>
        <w:t xml:space="preserve">The three dimensions do not share a history (</w:t>
      </w:r>
      <w:hyperlink w:anchor="fig-venue-gap-by-year">
        <w:r>
          <w:rPr>
            <w:rStyle w:val="Hipervnculo"/>
          </w:rPr>
          <w:t xml:space="preserve">Figure 23</w:t>
        </w:r>
      </w:hyperlink>
      <w:r>
        <w:t xml:space="preserve">). The call premium on quantified outcomes is already there in 2021 (+9.2 pp, 95% CI [+4.5, +13.9]) and stays roughly flat for the rest of the panel (+10.9 pp, 95% CI [+9.1, +12.7] in 2025), so putting more figures into the oral discussion than into the filing is an old managerial habit and not something generative AI produced. Naming a product or a process behaves differently: in 2021 and 2022 the interval still covers zero (+2.1 pp, 95% CI [-7.7, +11.9] in 2022), and by 2025 it clearly does not (+12.3 pp, 95% CI [+8.3, +16.4]). Governance and restriction language moves in the opposite direction and keeps widening, from -2.4 pp, 95% CI [-4.7, -0.1] in 2021 to -17.6 pp, 95% CI [-20.6, -14.6] (observed -18.2) in 2026, as the filings absorb the caveats the calls do not carry.</w:t>
      </w:r>
    </w:p>
    <w:p>
      <w:pPr>
        <w:pStyle w:val="Textoindependiente"/>
      </w:pPr>
      <w:r>
        <w:t xml:space="preserve">Two caveats attach to the last point of each panel. 2026 is a partial year: the two channels report on different calendars, so the seasonal correction (</w:t>
      </w:r>
      <w:hyperlink w:anchor="appendix-a3">
        <w:r>
          <w:rPr>
            <w:rStyle w:val="Hipervnculo"/>
          </w:rPr>
          <w:t xml:space="preserve">Appendix A.3</w:t>
        </w:r>
      </w:hyperlink>
      <w:r>
        <w:t xml:space="preserve">) matters in both directions, and the plotted value is the corrected one rather than the raw year-to-date count. Each year is also estimated on its own cells, so these intervals are wider than the pooled ones and the first two cycles are the thinnest in the panel.</w:t>
      </w:r>
    </w:p>
    <w:p>
      <w:pPr>
        <w:pStyle w:val="Textoindependiente"/>
      </w:pPr>
      <w:r>
        <w:t xml:space="preserve">An investor should therefore read both venues and not rely on one of them alone, and an issuer should check that the claims are substantively consistent between the oral and the statutory disclosure, without expecting the same wording or the same level of detail in both. A difference in detail between the two is a question to resolve, not proof of inconsistency: the venues carry different liability and address different audiences, and only a difference in the scope actually claimed points to a problem.</w:t>
      </w:r>
    </w:p>
    <w:bookmarkEnd w:id="68"/>
    <w:bookmarkStart w:id="70" w:name="X12e31285b726c678c6ada1cb423b60396b54dff"/>
    <w:p>
      <w:pPr>
        <w:pStyle w:val="Ttulo2"/>
      </w:pPr>
      <w:r>
        <w:t xml:space="preserve">4.3 Promotion is not the opposite of evidence</w:t>
      </w:r>
    </w:p>
    <w:p>
      <w:pPr>
        <w:pStyle w:val="FirstParagraph"/>
      </w:pPr>
      <w:r>
        <w:t xml:space="preserve">Do earnings calls amplify promotional language at the expense of disclosed evidence, trading one for the other?</w:t>
      </w:r>
    </w:p>
    <w:p>
      <w:pPr>
        <w:keepNext/>
        <w:pStyle w:val="Textoindependiente"/>
      </w:pPr>
      <w:r>
        <w:t xml:space="preserve">The cross-venue data reject this trade-off. Per 1,000 words, earnings calls contain 16.8× more promotional statements than statutory filings, and they amplify quantification even more: 18.7× more quantified outcome claims (</w:t>
      </w:r>
      <w:hyperlink w:anchor="fig-promotion-and-evidence">
        <w:r>
          <w:rPr>
            <w:rStyle w:val="Hipervnculo"/>
          </w:rPr>
          <w:t xml:space="preserve">Figure 24</w:t>
        </w:r>
      </w:hyperlink>
      <w:r>
        <w:t xml:space="preserve">). These are pooled per-1,000-word rates without firm-year fixed effects, and part of each ratio reflects the longer, boilerplate-heavy denominator of statutory filings rather than a pure difference in claim density.</w:t>
      </w:r>
    </w:p>
    <w:tbl xmlns:a="http://schemas.openxmlformats.org/drawingml/2006/main" xmlns:pic="http://schemas.openxmlformats.org/drawingml/2006/picture">
      <w:tblPr>
        <w:tblStyle w:val="Table"/>
        <w:tblW w:type="pct" w:w="5000"/>
        <w:tblLayout w:type="fixed"/>
        <w:tblLook w:firstRow="0" w:lastRow="0" w:firstColumn="0" w:lastColumn="0" w:noHBand="0" w:noVBand="0" w:val="0000"/>
        <w:tblBorders>
          <w:top w:val="none"/>
          <w:left w:val="none"/>
          <w:bottom w:val="none"/>
          <w:right w:val="none"/>
          <w:insideH w:val="none"/>
          <w:insideV w:val="none"/>
        </w:tblBorders>
      </w:tblPr>
      <w:tblGrid>
        <w:gridCol w:w="7920"/>
      </w:tblGrid>
      <w:tr>
        <w:trPr>
          <w:cantSplit/>
        </w:trPr>
        <w:tc>
          <w:tcPr/>
          <w:bookmarkStart w:id="71" w:name="fig-promotion-and-evidence"/>
          <w:p>
            <w:pPr>
              <w:pStyle w:val="Compact"/>
              <w:jc w:val="center"/>
              <w:ind w:firstLine="0" w:left="0" w:right="0"/>
            </w:pPr>
            <w:r>
              <w:drawing>
                <wp:inline>
                  <wp:extent cx="5760085" cy="1944028"/>
                  <wp:effectExtent b="0" l="0" r="0" t="0"/>
                  <wp:docPr descr="" title="" id="24" name="Picture"/>
                  <a:graphic>
                    <a:graphicData uri="http://schemas.openxmlformats.org/drawingml/2006/picture">
                      <pic:pic>
                        <pic:nvPicPr>
                          <pic:cNvPr descr="thesis_files/figure-docx/fig-promotion-and-evidence-output-1.png" id="24" name="Picture"/>
                          <pic:cNvPicPr>
                            <a:picLocks noChangeArrowheads="1" noChangeAspect="1"/>
                          </pic:cNvPicPr>
                        </pic:nvPicPr>
                        <pic:blipFill>
                          <a:blip r:embed="rId45"/>
                          <a:stretch>
                            <a:fillRect/>
                          </a:stretch>
                        </pic:blipFill>
                        <pic:spPr bwMode="auto">
                          <a:xfrm>
                            <a:off x="0" y="0"/>
                            <a:ext cx="5760085" cy="1944028"/>
                          </a:xfrm>
                          <a:prstGeom prst="rect">
                            <a:avLst/>
                          </a:prstGeom>
                          <a:noFill/>
                          <a:ln w="9525">
                            <a:noFill/>
                            <a:headEnd/>
                            <a:tailEnd/>
                          </a:ln>
                        </pic:spPr>
                      </pic:pic>
                    </a:graphicData>
                  </a:graphic>
                </wp:inline>
              </w:drawing>
            </w:r>
          </w:p>
          <w:p>
            <w:pPr>
              <w:pStyle w:val="ImageCaption"/>
              <w:jc w:val="left"/>
              <w:spacing w:before="200"/>
              <w:ind w:firstLine="0" w:left="0" w:right="0"/>
            </w:pPr>
            <w:r>
              <w:t xml:space="preserve">Figure 24:</w:t>
            </w:r>
            <w:r>
              <w:t xml:space="preserve"> </w:t>
            </w:r>
            <w:r>
              <w:rPr>
                <w:rStyle w:val="CaptionText"/>
              </w:rPr>
              <w:t xml:space="preserve">Calls amplify both promotion and quantified evidence: call-to-filing amplification ratios per 1,000 words, pooled 2021–2026 YTD.</w:t>
            </w:r>
            <w:r>
              <w:t xml:space="preserve"> </w:t>
            </w:r>
            <w:r>
              <w:rPr>
                <w:b w:val="0"/>
                <w:bCs w:val="0"/>
                <w:color w:val="595959"/>
              </w:rPr>
              <w:t xml:space="preserve">Relative amplification in quantified evidence exceeds that of promotional claims.</w:t>
            </w:r>
          </w:p>
          <w:bookmarkEnd w:id="69"/>
        </w:tc>
      </w:tr>
    </w:tbl>
    <w:p>
      <w:pPr>
        <w:pStyle w:val="Textoindependiente"/>
      </w:pPr>
      <w:r>
        <w:t xml:space="preserve">This co-movement aligns with</w:t>
      </w:r>
      <w:r>
        <w:t xml:space="preserve"> </w:t>
      </w:r>
      <w:r>
        <w:t xml:space="preserve">Jia et al. (</w:t>
      </w:r>
      <w:hyperlink w:anchor="ref-jia2025">
        <w:r>
          <w:rPr>
            <w:rStyle w:val="Hipervnculo"/>
          </w:rPr>
          <w:t xml:space="preserve">2025</w:t>
        </w:r>
      </w:hyperlink>
      <w:r>
        <w:t xml:space="preserve">)</w:t>
      </w:r>
      <w:r>
        <w:t xml:space="preserve">, who find that corporate discussions of generative AI frequently join positive sentiment with concrete initiatives; while their metric includes planned initiatives, the framework here separates grounding from realized operational outcomes. Tone and disclosed evidence constitute two distinct dimensions of corporate communication rather than opposing poles of a single axis.</w:t>
      </w:r>
    </w:p>
    <w:bookmarkEnd w:id="70"/>
    <w:bookmarkStart w:id="72" w:name="what-credibility-means-in-this-thesis"/>
    <w:p>
      <w:pPr>
        <w:pStyle w:val="Ttulo2"/>
      </w:pPr>
      <w:r>
        <w:t xml:space="preserve">4.4 What credibility means in this thesis</w:t>
      </w:r>
    </w:p>
    <w:p>
      <w:pPr>
        <w:pStyle w:val="FirstParagraph"/>
      </w:pPr>
      <w:r>
        <w:t xml:space="preserve">Three conclusions come out of the credibility ladder:</w:t>
      </w:r>
    </w:p>
    <w:p>
      <w:pPr>
        <w:pStyle w:val="Compact"/>
        <w:numPr>
          <w:ilvl w:val="0"/>
          <w:numId w:val="25"/>
        </w:numPr>
      </w:pPr>
      <w:r>
        <w:rPr>
          <w:b/>
          <w:bCs/>
        </w:rPr>
        <w:t xml:space="preserve">Decoupling persists.</w:t>
      </w:r>
      <w:r>
        <w:t xml:space="preserve"> </w:t>
      </w:r>
      <w:r>
        <w:t xml:space="preserve">The gap between narrative intensity and grounded substance is a lasting characteristic of the firm-year (year over year,</w:t>
      </w:r>
      <w:r>
        <w:t xml:space="preserve"> </w:t>
      </w:r>
      <m:oMath>
        <m:r>
          <w:rPr>
            <w:sz w:val="22"/>
          </w:rPr>
          <m:t>ρ</m:t>
        </m:r>
        <m:r>
          <m:rPr>
            <m:sty m:val="p"/>
          </m:rPr>
          <w:rPr>
            <w:sz w:val="22"/>
          </w:rPr>
          <m:t>=</m:t>
        </m:r>
      </m:oMath>
      <w:r>
        <w:t xml:space="preserve"> </w:t>
      </w:r>
      <w:r>
        <w:t xml:space="preserve">0.60).</w:t>
      </w:r>
    </w:p>
    <w:p>
      <w:pPr>
        <w:pStyle w:val="Compact"/>
        <w:numPr>
          <w:ilvl w:val="0"/>
          <w:numId w:val="25"/>
        </w:numPr>
      </w:pPr>
      <w:r>
        <w:rPr>
          <w:b/>
          <w:bCs/>
        </w:rPr>
        <w:t xml:space="preserve">What differs between venues is the evidence.</w:t>
      </w:r>
      <w:r>
        <w:t xml:space="preserve"> </w:t>
      </w:r>
      <w:r>
        <w:t xml:space="preserve">The cross-venue gap comes from grounding that is missing in the statutory filings, not from a different mix of operational activity.</w:t>
      </w:r>
    </w:p>
    <w:p>
      <w:pPr>
        <w:pStyle w:val="Compact"/>
        <w:numPr>
          <w:ilvl w:val="0"/>
          <w:numId w:val="25"/>
        </w:numPr>
      </w:pPr>
      <w:r>
        <w:rPr>
          <w:b/>
          <w:bCs/>
        </w:rPr>
        <w:t xml:space="preserve">Direct scrutiny is rare.</w:t>
      </w:r>
      <w:r>
        <w:t xml:space="preserve"> </w:t>
      </w:r>
      <w:r>
        <w:t xml:space="preserve">In the one case observed, the issuer reacted by reducing narrative volume and narrowing its decoupling, not by adding boilerplate.</w:t>
      </w:r>
    </w:p>
    <w:p>
      <w:pPr>
        <w:pStyle w:val="FirstParagraph"/>
      </w:pPr>
      <w:r>
        <w:t xml:space="preserve">AI washing in this thesis is therefore an observable and persistent decoupling (</w:t>
      </w:r>
      <m:oMath>
        <m:r>
          <w:rPr>
            <w:sz w:val="22"/>
          </w:rPr>
          <m:t>W</m:t>
        </m:r>
      </m:oMath>
      <w:r>
        <w:t xml:space="preserve">) between narrative volume and grounded operational substance. It is not legal proof of fraud, nor proof that nothing was implemented.</w:t>
      </w:r>
    </w:p>
    <w:bookmarkEnd w:id="71"/>
    <w:bookmarkEnd w:id="72"/>
    <w:bookmarkStart w:id="73" w:name="market-relevance-of-disclosure-signals"/>
    <w:p>
      <w:pPr>
        <w:pStyle w:val="Ttulo1"/>
      </w:pPr>
      <w:r>
        <w:rPr>
          <w:caps/>
          <w:smallCaps w:val="0"/>
        </w:rPr>
        <w:t xml:space="preserve">5. Market Relevance of Disclosure Signals</w:t>
      </w:r>
    </w:p>
    <w:p>
      <w:pPr>
        <w:pStyle w:val="FirstParagraph"/>
      </w:pPr>
      <w:r>
        <w:t xml:space="preserve">Do the disclosure measures built here carry information that equity markets price? The unit of observation is an earnings call held by an S&amp;P 500 constituent between 2021 and 2026, and the test is whether disclosure signals known before the call are associated with market and fundamental outcomes after it. Following</w:t>
      </w:r>
      <w:r>
        <w:t xml:space="preserve"> </w:t>
      </w:r>
      <w:r>
        <w:t xml:space="preserve">Gelman and Loken (</w:t>
      </w:r>
      <w:hyperlink w:anchor="ref-gelman2014">
        <w:r>
          <w:rPr>
            <w:rStyle w:val="Hipervnculo"/>
          </w:rPr>
          <w:t xml:space="preserve">2014</w:t>
        </w:r>
      </w:hyperlink>
      <w:r>
        <w:t xml:space="preserve">)</w:t>
      </w:r>
      <w:r>
        <w:t xml:space="preserve">, the regressions are exploratory diagnostics rather than confirmatory tests, and three channels motivate them: narrative volume priced as exposure to a theme</w:t>
      </w:r>
      <w:r>
        <w:t xml:space="preserve"> </w:t>
      </w:r>
      <w:r>
        <w:t xml:space="preserve">(</w:t>
      </w:r>
      <w:hyperlink w:anchor="ref-eisfeldt2023">
        <w:r>
          <w:rPr>
            <w:rStyle w:val="Hipervnculo"/>
          </w:rPr>
          <w:t xml:space="preserve">Eisfeldt et al. 2023</w:t>
        </w:r>
      </w:hyperlink>
      <w:r>
        <w:t xml:space="preserve">)</w:t>
      </w:r>
      <w:r>
        <w:t xml:space="preserve">, disclosed substance acting as a costly signal</w:t>
      </w:r>
      <w:r>
        <w:t xml:space="preserve"> </w:t>
      </w:r>
      <w:r>
        <w:t xml:space="preserve">(</w:t>
      </w:r>
      <w:hyperlink w:anchor="ref-spence1973">
        <w:r>
          <w:rPr>
            <w:rStyle w:val="Hipervnculo"/>
          </w:rPr>
          <w:t xml:space="preserve">Spence 1973</w:t>
        </w:r>
      </w:hyperlink>
      <w:r>
        <w:t xml:space="preserve">;</w:t>
      </w:r>
      <w:r>
        <w:t xml:space="preserve"> </w:t>
      </w:r>
      <w:hyperlink w:anchor="ref-verrecchia1983">
        <w:r>
          <w:rPr>
            <w:rStyle w:val="Hipervnculo"/>
          </w:rPr>
          <w:t xml:space="preserve">Verrecchia 1983</w:t>
        </w:r>
      </w:hyperlink>
      <w:r>
        <w:t xml:space="preserve">)</w:t>
      </w:r>
      <w:r>
        <w:t xml:space="preserve">, and decoupling accumulating as opacity that eventually shows up in tail risk</w:t>
      </w:r>
      <w:r>
        <w:t xml:space="preserve"> </w:t>
      </w:r>
      <w:r>
        <w:t xml:space="preserve">(</w:t>
      </w:r>
      <w:hyperlink w:anchor="ref-jin2006">
        <w:r>
          <w:rPr>
            <w:rStyle w:val="Hipervnculo"/>
          </w:rPr>
          <w:t xml:space="preserve">Jin and Myers 2006</w:t>
        </w:r>
      </w:hyperlink>
      <w:r>
        <w:t xml:space="preserve">;</w:t>
      </w:r>
      <w:r>
        <w:t xml:space="preserve"> </w:t>
      </w:r>
      <w:hyperlink w:anchor="ref-fu2021">
        <w:r>
          <w:rPr>
            <w:rStyle w:val="Hipervnculo"/>
          </w:rPr>
          <w:t xml:space="preserve">Fu, Wu, and Zhang 2021</w:t>
        </w:r>
      </w:hyperlink>
      <w:r>
        <w:t xml:space="preserve">)</w:t>
      </w:r>
      <w:r>
        <w:t xml:space="preserve">.</w:t>
      </w:r>
    </w:p>
    <w:bookmarkStart w:id="74" w:name="Xa4e4e11951b99f1beb1a07d0273a9324619bee9"/>
    <w:p>
      <w:pPr>
        <w:pStyle w:val="Ttulo2"/>
      </w:pPr>
      <w:r>
        <w:t xml:space="preserve">5.1 The disclosure construct and the estimating equation</w:t>
      </w:r>
    </w:p>
    <w:p>
      <w:pPr>
        <w:pStyle w:val="FirstParagraph"/>
      </w:pPr>
      <w:r>
        <w:t xml:space="preserve">The history-based regressors are predetermined with respect to the call, through a backward as-of join on the call date, so that none of them carries information published after it.</w:t>
      </w:r>
      <w:r>
        <w:t xml:space="preserve"> </w:t>
      </w:r>
      <m:oMath>
        <m:sSub>
          <m:e>
            <m:r>
              <w:rPr>
                <w:sz w:val="22"/>
              </w:rPr>
              <m:t>W</m:t>
            </m:r>
          </m:e>
          <m:sub>
            <m:r>
              <m:rPr>
                <m:nor/>
                <m:sty m:val="p"/>
              </m:rPr>
              <w:rPr>
                <w:sz w:val="22"/>
              </w:rPr>
              <m:t>call</m:t>
            </m:r>
          </m:sub>
        </m:sSub>
      </m:oMath>
      <w:r>
        <w:t xml:space="preserve"> </w:t>
      </w:r>
      <w:r>
        <w:t xml:space="preserve">is the exception by construction: it is measured on the transcript of the call itself, so it is known once the call ends and before any outcome window opens.</w:t>
      </w:r>
      <w:r>
        <w:t xml:space="preserve"> </w:t>
      </w:r>
      <w:hyperlink w:anchor="tbl-market-regressors">
        <w:r>
          <w:rPr>
            <w:rStyle w:val="Hipervnculo"/>
          </w:rPr>
          <w:t xml:space="preserve">Table 12</w:t>
        </w:r>
      </w:hyperlink>
      <w:r>
        <w:t xml:space="preserve"> </w:t>
      </w:r>
      <w:r>
        <w:t xml:space="preserve">lists the regressors and the controls.</w:t>
      </w:r>
    </w:p>
    <w:bookmarkStart w:id="75" w:name="tbl-market-regressors"/>
    <w:p>
      <w:pPr>
        <w:keepNext/>
        <w:pStyle w:val="ImageCaption"/>
        <w:jc w:val="left"/>
        <w:spacing w:before="200"/>
        <w:ind w:firstLine="0" w:left="0" w:right="0"/>
      </w:pPr>
      <w:r>
        <w:t xml:space="preserve">Table 12: Regressors and controls predetermined at call date</w:t>
      </w:r>
      <w:r>
        <w:t xml:space="preserve"> </w:t>
      </w:r>
      <m:oMath>
        <m:r>
          <w:rPr>
            <w:sz w:val="22"/>
          </w:rPr>
          <m:t>t</m:t>
        </m:r>
      </m:oMath>
      <w:r>
        <w:t xml:space="preserve">. Continuous regressors and lagged outcomes are standardized to unit variance. The Kim, Li and Zhang (2011) controls are added only to the two weekly crash-risk outcomes</w:t>
      </w:r>
      <w:r>
        <w:t xml:space="preserve"> </w:t>
      </w:r>
      <w:r>
        <w:t xml:space="preserve">(</w:t>
      </w:r>
      <w:hyperlink w:anchor="ref-kim2011">
        <w:r>
          <w:rPr>
            <w:rStyle w:val="Hipervnculo"/>
          </w:rPr>
          <w:t xml:space="preserve">Kim, Li, and Zhang 2011</w:t>
        </w:r>
      </w:hyperlink>
      <w:r>
        <w:t xml:space="preserve">)</w:t>
      </w:r>
      <w:r>
        <w:t xml:space="preserve">.</w:t>
      </w:r>
    </w:p>
    <w:tbl>
      <w:tblPr>
        <w:tblStyle w:val="Table"/>
        <w:tblW w:type="pct" w:w="5000"/>
        <w:jc w:val="center"/>
        <w:tblLayout w:type="fixed"/>
        <w:tblLook w:firstRow="1" w:lastRow="0" w:firstColumn="0" w:lastColumn="0" w:noHBand="0" w:noVBand="0" w:val="0020"/>
        <w:tblBorders>
          <w:top w:val="single" w:sz="8" w:space="0" w:color="0F172A"/>
          <w:bottom w:val="single" w:sz="8" w:space="0" w:color="0F172A"/>
          <w:left w:val="none"/>
          <w:right w:val="none"/>
          <w:insideH w:val="single" w:sz="4" w:space="0" w:color="E2E8F0"/>
          <w:insideV w:val="none"/>
        </w:tblBorders>
        <w:tblCellMar>
          <w:top w:w="26" w:type="dxa"/>
          <w:bottom w:w="26" w:type="dxa"/>
          <w:left w:w="48" w:type="dxa"/>
          <w:right w:w="48" w:type="dxa"/>
        </w:tblCellMar>
      </w:tblPr>
      <w:tblGrid>
        <w:gridCol w:w="1980"/>
        <w:gridCol w:w="1980"/>
        <w:gridCol w:w="1980"/>
        <w:gridCol w:w="1980"/>
      </w:tblGrid>
      <w:tr>
        <w:trPr>
          <w:tblHeader w:val="on"/>
          <w:cantSplit/>
          <w:tblHeader/>
        </w:trPr>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6"/>
              </w:rPr>
              <w:t xml:space="preserve">Term</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6"/>
              </w:rPr>
              <w:t xml:space="preserve">Symbol</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6"/>
              </w:rPr>
              <w:t xml:space="preserve">What it measures</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6"/>
              </w:rPr>
              <w:t xml:space="preserve">Scale</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Call decoupling</w:t>
            </w:r>
          </w:p>
        </w:tc>
        <w:tc>
          <w:tcPr/>
          <w:p>
            <w:pPr>
              <w:pStyle w:val="Compact"/>
              <w:keepNext/>
              <w:spacing w:before="8" w:after="8" w:line="240" w:lineRule="auto"/>
              <w:ind w:firstLine="0" w:left="0" w:right="0"/>
              <w:jc w:val="left"/>
              <w:jc w:val="center"/>
            </w:pPr>
            <m:oMath>
              <m:sSub>
                <m:e>
                  <m:r>
                    <w:rPr>
                      <w:sz w:val="16"/>
                    </w:rPr>
                    <m:t>W</m:t>
                  </m:r>
                </m:e>
                <m:sub>
                  <m:r>
                    <m:rPr>
                      <m:nor/>
                      <m:sty m:val="p"/>
                    </m:rPr>
                    <w:rPr>
                      <w:sz w:val="16"/>
                    </w:rPr>
                    <m:t>call</m:t>
                  </m:r>
                </m:sub>
              </m:sSub>
            </m:oMath>
          </w:p>
        </w:tc>
        <w:tc>
          <w:tcPr/>
          <w:p>
            <w:pPr>
              <w:pStyle w:val="Compact"/>
              <w:keepNext/>
              <w:spacing w:before="8" w:after="8" w:line="240" w:lineRule="auto"/>
              <w:ind w:firstLine="0" w:left="0" w:right="0"/>
              <w:jc w:val="left"/>
              <w:jc w:val="center"/>
            </w:pPr>
            <w:r>
              <w:rPr>
                <w:rFonts w:ascii="Calibri" w:hAnsi="Calibri"/>
                <w:sz w:val="16"/>
              </w:rPr>
              <w:t xml:space="preserve">Disclosure percentile minus substance percentile of this call’s own transcript</w:t>
            </w:r>
          </w:p>
        </w:tc>
        <w:tc>
          <w:tcPr/>
          <w:p>
            <w:pPr>
              <w:pStyle w:val="Compact"/>
              <w:keepNext/>
              <w:spacing w:before="8" w:after="8" w:line="240" w:lineRule="auto"/>
              <w:ind w:firstLine="0" w:left="0" w:right="0"/>
              <w:jc w:val="left"/>
              <w:jc w:val="center"/>
            </w:pPr>
            <w:r>
              <w:rPr>
                <w:rFonts w:ascii="Calibri" w:hAnsi="Calibri"/>
                <w:sz w:val="16"/>
              </w:rPr>
              <w:t xml:space="preserve">Standardized</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Historical decoupling</w:t>
            </w:r>
          </w:p>
        </w:tc>
        <w:tc>
          <w:tcPr/>
          <w:p>
            <w:pPr>
              <w:pStyle w:val="Compact"/>
              <w:keepNext/>
              <w:spacing w:before="8" w:after="8" w:line="240" w:lineRule="auto"/>
              <w:ind w:firstLine="0" w:left="0" w:right="0"/>
              <w:jc w:val="left"/>
              <w:jc w:val="center"/>
            </w:pPr>
            <m:oMath>
              <m:sSub>
                <m:e>
                  <m:r>
                    <w:rPr>
                      <w:sz w:val="16"/>
                    </w:rPr>
                    <m:t>W</m:t>
                  </m:r>
                </m:e>
                <m:sub>
                  <m:r>
                    <m:rPr>
                      <m:nor/>
                      <m:sty m:val="p"/>
                    </m:rPr>
                    <w:rPr>
                      <w:sz w:val="16"/>
                    </w:rPr>
                    <m:t>exp</m:t>
                  </m:r>
                </m:sub>
              </m:sSub>
            </m:oMath>
          </w:p>
        </w:tc>
        <w:tc>
          <w:tcPr/>
          <w:p>
            <w:pPr>
              <w:pStyle w:val="Compact"/>
              <w:keepNext/>
              <w:spacing w:before="8" w:after="8" w:line="240" w:lineRule="auto"/>
              <w:ind w:firstLine="0" w:left="0" w:right="0"/>
              <w:jc w:val="left"/>
              <w:jc w:val="center"/>
            </w:pPr>
            <w:r>
              <w:rPr>
                <w:rFonts w:ascii="Calibri" w:hAnsi="Calibri"/>
                <w:sz w:val="16"/>
              </w:rPr>
              <w:t xml:space="preserve">Expanding average of past call decoupling</w:t>
            </w:r>
          </w:p>
        </w:tc>
        <w:tc>
          <w:tcPr/>
          <w:p>
            <w:pPr>
              <w:pStyle w:val="Compact"/>
              <w:keepNext/>
              <w:spacing w:before="8" w:after="8" w:line="240" w:lineRule="auto"/>
              <w:ind w:firstLine="0" w:left="0" w:right="0"/>
              <w:jc w:val="left"/>
              <w:jc w:val="center"/>
            </w:pPr>
            <w:r>
              <w:rPr>
                <w:rFonts w:ascii="Calibri" w:hAnsi="Calibri"/>
                <w:sz w:val="16"/>
              </w:rPr>
              <w:t xml:space="preserve">Standardized</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Cumulative disclosure intensity</w:t>
            </w:r>
          </w:p>
        </w:tc>
        <w:tc>
          <w:tcPr/>
          <w:p>
            <w:pPr>
              <w:pStyle w:val="Compact"/>
              <w:keepNext/>
              <w:spacing w:before="8" w:after="8" w:line="240" w:lineRule="auto"/>
              <w:ind w:firstLine="0" w:left="0" w:right="0"/>
              <w:jc w:val="left"/>
              <w:jc w:val="center"/>
            </w:pPr>
            <m:oMath>
              <m:r>
                <w:rPr>
                  <w:sz w:val="16"/>
                </w:rPr>
                <m:t>D</m:t>
              </m:r>
            </m:oMath>
          </w:p>
        </w:tc>
        <w:tc>
          <w:tcPr/>
          <w:p>
            <w:pPr>
              <w:pStyle w:val="Compact"/>
              <w:keepNext/>
              <w:spacing w:before="8" w:after="8" w:line="240" w:lineRule="auto"/>
              <w:ind w:firstLine="0" w:left="0" w:right="0"/>
              <w:jc w:val="left"/>
              <w:jc w:val="center"/>
            </w:pPr>
            <w:r>
              <w:rPr>
                <w:rFonts w:ascii="Calibri" w:hAnsi="Calibri"/>
                <w:sz w:val="16"/>
              </w:rPr>
              <w:t xml:space="preserve">AI frames per 1k words across statutory filings through prior quarter</w:t>
            </w:r>
          </w:p>
        </w:tc>
        <w:tc>
          <w:tcPr/>
          <w:p>
            <w:pPr>
              <w:pStyle w:val="Compact"/>
              <w:keepNext/>
              <w:spacing w:before="8" w:after="8" w:line="240" w:lineRule="auto"/>
              <w:ind w:firstLine="0" w:left="0" w:right="0"/>
              <w:jc w:val="left"/>
              <w:jc w:val="center"/>
            </w:pPr>
            <w:r>
              <w:rPr>
                <w:rFonts w:ascii="Calibri" w:hAnsi="Calibri"/>
                <w:sz w:val="16"/>
              </w:rPr>
              <w:t xml:space="preserve">Standardized</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Discloses AI in filings</w:t>
            </w:r>
          </w:p>
        </w:tc>
        <w:tc>
          <w:tcPr/>
          <w:p>
            <w:pPr>
              <w:pStyle w:val="Compact"/>
              <w:keepNext/>
              <w:spacing w:before="8" w:after="8" w:line="240" w:lineRule="auto"/>
              <w:ind w:firstLine="0" w:left="0" w:right="0"/>
              <w:jc w:val="left"/>
              <w:jc w:val="center"/>
            </w:pPr>
            <m:oMath>
              <m:r>
                <m:rPr>
                  <m:nor/>
                  <m:sty m:val="p"/>
                </m:rPr>
                <w:rPr>
                  <w:sz w:val="16"/>
                </w:rPr>
                <m:t>has</m:t>
              </m:r>
            </m:oMath>
          </w:p>
        </w:tc>
        <w:tc>
          <w:tcPr/>
          <w:p>
            <w:pPr>
              <w:pStyle w:val="Compact"/>
              <w:keepNext/>
              <w:spacing w:before="8" w:after="8" w:line="240" w:lineRule="auto"/>
              <w:ind w:firstLine="0" w:left="0" w:right="0"/>
              <w:jc w:val="left"/>
              <w:jc w:val="center"/>
            </w:pPr>
            <w:r>
              <w:rPr>
                <w:rFonts w:ascii="Calibri" w:hAnsi="Calibri"/>
                <w:sz w:val="16"/>
              </w:rPr>
              <w:t xml:space="preserve">Indicator for filing any AI frame in trailing year</w:t>
            </w:r>
          </w:p>
        </w:tc>
        <w:tc>
          <w:tcPr/>
          <w:p>
            <w:pPr>
              <w:pStyle w:val="Compact"/>
              <w:keepNext/>
              <w:spacing w:before="8" w:after="8" w:line="240" w:lineRule="auto"/>
              <w:ind w:firstLine="0" w:left="0" w:right="0"/>
              <w:jc w:val="left"/>
              <w:jc w:val="center"/>
            </w:pPr>
            <w:r>
              <w:rPr>
                <w:rFonts w:ascii="Calibri" w:hAnsi="Calibri"/>
                <w:sz w:val="16"/>
              </w:rPr>
              <w:t xml:space="preserve">Binary {0, 1}</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Posture weights</w:t>
            </w:r>
          </w:p>
        </w:tc>
        <w:tc>
          <w:tcPr/>
          <w:p>
            <w:pPr>
              <w:pStyle w:val="Compact"/>
              <w:keepNext/>
              <w:spacing w:before="8" w:after="8" w:line="240" w:lineRule="auto"/>
              <w:ind w:firstLine="0" w:left="0" w:right="0"/>
              <w:jc w:val="left"/>
              <w:jc w:val="center"/>
            </w:pPr>
            <m:oMath>
              <m:sSub>
                <m:e>
                  <m:r>
                    <w:rPr>
                      <w:sz w:val="16"/>
                    </w:rPr>
                    <m:t>w</m:t>
                  </m:r>
                </m:e>
                <m:sub>
                  <m:r>
                    <m:rPr>
                      <m:nor/>
                      <m:sty m:val="p"/>
                    </m:rPr>
                    <w:rPr>
                      <w:sz w:val="16"/>
                    </w:rPr>
                    <m:t>voc</m:t>
                  </m:r>
                </m:sub>
              </m:sSub>
              <m:r>
                <m:rPr>
                  <m:sty m:val="p"/>
                </m:rPr>
                <w:rPr>
                  <w:sz w:val="16"/>
                </w:rPr>
                <m:t>,</m:t>
              </m:r>
              <m:sSub>
                <m:e>
                  <m:r>
                    <w:rPr>
                      <w:sz w:val="16"/>
                    </w:rPr>
                    <m:t>w</m:t>
                  </m:r>
                </m:e>
                <m:sub>
                  <m:r>
                    <m:rPr>
                      <m:nor/>
                      <m:sty m:val="p"/>
                    </m:rPr>
                    <w:rPr>
                      <w:sz w:val="16"/>
                    </w:rPr>
                    <m:t>gov</m:t>
                  </m:r>
                </m:sub>
              </m:sSub>
            </m:oMath>
          </w:p>
        </w:tc>
        <w:tc>
          <w:tcPr/>
          <w:p>
            <w:pPr>
              <w:pStyle w:val="Compact"/>
              <w:keepNext/>
              <w:spacing w:before="8" w:after="8" w:line="240" w:lineRule="auto"/>
              <w:ind w:firstLine="0" w:left="0" w:right="0"/>
              <w:jc w:val="left"/>
              <w:jc w:val="center"/>
            </w:pPr>
            <w:r>
              <w:rPr>
                <w:rFonts w:ascii="Calibri" w:hAnsi="Calibri"/>
                <w:sz w:val="16"/>
              </w:rPr>
              <w:t xml:space="preserve">Trailing 12-month archetype mixture relative to Defensive reference</w:t>
            </w:r>
          </w:p>
        </w:tc>
        <w:tc>
          <w:tcPr/>
          <w:p>
            <w:pPr>
              <w:pStyle w:val="Compact"/>
              <w:keepNext/>
              <w:spacing w:before="8" w:after="8" w:line="240" w:lineRule="auto"/>
              <w:ind w:firstLine="0" w:left="0" w:right="0"/>
              <w:jc w:val="right"/>
              <w:jc w:val="center"/>
            </w:pPr>
            <w:r>
              <w:rPr>
                <w:rFonts w:ascii="Calibri" w:hAnsi="Calibri"/>
                <w:sz w:val="16"/>
              </w:rPr>
              <w:t xml:space="preserve">[0, 1]</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Lagged outcome</w:t>
            </w:r>
          </w:p>
        </w:tc>
        <w:tc>
          <w:tcPr/>
          <w:p>
            <w:pPr>
              <w:pStyle w:val="Compact"/>
              <w:keepNext/>
              <w:spacing w:before="8" w:after="8" w:line="240" w:lineRule="auto"/>
              <w:ind w:firstLine="0" w:left="0" w:right="0"/>
              <w:jc w:val="left"/>
              <w:jc w:val="center"/>
            </w:pPr>
            <m:oMath>
              <m:sSub>
                <m:e>
                  <m:r>
                    <w:rPr>
                      <w:sz w:val="16"/>
                    </w:rPr>
                    <m:t>Y</m:t>
                  </m:r>
                </m:e>
                <m:sub>
                  <m:r>
                    <w:rPr>
                      <w:sz w:val="16"/>
                    </w:rPr>
                    <m:t>t</m:t>
                  </m:r>
                  <m:r>
                    <m:rPr>
                      <m:sty m:val="p"/>
                    </m:rPr>
                    <w:rPr>
                      <w:sz w:val="16"/>
                    </w:rPr>
                    <m:t>−</m:t>
                  </m:r>
                  <m:r>
                    <w:rPr>
                      <w:sz w:val="16"/>
                    </w:rPr>
                    <m:t>1</m:t>
                  </m:r>
                </m:sub>
              </m:sSub>
            </m:oMath>
          </w:p>
        </w:tc>
        <w:tc>
          <w:tcPr/>
          <w:p>
            <w:pPr>
              <w:pStyle w:val="Compact"/>
              <w:keepNext/>
              <w:spacing w:before="8" w:after="8" w:line="240" w:lineRule="auto"/>
              <w:ind w:firstLine="0" w:left="0" w:right="0"/>
              <w:jc w:val="left"/>
              <w:jc w:val="center"/>
            </w:pPr>
            <w:r>
              <w:rPr>
                <w:rFonts w:ascii="Calibri" w:hAnsi="Calibri"/>
                <w:sz w:val="16"/>
              </w:rPr>
              <w:t xml:space="preserve">Pre-call level of the same construct, where one exists</w:t>
            </w:r>
          </w:p>
        </w:tc>
        <w:tc>
          <w:tcPr/>
          <w:p>
            <w:pPr>
              <w:pStyle w:val="Compact"/>
              <w:keepNext/>
              <w:spacing w:before="8" w:after="8" w:line="240" w:lineRule="auto"/>
              <w:ind w:firstLine="0" w:left="0" w:right="0"/>
              <w:jc w:val="left"/>
              <w:jc w:val="center"/>
            </w:pPr>
            <w:r>
              <w:rPr>
                <w:rFonts w:ascii="Calibri" w:hAnsi="Calibri"/>
                <w:sz w:val="16"/>
              </w:rPr>
              <w:t xml:space="preserve">Standardized</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Controls</w:t>
            </w:r>
          </w:p>
        </w:tc>
        <w:tc>
          <w:tcPr/>
          <w:p>
            <w:pPr>
              <w:pStyle w:val="Compact"/>
              <w:keepNext/>
              <w:spacing w:before="8" w:after="8" w:line="240" w:lineRule="auto"/>
              <w:ind w:firstLine="0" w:left="0" w:right="0"/>
              <w:jc w:val="left"/>
              <w:jc w:val="center"/>
            </w:pPr>
            <w:r>
              <w:rPr>
                <w:rFonts w:ascii="Calibri" w:hAnsi="Calibri"/>
                <w:sz w:val="16"/>
              </w:rPr>
              <w:t xml:space="preserve">n/a</w:t>
            </w:r>
          </w:p>
        </w:tc>
        <w:tc>
          <w:tcPr/>
          <w:p>
            <w:pPr>
              <w:pStyle w:val="Compact"/>
              <w:keepNext/>
              <w:spacing w:before="8" w:after="8" w:line="240" w:lineRule="auto"/>
              <w:ind w:firstLine="0" w:left="0" w:right="0"/>
              <w:jc w:val="left"/>
              <w:jc w:val="center"/>
            </w:pPr>
            <w:r>
              <w:rPr>
                <w:rFonts w:ascii="Calibri" w:hAnsi="Calibri"/>
                <w:sz w:val="16"/>
              </w:rPr>
              <w:t xml:space="preserve">Log market cap, 60-day pre-call return, ROA</w:t>
            </w:r>
          </w:p>
        </w:tc>
        <w:tc>
          <w:tcPr/>
          <w:p>
            <w:pPr>
              <w:pStyle w:val="Compact"/>
              <w:keepNext/>
              <w:spacing w:before="8" w:after="8" w:line="240" w:lineRule="auto"/>
              <w:ind w:firstLine="0" w:left="0" w:right="0"/>
              <w:jc w:val="left"/>
              <w:jc w:val="center"/>
            </w:pPr>
            <w:r>
              <w:rPr>
                <w:rFonts w:ascii="Calibri" w:hAnsi="Calibri"/>
                <w:sz w:val="16"/>
              </w:rPr>
              <w:t xml:space="preserve">Standardized</w:t>
            </w:r>
          </w:p>
        </w:tc>
      </w:tr>
      <w:tr>
        <w:trPr>
          <w:cantSplit/>
        </w:trPr>
        <w:tc>
          <w:tcPr/>
          <w:p>
            <w:pPr>
              <w:pStyle w:val="Compact"/>
              <w:spacing w:before="8" w:after="8" w:line="240" w:lineRule="auto"/>
              <w:ind w:firstLine="0" w:left="0" w:right="0"/>
              <w:jc w:val="left"/>
              <w:jc w:val="center"/>
            </w:pPr>
            <w:r>
              <w:rPr>
                <w:rFonts w:ascii="Calibri" w:hAnsi="Calibri"/>
                <w:sz w:val="16"/>
              </w:rPr>
              <w:t xml:space="preserve">Crash-risk controls (KLZ)</w:t>
            </w:r>
          </w:p>
        </w:tc>
        <w:tc>
          <w:tcPr/>
          <w:p>
            <w:pPr>
              <w:pStyle w:val="Compact"/>
              <w:spacing w:before="8" w:after="8" w:line="240" w:lineRule="auto"/>
              <w:ind w:firstLine="0" w:left="0" w:right="0"/>
              <w:jc w:val="left"/>
              <w:jc w:val="center"/>
            </w:pPr>
            <m:oMath>
              <m:r>
                <m:rPr>
                  <m:nor/>
                  <m:sty m:val="p"/>
                </m:rPr>
                <w:rPr>
                  <w:sz w:val="16"/>
                </w:rPr>
                <m:t>DTURN</m:t>
              </m:r>
              <m:r>
                <m:rPr>
                  <m:sty m:val="p"/>
                </m:rPr>
                <w:rPr>
                  <w:sz w:val="16"/>
                </w:rPr>
                <m:t>,</m:t>
              </m:r>
              <m:r>
                <m:rPr>
                  <m:nor/>
                  <m:sty m:val="p"/>
                </m:rPr>
                <w:rPr>
                  <w:sz w:val="16"/>
                </w:rPr>
                <m:t>SIGMA</m:t>
              </m:r>
              <m:r>
                <m:rPr>
                  <m:sty m:val="p"/>
                </m:rPr>
                <w:rPr>
                  <w:sz w:val="16"/>
                </w:rPr>
                <m:t>,</m:t>
              </m:r>
              <m:r>
                <m:rPr>
                  <m:nor/>
                  <m:sty m:val="p"/>
                </m:rPr>
                <w:rPr>
                  <w:sz w:val="16"/>
                </w:rPr>
                <m:t>RET</m:t>
              </m:r>
              <m:r>
                <m:rPr>
                  <m:sty m:val="p"/>
                </m:rPr>
                <w:rPr>
                  <w:sz w:val="16"/>
                </w:rPr>
                <m:t>,</m:t>
              </m:r>
              <m:r>
                <m:rPr>
                  <m:nor/>
                  <m:sty m:val="p"/>
                </m:rPr>
                <w:rPr>
                  <w:sz w:val="16"/>
                </w:rPr>
                <m:t>MB</m:t>
              </m:r>
              <m:r>
                <m:rPr>
                  <m:sty m:val="p"/>
                </m:rPr>
                <w:rPr>
                  <w:sz w:val="16"/>
                </w:rPr>
                <m:t>,</m:t>
              </m:r>
              <m:r>
                <m:rPr>
                  <m:nor/>
                  <m:sty m:val="p"/>
                </m:rPr>
                <w:rPr>
                  <w:sz w:val="16"/>
                </w:rPr>
                <m:t>LEV</m:t>
              </m:r>
            </m:oMath>
          </w:p>
        </w:tc>
        <w:tc>
          <w:tcPr/>
          <w:p>
            <w:pPr>
              <w:pStyle w:val="Compact"/>
              <w:spacing w:before="8" w:after="8" w:line="240" w:lineRule="auto"/>
              <w:ind w:firstLine="0" w:left="0" w:right="0"/>
              <w:jc w:val="left"/>
              <w:jc w:val="center"/>
            </w:pPr>
            <w:r>
              <w:rPr>
                <w:rFonts w:ascii="Calibri" w:hAnsi="Calibri"/>
                <w:sz w:val="16"/>
              </w:rPr>
              <w:t xml:space="preserve">Share-turnover change, pre-call return volatility and mean, market-to-book, leverage</w:t>
            </w:r>
          </w:p>
        </w:tc>
        <w:tc>
          <w:tcPr/>
          <w:p>
            <w:pPr>
              <w:pStyle w:val="Compact"/>
              <w:spacing w:before="8" w:after="8" w:line="240" w:lineRule="auto"/>
              <w:ind w:firstLine="0" w:left="0" w:right="0"/>
              <w:jc w:val="left"/>
              <w:jc w:val="center"/>
            </w:pPr>
            <w:r>
              <w:rPr>
                <w:rFonts w:ascii="Calibri" w:hAnsi="Calibri"/>
                <w:sz w:val="16"/>
              </w:rPr>
              <w:t xml:space="preserve">Standardized</w:t>
            </w:r>
          </w:p>
        </w:tc>
      </w:tr>
    </w:tbl>
    <w:bookmarkEnd w:id="73"/>
    <w:p/>
    <w:p>
      <w:pPr>
        <w:pStyle w:val="Textoindependiente"/>
      </w:pPr>
      <w:r>
        <w:t xml:space="preserve">The estimating equation is an analysis of covariance (ANCOVA) regressing post-call outcomes on predetermined disclosure quantities, the lagged outcome</w:t>
      </w:r>
      <w:r>
        <w:t xml:space="preserve"> </w:t>
      </w:r>
      <m:oMath>
        <m:sSub>
          <m:e>
            <m:r>
              <w:rPr>
                <w:sz w:val="22"/>
              </w:rPr>
              <m:t>Y</m:t>
            </m:r>
          </m:e>
          <m:sub>
            <m:r>
              <w:rPr>
                <w:sz w:val="22"/>
              </w:rPr>
              <m:t>i</m:t>
            </m:r>
            <m:r>
              <m:rPr>
                <m:sty m:val="p"/>
              </m:rPr>
              <w:rPr>
                <w:sz w:val="22"/>
              </w:rPr>
              <m:t>,</m:t>
            </m:r>
            <m:sSup>
              <m:e>
                <m:r>
                  <w:rPr>
                    <w:sz w:val="22"/>
                  </w:rPr>
                  <m:t>t</m:t>
                </m:r>
              </m:e>
              <m:sup>
                <m:r>
                  <m:rPr>
                    <m:sty m:val="p"/>
                  </m:rPr>
                  <w:rPr>
                    <w:sz w:val="22"/>
                  </w:rPr>
                  <m:t>−</m:t>
                </m:r>
              </m:sup>
            </m:sSup>
          </m:sub>
        </m:sSub>
      </m:oMath>
      <w:r>
        <w:t xml:space="preserve"> </w:t>
      </w:r>
      <w:r>
        <w:t xml:space="preserve">where the outcome has a pre-call level of the same construct, predetermined controls (log market capitalization, 60-day return momentum, and ROA, plus the KLZ controls for the two crash-risk outcomes), additive sector and year fixed effects, and standard errors clustered at the firm level:</w:t>
      </w:r>
    </w:p>
    <w:p>
      <w:pPr>
        <w:pStyle w:val="Textoindependiente"/>
      </w:pPr>
      <m:oMathPara>
        <m:oMathParaPr>
          <m:jc m:val="center"/>
        </m:oMathParaPr>
        <m:oMath>
          <m:sSub>
            <m:e>
              <m:r>
                <w:rPr>
                  <w:sz w:val="22"/>
                </w:rPr>
                <m:t>Y</m:t>
              </m:r>
            </m:e>
            <m:sub>
              <m:r>
                <w:rPr>
                  <w:sz w:val="22"/>
                </w:rPr>
                <m:t>i</m:t>
              </m:r>
              <m:r>
                <m:rPr>
                  <m:sty m:val="p"/>
                </m:rPr>
                <w:rPr>
                  <w:sz w:val="22"/>
                </w:rPr>
                <m:t>,</m:t>
              </m:r>
              <m:r>
                <w:rPr>
                  <w:sz w:val="22"/>
                </w:rPr>
                <m:t>t</m:t>
              </m:r>
            </m:sub>
          </m:sSub>
          <m:r>
            <m:rPr>
              <m:sty m:val="p"/>
            </m:rPr>
            <w:rPr>
              <w:sz w:val="22"/>
            </w:rPr>
            <m:t>=</m:t>
          </m:r>
          <m:r>
            <w:rPr>
              <w:sz w:val="22"/>
            </w:rPr>
            <m:t>α</m:t>
          </m:r>
          <m:r>
            <m:rPr>
              <m:sty m:val="p"/>
            </m:rPr>
            <w:rPr>
              <w:sz w:val="22"/>
            </w:rPr>
            <m:t>+</m:t>
          </m:r>
          <m:r>
            <w:rPr>
              <w:sz w:val="22"/>
            </w:rPr>
            <m:t>β</m:t>
          </m:r>
          <m:r>
            <w:rPr>
              <w:sz w:val="22"/>
            </w:rPr>
            <m:t> </m:t>
          </m:r>
          <m:sSub>
            <m:e>
              <m:r>
                <m:rPr>
                  <m:nor/>
                  <m:sty m:val="p"/>
                </m:rPr>
                <w:rPr>
                  <w:sz w:val="22"/>
                </w:rPr>
                <m:t>Disclosure</m:t>
              </m:r>
            </m:e>
            <m:sub>
              <m:r>
                <w:rPr>
                  <w:sz w:val="22"/>
                </w:rPr>
                <m:t>i</m:t>
              </m:r>
              <m:r>
                <m:rPr>
                  <m:sty m:val="p"/>
                </m:rPr>
                <w:rPr>
                  <w:sz w:val="22"/>
                </w:rPr>
                <m:t>,</m:t>
              </m:r>
              <m:sSup>
                <m:e>
                  <m:r>
                    <w:rPr>
                      <w:sz w:val="22"/>
                    </w:rPr>
                    <m:t>t</m:t>
                  </m:r>
                </m:e>
                <m:sup>
                  <m:r>
                    <m:rPr>
                      <m:sty m:val="p"/>
                    </m:rPr>
                    <w:rPr>
                      <w:sz w:val="22"/>
                    </w:rPr>
                    <m:t>−</m:t>
                  </m:r>
                </m:sup>
              </m:sSup>
            </m:sub>
          </m:sSub>
          <m:r>
            <m:rPr>
              <m:sty m:val="p"/>
            </m:rPr>
            <w:rPr>
              <w:sz w:val="22"/>
            </w:rPr>
            <m:t>+</m:t>
          </m:r>
          <m:r>
            <w:rPr>
              <w:sz w:val="22"/>
            </w:rPr>
            <m:t>γ</m:t>
          </m:r>
          <m:r>
            <w:rPr>
              <w:sz w:val="22"/>
            </w:rPr>
            <m:t> </m:t>
          </m:r>
          <m:sSub>
            <m:e>
              <m:r>
                <w:rPr>
                  <w:sz w:val="22"/>
                </w:rPr>
                <m:t>Y</m:t>
              </m:r>
            </m:e>
            <m:sub>
              <m:r>
                <w:rPr>
                  <w:sz w:val="22"/>
                </w:rPr>
                <m:t>i</m:t>
              </m:r>
              <m:r>
                <m:rPr>
                  <m:sty m:val="p"/>
                </m:rPr>
                <w:rPr>
                  <w:sz w:val="22"/>
                </w:rPr>
                <m:t>,</m:t>
              </m:r>
              <m:sSup>
                <m:e>
                  <m:r>
                    <w:rPr>
                      <w:sz w:val="22"/>
                    </w:rPr>
                    <m:t>t</m:t>
                  </m:r>
                </m:e>
                <m:sup>
                  <m:r>
                    <m:rPr>
                      <m:sty m:val="p"/>
                    </m:rPr>
                    <w:rPr>
                      <w:sz w:val="22"/>
                    </w:rPr>
                    <m:t>−</m:t>
                  </m:r>
                </m:sup>
              </m:sSup>
            </m:sub>
          </m:sSub>
          <m:r>
            <m:rPr>
              <m:sty m:val="p"/>
            </m:rPr>
            <w:rPr>
              <w:sz w:val="22"/>
            </w:rPr>
            <m:t>+</m:t>
          </m:r>
          <m:r>
            <w:rPr>
              <w:sz w:val="22"/>
            </w:rPr>
            <m:t>δ</m:t>
          </m:r>
          <m:r>
            <w:rPr>
              <w:sz w:val="22"/>
            </w:rPr>
            <m:t> </m:t>
          </m:r>
          <m:sSub>
            <m:e>
              <m:r>
                <m:rPr>
                  <m:nor/>
                  <m:sty m:val="p"/>
                </m:rPr>
                <w:rPr>
                  <w:sz w:val="22"/>
                </w:rPr>
                <m:t>Controls</m:t>
              </m:r>
            </m:e>
            <m:sub>
              <m:r>
                <w:rPr>
                  <w:sz w:val="22"/>
                </w:rPr>
                <m:t>i</m:t>
              </m:r>
              <m:r>
                <m:rPr>
                  <m:sty m:val="p"/>
                </m:rPr>
                <w:rPr>
                  <w:sz w:val="22"/>
                </w:rPr>
                <m:t>,</m:t>
              </m:r>
              <m:sSup>
                <m:e>
                  <m:r>
                    <w:rPr>
                      <w:sz w:val="22"/>
                    </w:rPr>
                    <m:t>t</m:t>
                  </m:r>
                </m:e>
                <m:sup>
                  <m:r>
                    <m:rPr>
                      <m:sty m:val="p"/>
                    </m:rPr>
                    <w:rPr>
                      <w:sz w:val="22"/>
                    </w:rPr>
                    <m:t>−</m:t>
                  </m:r>
                </m:sup>
              </m:sSup>
            </m:sub>
          </m:sSub>
          <m:r>
            <m:rPr>
              <m:sty m:val="p"/>
            </m:rPr>
            <w:rPr>
              <w:sz w:val="22"/>
            </w:rPr>
            <m:t>+</m:t>
          </m:r>
          <m:sSub>
            <m:e>
              <m:r>
                <m:rPr>
                  <m:nor/>
                  <m:sty m:val="p"/>
                </m:rPr>
                <w:rPr>
                  <w:sz w:val="22"/>
                </w:rPr>
                <m:t>Sector</m:t>
              </m:r>
            </m:e>
            <m:sub>
              <m:r>
                <w:rPr>
                  <w:sz w:val="22"/>
                </w:rPr>
                <m:t>i</m:t>
              </m:r>
            </m:sub>
          </m:sSub>
          <m:r>
            <m:rPr>
              <m:sty m:val="p"/>
            </m:rPr>
            <w:rPr>
              <w:sz w:val="22"/>
            </w:rPr>
            <m:t>+</m:t>
          </m:r>
          <m:sSub>
            <m:e>
              <m:r>
                <m:rPr>
                  <m:nor/>
                  <m:sty m:val="p"/>
                </m:rPr>
                <w:rPr>
                  <w:sz w:val="22"/>
                </w:rPr>
                <m:t>Year</m:t>
              </m:r>
            </m:e>
            <m:sub>
              <m:r>
                <w:rPr>
                  <w:sz w:val="22"/>
                </w:rPr>
                <m:t>t</m:t>
              </m:r>
            </m:sub>
          </m:sSub>
          <m:r>
            <m:rPr>
              <m:sty m:val="p"/>
            </m:rPr>
            <w:rPr>
              <w:sz w:val="22"/>
            </w:rPr>
            <m:t>+</m:t>
          </m:r>
          <m:sSub>
            <m:e>
              <m:r>
                <w:rPr>
                  <w:sz w:val="22"/>
                </w:rPr>
                <m:t>ε</m:t>
              </m:r>
            </m:e>
            <m:sub>
              <m:r>
                <w:rPr>
                  <w:sz w:val="22"/>
                </w:rPr>
                <m:t>i</m:t>
              </m:r>
              <m:r>
                <m:rPr>
                  <m:sty m:val="p"/>
                </m:rPr>
                <w:rPr>
                  <w:sz w:val="22"/>
                </w:rPr>
                <m:t>,</m:t>
              </m:r>
              <m:r>
                <w:rPr>
                  <w:sz w:val="22"/>
                </w:rPr>
                <m:t>t</m:t>
              </m:r>
            </m:sub>
          </m:sSub>
        </m:oMath>
      </m:oMathPara>
    </w:p>
    <w:p>
      <w:pPr>
        <w:pStyle w:val="FirstParagraph"/>
      </w:pPr>
      <w:r>
        <w:t xml:space="preserve">The archetype weights sum to one, so the Defensive posture is kept as the reference vertex. The coefficients on</w:t>
      </w:r>
      <w:r>
        <w:t xml:space="preserve"> </w:t>
      </w:r>
      <m:oMath>
        <m:sSub>
          <m:e>
            <m:r>
              <w:rPr>
                <w:sz w:val="22"/>
              </w:rPr>
              <m:t>w</m:t>
            </m:r>
          </m:e>
          <m:sub>
            <m:r>
              <m:rPr>
                <m:nor/>
                <m:sty m:val="p"/>
              </m:rPr>
              <w:rPr>
                <w:sz w:val="22"/>
              </w:rPr>
              <m:t>voc</m:t>
            </m:r>
          </m:sub>
        </m:sSub>
      </m:oMath>
      <w:r>
        <w:t xml:space="preserve"> </w:t>
      </w:r>
      <w:r>
        <w:t xml:space="preserve">and</w:t>
      </w:r>
      <w:r>
        <w:t xml:space="preserve"> </w:t>
      </w:r>
      <m:oMath>
        <m:sSub>
          <m:e>
            <m:r>
              <w:rPr>
                <w:sz w:val="22"/>
              </w:rPr>
              <m:t>w</m:t>
            </m:r>
          </m:e>
          <m:sub>
            <m:r>
              <m:rPr>
                <m:nor/>
                <m:sty m:val="p"/>
              </m:rPr>
              <w:rPr>
                <w:sz w:val="22"/>
              </w:rPr>
              <m:t>gov</m:t>
            </m:r>
          </m:sub>
        </m:sSub>
      </m:oMath>
      <w:r>
        <w:t xml:space="preserve"> </w:t>
      </w:r>
      <w:r>
        <w:t xml:space="preserve">are therefore reallocations of weight away from Defensive, and a shift of 10 percentage points corresponds to</w:t>
      </w:r>
      <w:r>
        <w:t xml:space="preserve"> </w:t>
      </w:r>
      <m:oMath>
        <m:r>
          <w:rPr>
            <w:sz w:val="22"/>
          </w:rPr>
          <m:t>0.10</m:t>
        </m:r>
        <m:r>
          <m:rPr>
            <m:sty m:val="p"/>
          </m:rPr>
          <w:rPr>
            <w:sz w:val="22"/>
          </w:rPr>
          <m:t>×</m:t>
        </m:r>
        <m:r>
          <w:rPr>
            <w:sz w:val="22"/>
          </w:rPr>
          <m:t>β</m:t>
        </m:r>
      </m:oMath>
      <w:r>
        <w:t xml:space="preserve">. The indicator</w:t>
      </w:r>
      <w:r>
        <w:t xml:space="preserve"> </w:t>
      </w:r>
      <m:oMath>
        <m:r>
          <m:rPr>
            <m:nor/>
            <m:sty m:val="p"/>
          </m:rPr>
          <w:rPr>
            <w:sz w:val="22"/>
          </w:rPr>
          <m:t>has</m:t>
        </m:r>
      </m:oMath>
      <w:r>
        <w:t xml:space="preserve"> </w:t>
      </w:r>
      <w:r>
        <w:t xml:space="preserve">covers the extensive margin, that is, whether the firm discloses any AI activity at all, which keeps the decision to speak apart from the way the posture is distributed.</w:t>
      </w:r>
    </w:p>
    <w:bookmarkEnd w:id="74"/>
    <w:bookmarkStart w:id="76" w:name="outcomes-and-their-measurement-windows"/>
    <w:p>
      <w:pPr>
        <w:pStyle w:val="Ttulo2"/>
      </w:pPr>
      <w:r>
        <w:t xml:space="preserve">5.2 Outcomes and their measurement windows</w:t>
      </w:r>
    </w:p>
    <w:p>
      <w:pPr>
        <w:pStyle w:val="FirstParagraph"/>
      </w:pPr>
      <w:hyperlink w:anchor="tbl-market-outcomes">
        <w:r>
          <w:rPr>
            <w:rStyle w:val="Hipervnculo"/>
          </w:rPr>
          <w:t xml:space="preserve">Table 13</w:t>
        </w:r>
      </w:hyperlink>
      <w:r>
        <w:t xml:space="preserve"> </w:t>
      </w:r>
      <w:r>
        <w:t xml:space="preserve">lists the eight outcomes. Each is drawn from a design already established in the event-study and crash-risk literatures, applied here to the firm’s own earnings call rather than to an earnings announcement or a macro shock.</w:t>
      </w:r>
    </w:p>
    <w:bookmarkStart w:id="77" w:name="tbl-market-outcomes"/>
    <w:p>
      <w:pPr>
        <w:keepNext/>
        <w:pStyle w:val="ImageCaption"/>
        <w:jc w:val="left"/>
        <w:spacing w:before="200"/>
        <w:ind w:firstLine="0" w:left="0" w:right="0"/>
      </w:pPr>
      <w:r>
        <w:t xml:space="preserve">Table 13: Outcomes and their measurement windows. The beta shift is a single pooled regression over the trading days on both sides of the call, with a 21-trading-day gap left on each side of the call date; the two CAR outcomes and the two weekly crash-risk measures are estimated from the residuals of a separate market model fit before the call; the three accounting outcomes are measured over the four fiscal quarters that follow the call’s own quarter, against the four that precede it, with ratio changes winsorized at 1% to limit denominator distortion.</w:t>
      </w:r>
      <w:r>
        <w:t xml:space="preserve"> </w:t>
      </w:r>
      <w:hyperlink w:anchor="appendix-a8">
        <w:r>
          <w:rPr>
            <w:rStyle w:val="Hipervnculo"/>
          </w:rPr>
          <w:t xml:space="preserve">Appendix A.8</w:t>
        </w:r>
      </w:hyperlink>
      <w:r>
        <w:t xml:space="preserve"> </w:t>
      </w:r>
      <w:r>
        <w:t xml:space="preserve">gives the estimating equations.</w:t>
      </w:r>
    </w:p>
    <w:tbl>
      <w:tblPr>
        <w:tblStyle w:val="Table"/>
        <w:tblW w:type="pct" w:w="5000"/>
        <w:jc w:val="center"/>
        <w:tblLayout w:type="fixed"/>
        <w:tblLook w:firstRow="1" w:lastRow="0" w:firstColumn="0" w:lastColumn="0" w:noHBand="0" w:noVBand="0" w:val="0020"/>
        <w:tblBorders>
          <w:top w:val="single" w:sz="8" w:space="0" w:color="0F172A"/>
          <w:bottom w:val="single" w:sz="8" w:space="0" w:color="0F172A"/>
          <w:left w:val="none"/>
          <w:right w:val="none"/>
          <w:insideH w:val="single" w:sz="4" w:space="0" w:color="E2E8F0"/>
          <w:insideV w:val="none"/>
        </w:tblBorders>
        <w:tblCellMar>
          <w:top w:w="26" w:type="dxa"/>
          <w:bottom w:w="26" w:type="dxa"/>
          <w:left w:w="48" w:type="dxa"/>
          <w:right w:w="48" w:type="dxa"/>
        </w:tblCellMar>
      </w:tblPr>
      <w:tblGrid>
        <w:gridCol w:w="2640"/>
        <w:gridCol w:w="2640"/>
        <w:gridCol w:w="2640"/>
      </w:tblGrid>
      <w:tr>
        <w:trPr>
          <w:tblHeader w:val="on"/>
          <w:cantSplit/>
          <w:tblHeader/>
        </w:trPr>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6"/>
              </w:rPr>
              <w:t xml:space="preserve">Outcome</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6"/>
              </w:rPr>
              <w:t xml:space="preserve">Window</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6"/>
              </w:rPr>
              <w:t xml:space="preserve">Form</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Beta shift (Brenner 1979)</w:t>
            </w:r>
          </w:p>
        </w:tc>
        <w:tc>
          <w:tcPr/>
          <w:p>
            <w:pPr>
              <w:pStyle w:val="Compact"/>
              <w:keepNext/>
              <w:spacing w:before="8" w:after="8" w:line="240" w:lineRule="auto"/>
              <w:ind w:firstLine="0" w:left="0" w:right="0"/>
              <w:jc w:val="left"/>
              <w:jc w:val="center"/>
            </w:pPr>
            <w:r>
              <w:rPr>
                <w:rFonts w:ascii="Calibri" w:hAnsi="Calibri"/>
                <w:sz w:val="16"/>
              </w:rPr>
              <w:t xml:space="preserve">Trading days</w:t>
            </w:r>
            <w:r>
              <w:rPr>
                <w:rFonts w:ascii="Calibri" w:hAnsi="Calibri"/>
                <w:sz w:val="16"/>
              </w:rPr>
              <w:t xml:space="preserve"> </w:t>
            </w:r>
            <m:oMath>
              <m:r>
                <m:rPr>
                  <m:sty m:val="p"/>
                </m:rPr>
                <w:rPr>
                  <w:sz w:val="16"/>
                </w:rPr>
                <m:t>[</m:t>
              </m:r>
              <m:r>
                <m:rPr>
                  <m:sty m:val="p"/>
                </m:rPr>
                <w:rPr>
                  <w:sz w:val="16"/>
                </w:rPr>
                <m:t>−</m:t>
              </m:r>
              <m:r>
                <w:rPr>
                  <w:sz w:val="16"/>
                </w:rPr>
                <m:t>63</m:t>
              </m:r>
              <m:r>
                <m:rPr>
                  <m:sty m:val="p"/>
                </m:rPr>
                <w:rPr>
                  <w:sz w:val="16"/>
                </w:rPr>
                <m:t>,</m:t>
              </m:r>
              <m:r>
                <m:rPr>
                  <m:sty m:val="p"/>
                </m:rPr>
                <w:rPr>
                  <w:sz w:val="16"/>
                </w:rPr>
                <m:t>−</m:t>
              </m:r>
              <m:r>
                <w:rPr>
                  <w:sz w:val="16"/>
                </w:rPr>
                <m:t>21</m:t>
              </m:r>
              <m:r>
                <m:rPr>
                  <m:sty m:val="p"/>
                </m:rPr>
                <w:rPr>
                  <w:sz w:val="16"/>
                </w:rPr>
                <m:t>)</m:t>
              </m:r>
            </m:oMath>
            <w:r>
              <w:rPr>
                <w:rFonts w:ascii="Calibri" w:hAnsi="Calibri"/>
                <w:sz w:val="16"/>
              </w:rPr>
              <w:t xml:space="preserve"> </w:t>
            </w:r>
            <w:r>
              <w:rPr>
                <w:rFonts w:ascii="Calibri" w:hAnsi="Calibri"/>
                <w:sz w:val="16"/>
              </w:rPr>
              <w:t xml:space="preserve">and</w:t>
            </w:r>
            <w:r>
              <w:rPr>
                <w:rFonts w:ascii="Calibri" w:hAnsi="Calibri"/>
                <w:sz w:val="16"/>
              </w:rPr>
              <w:t xml:space="preserve"> </w:t>
            </w:r>
            <m:oMath>
              <m:r>
                <m:rPr>
                  <m:sty m:val="p"/>
                </m:rPr>
                <w:rPr>
                  <w:sz w:val="16"/>
                </w:rPr>
                <m:t>[</m:t>
              </m:r>
              <m:r>
                <m:rPr>
                  <m:sty m:val="p"/>
                </m:rPr>
                <w:rPr>
                  <w:sz w:val="16"/>
                </w:rPr>
                <m:t>+</m:t>
              </m:r>
              <m:r>
                <w:rPr>
                  <w:sz w:val="16"/>
                </w:rPr>
                <m:t>21</m:t>
              </m:r>
              <m:r>
                <m:rPr>
                  <m:sty m:val="p"/>
                </m:rPr>
                <w:rPr>
                  <w:sz w:val="16"/>
                </w:rPr>
                <m:t>,</m:t>
              </m:r>
              <m:r>
                <m:rPr>
                  <m:sty m:val="p"/>
                </m:rPr>
                <w:rPr>
                  <w:sz w:val="16"/>
                </w:rPr>
                <m:t>+</m:t>
              </m:r>
              <m:r>
                <w:rPr>
                  <w:sz w:val="16"/>
                </w:rPr>
                <m:t>63</m:t>
              </m:r>
              <m:r>
                <m:rPr>
                  <m:sty m:val="p"/>
                </m:rPr>
                <w:rPr>
                  <w:sz w:val="16"/>
                </w:rPr>
                <m:t>)</m:t>
              </m:r>
            </m:oMath>
            <w:r>
              <w:rPr>
                <w:rFonts w:ascii="Calibri" w:hAnsi="Calibri"/>
                <w:sz w:val="16"/>
              </w:rPr>
              <w:t xml:space="preserve"> </w:t>
            </w:r>
            <w:r>
              <w:rPr>
                <w:rFonts w:ascii="Calibri" w:hAnsi="Calibri"/>
                <w:sz w:val="16"/>
              </w:rPr>
              <w:t xml:space="preserve">around the call, pooled</w:t>
            </w:r>
          </w:p>
        </w:tc>
        <w:tc>
          <w:tcPr/>
          <w:p>
            <w:pPr>
              <w:pStyle w:val="Compact"/>
              <w:keepNext/>
              <w:spacing w:before="8" w:after="8" w:line="240" w:lineRule="auto"/>
              <w:ind w:firstLine="0" w:left="0" w:right="0"/>
              <w:jc w:val="left"/>
              <w:jc w:val="center"/>
            </w:pPr>
            <w:r>
              <w:rPr>
                <w:rFonts w:ascii="Calibri" w:hAnsi="Calibri"/>
                <w:sz w:val="16"/>
              </w:rPr>
              <w:t xml:space="preserve">Change in slope (POST</w:t>
            </w:r>
            <w:r>
              <w:rPr>
                <w:rFonts w:ascii="Calibri" w:hAnsi="Calibri"/>
                <w:sz w:val="16"/>
              </w:rPr>
              <w:t xml:space="preserve"> </w:t>
            </w:r>
            <m:oMath>
              <m:r>
                <m:rPr>
                  <m:sty m:val="p"/>
                </m:rPr>
                <w:rPr>
                  <w:sz w:val="16"/>
                </w:rPr>
                <m:t>×</m:t>
              </m:r>
            </m:oMath>
            <w:r>
              <w:rPr>
                <w:rFonts w:ascii="Calibri" w:hAnsi="Calibri"/>
                <w:sz w:val="16"/>
              </w:rPr>
              <w:t xml:space="preserve"> </w:t>
            </w:r>
            <w:r>
              <w:rPr>
                <w:rFonts w:ascii="Calibri" w:hAnsi="Calibri"/>
                <w:sz w:val="16"/>
              </w:rPr>
              <w:t xml:space="preserve">MKT interaction)</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Cumulative abnormal return, CAR[-1,+1]</w:t>
            </w:r>
          </w:p>
        </w:tc>
        <w:tc>
          <w:tcPr/>
          <w:p>
            <w:pPr>
              <w:pStyle w:val="Compact"/>
              <w:keepNext/>
              <w:spacing w:before="8" w:after="8" w:line="240" w:lineRule="auto"/>
              <w:ind w:firstLine="0" w:left="0" w:right="0"/>
              <w:jc w:val="left"/>
              <w:jc w:val="center"/>
            </w:pPr>
            <w:r>
              <w:rPr>
                <w:rFonts w:ascii="Calibri" w:hAnsi="Calibri"/>
                <w:sz w:val="16"/>
              </w:rPr>
              <w:t xml:space="preserve">Trading days</w:t>
            </w:r>
            <w:r>
              <w:rPr>
                <w:rFonts w:ascii="Calibri" w:hAnsi="Calibri"/>
                <w:sz w:val="16"/>
              </w:rPr>
              <w:t xml:space="preserve"> </w:t>
            </w:r>
            <m:oMath>
              <m:d>
                <m:dPr>
                  <m:begChr m:val="["/>
                  <m:sepChr m:val=""/>
                  <m:endChr m:val="]"/>
                  <m:grow/>
                </m:dPr>
                <m:e>
                  <m:r>
                    <m:rPr>
                      <m:sty m:val="p"/>
                    </m:rPr>
                    <w:rPr>
                      <w:sz w:val="16"/>
                    </w:rPr>
                    <m:t>−</m:t>
                  </m:r>
                  <m:r>
                    <w:rPr>
                      <w:sz w:val="16"/>
                    </w:rPr>
                    <m:t>1</m:t>
                  </m:r>
                  <m:r>
                    <m:rPr>
                      <m:sty m:val="p"/>
                    </m:rPr>
                    <w:rPr>
                      <w:sz w:val="16"/>
                    </w:rPr>
                    <m:t>,</m:t>
                  </m:r>
                  <m:r>
                    <m:rPr>
                      <m:sty m:val="p"/>
                    </m:rPr>
                    <w:rPr>
                      <w:sz w:val="16"/>
                    </w:rPr>
                    <m:t>+</m:t>
                  </m:r>
                  <m:r>
                    <w:rPr>
                      <w:sz w:val="16"/>
                    </w:rPr>
                    <m:t>1</m:t>
                  </m:r>
                </m:e>
              </m:d>
            </m:oMath>
            <w:r>
              <w:rPr>
                <w:rFonts w:ascii="Calibri" w:hAnsi="Calibri"/>
                <w:sz w:val="16"/>
              </w:rPr>
              <w:t xml:space="preserve"> </w:t>
            </w:r>
            <w:r>
              <w:rPr>
                <w:rFonts w:ascii="Calibri" w:hAnsi="Calibri"/>
                <w:sz w:val="16"/>
              </w:rPr>
              <w:t xml:space="preserve">around the call</w:t>
            </w:r>
          </w:p>
        </w:tc>
        <w:tc>
          <w:tcPr/>
          <w:p>
            <w:pPr>
              <w:pStyle w:val="Compact"/>
              <w:keepNext/>
              <w:spacing w:before="8" w:after="8" w:line="240" w:lineRule="auto"/>
              <w:ind w:firstLine="0" w:left="0" w:right="0"/>
              <w:jc w:val="left"/>
              <w:jc w:val="center"/>
            </w:pPr>
            <w:r>
              <w:rPr>
                <w:rFonts w:ascii="Calibri" w:hAnsi="Calibri"/>
                <w:sz w:val="16"/>
              </w:rPr>
              <w:t xml:space="preserve">Announcement-window abnormal return</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Post-announcement drift, CAR[+2,+63]</w:t>
            </w:r>
          </w:p>
        </w:tc>
        <w:tc>
          <w:tcPr/>
          <w:p>
            <w:pPr>
              <w:pStyle w:val="Compact"/>
              <w:keepNext/>
              <w:spacing w:before="8" w:after="8" w:line="240" w:lineRule="auto"/>
              <w:ind w:firstLine="0" w:left="0" w:right="0"/>
              <w:jc w:val="left"/>
              <w:jc w:val="center"/>
            </w:pPr>
            <w:r>
              <w:rPr>
                <w:rFonts w:ascii="Calibri" w:hAnsi="Calibri"/>
                <w:sz w:val="16"/>
              </w:rPr>
              <w:t xml:space="preserve">Trading days</w:t>
            </w:r>
            <w:r>
              <w:rPr>
                <w:rFonts w:ascii="Calibri" w:hAnsi="Calibri"/>
                <w:sz w:val="16"/>
              </w:rPr>
              <w:t xml:space="preserve"> </w:t>
            </w:r>
            <m:oMath>
              <m:d>
                <m:dPr>
                  <m:begChr m:val="["/>
                  <m:sepChr m:val=""/>
                  <m:endChr m:val="]"/>
                  <m:grow/>
                </m:dPr>
                <m:e>
                  <m:r>
                    <m:rPr>
                      <m:sty m:val="p"/>
                    </m:rPr>
                    <w:rPr>
                      <w:sz w:val="16"/>
                    </w:rPr>
                    <m:t>+</m:t>
                  </m:r>
                  <m:r>
                    <w:rPr>
                      <w:sz w:val="16"/>
                    </w:rPr>
                    <m:t>2</m:t>
                  </m:r>
                  <m:r>
                    <m:rPr>
                      <m:sty m:val="p"/>
                    </m:rPr>
                    <w:rPr>
                      <w:sz w:val="16"/>
                    </w:rPr>
                    <m:t>,</m:t>
                  </m:r>
                  <m:r>
                    <m:rPr>
                      <m:sty m:val="p"/>
                    </m:rPr>
                    <w:rPr>
                      <w:sz w:val="16"/>
                    </w:rPr>
                    <m:t>+</m:t>
                  </m:r>
                  <m:r>
                    <w:rPr>
                      <w:sz w:val="16"/>
                    </w:rPr>
                    <m:t>63</m:t>
                  </m:r>
                </m:e>
              </m:d>
            </m:oMath>
            <w:r>
              <w:rPr>
                <w:rFonts w:ascii="Calibri" w:hAnsi="Calibri"/>
                <w:sz w:val="16"/>
              </w:rPr>
              <w:t xml:space="preserve"> </w:t>
            </w:r>
            <w:r>
              <w:rPr>
                <w:rFonts w:ascii="Calibri" w:hAnsi="Calibri"/>
                <w:sz w:val="16"/>
              </w:rPr>
              <w:t xml:space="preserve">after the call</w:t>
            </w:r>
          </w:p>
        </w:tc>
        <w:tc>
          <w:tcPr/>
          <w:p>
            <w:pPr>
              <w:pStyle w:val="Compact"/>
              <w:keepNext/>
              <w:spacing w:before="8" w:after="8" w:line="240" w:lineRule="auto"/>
              <w:ind w:firstLine="0" w:left="0" w:right="0"/>
              <w:jc w:val="left"/>
              <w:jc w:val="center"/>
            </w:pPr>
            <w:r>
              <w:rPr>
                <w:rFonts w:ascii="Calibri" w:hAnsi="Calibri"/>
                <w:sz w:val="16"/>
              </w:rPr>
              <w:t xml:space="preserve">Cumulative abnormal return</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Negative return skewness (NCSKEW), weekly</w:t>
            </w:r>
          </w:p>
        </w:tc>
        <w:tc>
          <w:tcPr/>
          <w:p>
            <w:pPr>
              <w:pStyle w:val="Compact"/>
              <w:keepNext/>
              <w:spacing w:before="8" w:after="8" w:line="240" w:lineRule="auto"/>
              <w:ind w:firstLine="0" w:left="0" w:right="0"/>
              <w:jc w:val="left"/>
              <w:jc w:val="center"/>
            </w:pPr>
            <w:r>
              <w:rPr>
                <w:rFonts w:ascii="Calibri" w:hAnsi="Calibri"/>
                <w:sz w:val="16"/>
              </w:rPr>
              <w:t xml:space="preserve">26 trading weeks after the call</w:t>
            </w:r>
          </w:p>
        </w:tc>
        <w:tc>
          <w:tcPr/>
          <w:p>
            <w:pPr>
              <w:pStyle w:val="Compact"/>
              <w:keepNext/>
              <w:spacing w:before="8" w:after="8" w:line="240" w:lineRule="auto"/>
              <w:ind w:firstLine="0" w:left="0" w:right="0"/>
              <w:jc w:val="left"/>
              <w:jc w:val="center"/>
            </w:pPr>
            <w:r>
              <w:rPr>
                <w:rFonts w:ascii="Calibri" w:hAnsi="Calibri"/>
                <w:sz w:val="16"/>
              </w:rPr>
              <w:t xml:space="preserve">Post-call level</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Down-to-up volatility (DUVOL), weekly</w:t>
            </w:r>
          </w:p>
        </w:tc>
        <w:tc>
          <w:tcPr/>
          <w:p>
            <w:pPr>
              <w:pStyle w:val="Compact"/>
              <w:keepNext/>
              <w:spacing w:before="8" w:after="8" w:line="240" w:lineRule="auto"/>
              <w:ind w:firstLine="0" w:left="0" w:right="0"/>
              <w:jc w:val="left"/>
              <w:jc w:val="center"/>
            </w:pPr>
            <w:r>
              <w:rPr>
                <w:rFonts w:ascii="Calibri" w:hAnsi="Calibri"/>
                <w:sz w:val="16"/>
              </w:rPr>
              <w:t xml:space="preserve">26 trading weeks after the call</w:t>
            </w:r>
          </w:p>
        </w:tc>
        <w:tc>
          <w:tcPr/>
          <w:p>
            <w:pPr>
              <w:pStyle w:val="Compact"/>
              <w:keepNext/>
              <w:spacing w:before="8" w:after="8" w:line="240" w:lineRule="auto"/>
              <w:ind w:firstLine="0" w:left="0" w:right="0"/>
              <w:jc w:val="left"/>
              <w:jc w:val="center"/>
            </w:pPr>
            <w:r>
              <w:rPr>
                <w:rFonts w:ascii="Calibri" w:hAnsi="Calibri"/>
                <w:sz w:val="16"/>
              </w:rPr>
              <w:t xml:space="preserve">Post-call level</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Gross margin expansion</w:t>
            </w:r>
          </w:p>
        </w:tc>
        <w:tc>
          <w:tcPr/>
          <w:p>
            <w:pPr>
              <w:pStyle w:val="Compact"/>
              <w:keepNext/>
              <w:spacing w:before="8" w:after="8" w:line="240" w:lineRule="auto"/>
              <w:ind w:firstLine="0" w:left="0" w:right="0"/>
              <w:jc w:val="left"/>
              <w:jc w:val="center"/>
            </w:pPr>
            <w:r>
              <w:rPr>
                <w:rFonts w:ascii="Calibri" w:hAnsi="Calibri"/>
                <w:sz w:val="16"/>
              </w:rPr>
              <w:t xml:space="preserve">Four fiscal quarters after the call’s own quarter</w:t>
            </w:r>
          </w:p>
        </w:tc>
        <w:tc>
          <w:tcPr/>
          <w:p>
            <w:pPr>
              <w:pStyle w:val="Compact"/>
              <w:keepNext/>
              <w:spacing w:before="8" w:after="8" w:line="240" w:lineRule="auto"/>
              <w:ind w:firstLine="0" w:left="0" w:right="0"/>
              <w:jc w:val="left"/>
              <w:jc w:val="center"/>
            </w:pPr>
            <w:r>
              <w:rPr>
                <w:rFonts w:ascii="Calibri" w:hAnsi="Calibri"/>
                <w:sz w:val="16"/>
              </w:rPr>
              <w:t xml:space="preserve">Change from the trailing four quarters, pp, winsorized at 1%</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Change in ROIC-WACC spread</w:t>
            </w:r>
          </w:p>
        </w:tc>
        <w:tc>
          <w:tcPr/>
          <w:p>
            <w:pPr>
              <w:pStyle w:val="Compact"/>
              <w:keepNext/>
              <w:spacing w:before="8" w:after="8" w:line="240" w:lineRule="auto"/>
              <w:ind w:firstLine="0" w:left="0" w:right="0"/>
              <w:jc w:val="left"/>
              <w:jc w:val="center"/>
            </w:pPr>
            <w:r>
              <w:rPr>
                <w:rFonts w:ascii="Calibri" w:hAnsi="Calibri"/>
                <w:sz w:val="16"/>
              </w:rPr>
              <w:t xml:space="preserve">Four fiscal quarters after the call’s own quarter</w:t>
            </w:r>
          </w:p>
        </w:tc>
        <w:tc>
          <w:tcPr/>
          <w:p>
            <w:pPr>
              <w:pStyle w:val="Compact"/>
              <w:keepNext/>
              <w:spacing w:before="8" w:after="8" w:line="240" w:lineRule="auto"/>
              <w:ind w:firstLine="0" w:left="0" w:right="0"/>
              <w:jc w:val="left"/>
              <w:jc w:val="center"/>
            </w:pPr>
            <w:r>
              <w:rPr>
                <w:rFonts w:ascii="Calibri" w:hAnsi="Calibri"/>
                <w:sz w:val="16"/>
              </w:rPr>
              <w:t xml:space="preserve">Change from the trailing four quarters, pp, winsorized at 1%</w:t>
            </w:r>
          </w:p>
        </w:tc>
      </w:tr>
      <w:tr>
        <w:trPr>
          <w:cantSplit/>
        </w:trPr>
        <w:tc>
          <w:tcPr/>
          <w:p>
            <w:pPr>
              <w:pStyle w:val="Compact"/>
              <w:spacing w:before="8" w:after="8" w:line="240" w:lineRule="auto"/>
              <w:ind w:firstLine="0" w:left="0" w:right="0"/>
              <w:jc w:val="left"/>
              <w:jc w:val="center"/>
            </w:pPr>
            <w:r>
              <w:rPr>
                <w:rFonts w:ascii="Calibri" w:hAnsi="Calibri"/>
                <w:sz w:val="16"/>
              </w:rPr>
              <w:t xml:space="preserve">Revenue growth</w:t>
            </w:r>
          </w:p>
        </w:tc>
        <w:tc>
          <w:tcPr/>
          <w:p>
            <w:pPr>
              <w:pStyle w:val="Compact"/>
              <w:spacing w:before="8" w:after="8" w:line="240" w:lineRule="auto"/>
              <w:ind w:firstLine="0" w:left="0" w:right="0"/>
              <w:jc w:val="left"/>
              <w:jc w:val="center"/>
            </w:pPr>
            <w:r>
              <w:rPr>
                <w:rFonts w:ascii="Calibri" w:hAnsi="Calibri"/>
                <w:sz w:val="16"/>
              </w:rPr>
              <w:t xml:space="preserve">Four fiscal quarters after the call’s own quarter</w:t>
            </w:r>
          </w:p>
        </w:tc>
        <w:tc>
          <w:tcPr/>
          <w:p>
            <w:pPr>
              <w:pStyle w:val="Compact"/>
              <w:spacing w:before="8" w:after="8" w:line="240" w:lineRule="auto"/>
              <w:ind w:firstLine="0" w:left="0" w:right="0"/>
              <w:jc w:val="left"/>
              <w:jc w:val="center"/>
            </w:pPr>
            <w:r>
              <w:rPr>
                <w:rFonts w:ascii="Calibri" w:hAnsi="Calibri"/>
                <w:sz w:val="16"/>
              </w:rPr>
              <w:t xml:space="preserve">Growth over the trailing four quarters</w:t>
            </w:r>
          </w:p>
        </w:tc>
      </w:tr>
    </w:tbl>
    <w:bookmarkEnd w:id="75"/>
    <w:p/>
    <w:p>
      <w:pPr>
        <w:pStyle w:val="Textoindependiente"/>
      </w:pPr>
      <w:r>
        <w:t xml:space="preserve">Eight outcomes are estimated over six disclosure variables, so the hypothesis tests use a Benjamini-Hochberg false discovery rate correction</w:t>
      </w:r>
      <w:r>
        <w:t xml:space="preserve"> </w:t>
      </w:r>
      <w:r>
        <w:t xml:space="preserve">(</w:t>
      </w:r>
      <w:hyperlink w:anchor="ref-benjamini1995">
        <w:r>
          <w:rPr>
            <w:rStyle w:val="Hipervnculo"/>
          </w:rPr>
          <w:t xml:space="preserve">Benjamini and Hochberg 1995</w:t>
        </w:r>
      </w:hyperlink>
      <w:r>
        <w:t xml:space="preserve">)</w:t>
      </w:r>
      <w:r>
        <w:t xml:space="preserve"> </w:t>
      </w:r>
      <w:r>
        <w:t xml:space="preserve">over the whole family of 48 coefficients, not outcome by outcome.</w:t>
      </w:r>
    </w:p>
    <w:bookmarkEnd w:id="76"/>
    <w:bookmarkStart w:id="78" w:name="results"/>
    <w:p>
      <w:pPr>
        <w:pStyle w:val="Ttulo2"/>
      </w:pPr>
      <w:r>
        <w:t xml:space="preserve">5.3 Results</w:t>
      </w:r>
    </w:p>
    <w:p>
      <w:pPr>
        <w:pStyle w:val="FirstParagraph"/>
      </w:pPr>
      <w:r>
        <w:t xml:space="preserve">The eight regressions share one specification and appear together in</w:t>
      </w:r>
      <w:r>
        <w:t xml:space="preserve"> </w:t>
      </w:r>
      <w:hyperlink w:anchor="tbl-market-results">
        <w:r>
          <w:rPr>
            <w:rStyle w:val="Hipervnculo"/>
          </w:rPr>
          <w:t xml:space="preserve">Table 14</w:t>
        </w:r>
      </w:hyperlink>
      <w:r>
        <w:t xml:space="preserve">, one row per outcome. The table should be read down a column and not across a row: a disclosure measure behaves consistently across the outcomes, and the finding belongs to the measure rather than to any single outcome.</w:t>
      </w:r>
    </w:p>
    <w:bookmarkStart w:id="79" w:name="tbl-market-results"/>
    <w:p>
      <w:pPr>
        <w:keepNext/>
        <w:pStyle w:val="ImageCaption"/>
        <w:jc w:val="left"/>
        <w:spacing w:before="200"/>
        <w:ind w:firstLine="0" w:left="0" w:right="0"/>
      </w:pPr>
      <w:r>
        <w:t xml:space="preserve">Table 14:</w:t>
      </w:r>
      <w:r>
        <w:t xml:space="preserve"> </w:t>
      </w:r>
      <w:r>
        <w:rPr>
          <w:rStyle w:val="CaptionText"/>
        </w:rPr>
        <w:t xml:space="preserve">The disclosure coefficients, standardized, with p-values in parentheses; stars at *** p&lt;0.01, ** p&lt;0.05, * p&lt;0.10 and bold below 5%. Posture terms are reallocations away from the Defensive vertex. Controls, the lagged outcome and the fixed effects are estimated but omitted here;</w:t>
      </w:r>
      <w:r>
        <w:rPr>
          <w:rStyle w:val="CaptionText"/>
        </w:rPr>
        <w:t xml:space="preserve"> </w:t>
      </w:r>
      <w:hyperlink w:anchor="tbl-e-market-posture">
        <w:r>
          <w:rPr>
            <w:rStyle w:val="Hipervnculo"/>
          </w:rPr>
          <w:t xml:space="preserve">Table 46</w:t>
        </w:r>
      </w:hyperlink>
      <w:r>
        <w:rPr>
          <w:rStyle w:val="CaptionText"/>
        </w:rPr>
        <w:t xml:space="preserve"> </w:t>
      </w:r>
      <w:r>
        <w:rPr>
          <w:rStyle w:val="CaptionText"/>
        </w:rPr>
        <w:t xml:space="preserve">and</w:t>
      </w:r>
      <w:r>
        <w:rPr>
          <w:rStyle w:val="CaptionText"/>
        </w:rPr>
        <w:t xml:space="preserve"> </w:t>
      </w:r>
      <w:hyperlink w:anchor="tbl-e-market-controls">
        <w:r>
          <w:rPr>
            <w:rStyle w:val="Hipervnculo"/>
          </w:rPr>
          <w:t xml:space="preserve">Table 47</w:t>
        </w:r>
      </w:hyperlink>
      <w:r>
        <w:rPr>
          <w:rStyle w:val="CaptionText"/>
        </w:rPr>
        <w:t xml:space="preserve"> </w:t>
      </w:r>
      <w:r>
        <w:rPr>
          <w:rStyle w:val="CaptionText"/>
        </w:rPr>
        <w:t xml:space="preserve">report every term.</w:t>
      </w:r>
    </w:p>
    <w:tbl>
      <w:tblPr>
        <w:tblStyle w:val="Table"/>
        <w:tblW w:type="pct" w:w="5000"/>
        <w:jc w:val="center"/>
        <w:tblLayout w:type="fixed"/>
        <w:tblLook w:firstRow="1" w:lastRow="0" w:firstColumn="0" w:lastColumn="0" w:noHBand="0" w:noVBand="0" w:val="0020"/>
        <w:tblBorders>
          <w:top w:val="single" w:sz="8" w:space="0" w:color="0F172A"/>
          <w:bottom w:val="single" w:sz="8" w:space="0" w:color="0F172A"/>
          <w:left w:val="none"/>
          <w:right w:val="none"/>
          <w:insideH w:val="single" w:sz="4" w:space="0" w:color="E2E8F0"/>
          <w:insideV w:val="none"/>
        </w:tblBorders>
        <w:tblCellMar>
          <w:top w:w="20" w:type="dxa"/>
          <w:bottom w:w="20" w:type="dxa"/>
          <w:left w:w="35" w:type="dxa"/>
          <w:right w:w="35" w:type="dxa"/>
        </w:tblCellMar>
      </w:tblPr>
      <w:tblGrid>
        <w:gridCol w:w="719"/>
        <w:gridCol w:w="719"/>
        <w:gridCol w:w="719"/>
        <w:gridCol w:w="719"/>
        <w:gridCol w:w="719"/>
        <w:gridCol w:w="719"/>
        <w:gridCol w:w="719"/>
        <w:gridCol w:w="719"/>
        <w:gridCol w:w="719"/>
        <w:gridCol w:w="719"/>
        <w:gridCol w:w="719"/>
      </w:tblGrid>
      <w:tr>
        <w:trPr>
          <w:tblHeader w:val="on"/>
          <w:cantSplit/>
          <w:tblHeader/>
        </w:trPr>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3"/>
              </w:rPr>
              <w:t xml:space="preserve">Outcome</w:t>
            </w:r>
          </w:p>
        </w:tc>
        <w:tc>
          <w:tcPr>
            <w:shd w:fill="F1F5F9"/>
            <w:tcBorders>
              <w:bottom w:val="single" w:sz="8" w:space="0" w:color="475569"/>
            </w:tcBorders>
          </w:tcPr>
          <w:p>
            <w:pPr>
              <w:pStyle w:val="Compact"/>
              <w:keepNext/>
              <w:spacing w:before="8" w:after="8" w:line="240" w:lineRule="auto"/>
              <w:ind w:firstLine="0" w:left="0" w:right="0"/>
              <w:jc w:val="left"/>
              <w:jc w:val="center"/>
            </w:pPr>
            <m:oMath>
              <m:sSub>
                <m:e>
                  <m:r>
                    <w:rPr>
                      <w:sz w:val="14"/>
                    </w:rPr>
                    <m:t>W</m:t>
                  </m:r>
                </m:e>
                <m:sub>
                  <m:r>
                    <m:rPr>
                      <m:nor/>
                      <m:sty m:val="p"/>
                    </m:rPr>
                    <w:rPr>
                      <w:sz w:val="14"/>
                    </w:rPr>
                    <m:t>call</m:t>
                  </m:r>
                </m:sub>
              </m:sSub>
            </m:oMath>
          </w:p>
        </w:tc>
        <w:tc>
          <w:tcPr>
            <w:shd w:fill="F1F5F9"/>
            <w:tcBorders>
              <w:bottom w:val="single" w:sz="8" w:space="0" w:color="475569"/>
            </w:tcBorders>
          </w:tcPr>
          <w:p>
            <w:pPr>
              <w:pStyle w:val="Compact"/>
              <w:keepNext/>
              <w:spacing w:before="8" w:after="8" w:line="240" w:lineRule="auto"/>
              <w:ind w:firstLine="0" w:left="0" w:right="0"/>
              <w:jc w:val="left"/>
              <w:jc w:val="center"/>
            </w:pPr>
            <m:oMath>
              <m:sSub>
                <m:e>
                  <m:r>
                    <w:rPr>
                      <w:sz w:val="14"/>
                    </w:rPr>
                    <m:t>W</m:t>
                  </m:r>
                </m:e>
                <m:sub>
                  <m:r>
                    <m:rPr>
                      <m:nor/>
                      <m:sty m:val="p"/>
                    </m:rPr>
                    <w:rPr>
                      <w:sz w:val="14"/>
                    </w:rPr>
                    <m:t>exp</m:t>
                  </m:r>
                </m:sub>
              </m:sSub>
            </m:oMath>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3"/>
              </w:rPr>
              <w:t xml:space="preserve">Intensity</w:t>
            </w:r>
          </w:p>
        </w:tc>
        <w:tc>
          <w:tcPr>
            <w:shd w:fill="F1F5F9"/>
            <w:tcBorders>
              <w:bottom w:val="single" w:sz="8" w:space="0" w:color="475569"/>
            </w:tcBorders>
          </w:tcPr>
          <w:p>
            <w:pPr>
              <w:pStyle w:val="Compact"/>
              <w:keepNext/>
              <w:spacing w:before="8" w:after="8" w:line="240" w:lineRule="auto"/>
              <w:ind w:firstLine="0" w:left="0" w:right="0"/>
              <w:jc w:val="left"/>
              <w:jc w:val="center"/>
            </w:pPr>
            <m:oMath>
              <m:sSub>
                <m:e>
                  <m:r>
                    <w:rPr>
                      <w:sz w:val="14"/>
                    </w:rPr>
                    <m:t>β</m:t>
                  </m:r>
                </m:e>
                <m:sub>
                  <m:r>
                    <m:rPr>
                      <m:nor/>
                      <m:sty m:val="p"/>
                    </m:rPr>
                    <w:rPr>
                      <w:sz w:val="14"/>
                    </w:rPr>
                    <m:t>has</m:t>
                  </m:r>
                </m:sub>
              </m:sSub>
            </m:oMath>
          </w:p>
        </w:tc>
        <w:tc>
          <w:tcPr>
            <w:shd w:fill="F1F5F9"/>
            <w:tcBorders>
              <w:bottom w:val="single" w:sz="8" w:space="0" w:color="475569"/>
            </w:tcBorders>
          </w:tcPr>
          <w:p>
            <w:pPr>
              <w:pStyle w:val="Compact"/>
              <w:keepNext/>
              <w:spacing w:before="8" w:after="8" w:line="240" w:lineRule="auto"/>
              <w:ind w:firstLine="0" w:left="0" w:right="0"/>
              <w:jc w:val="left"/>
              <w:jc w:val="center"/>
            </w:pPr>
            <m:oMath>
              <m:sSub>
                <m:e>
                  <m:r>
                    <w:rPr>
                      <w:sz w:val="14"/>
                    </w:rPr>
                    <m:t>β</m:t>
                  </m:r>
                </m:e>
                <m:sub>
                  <m:r>
                    <m:rPr>
                      <m:nor/>
                      <m:sty m:val="p"/>
                    </m:rPr>
                    <w:rPr>
                      <w:sz w:val="14"/>
                    </w:rPr>
                    <m:t>voc</m:t>
                  </m:r>
                </m:sub>
              </m:sSub>
            </m:oMath>
          </w:p>
        </w:tc>
        <w:tc>
          <w:tcPr>
            <w:shd w:fill="F1F5F9"/>
            <w:tcBorders>
              <w:bottom w:val="single" w:sz="8" w:space="0" w:color="475569"/>
            </w:tcBorders>
          </w:tcPr>
          <w:p>
            <w:pPr>
              <w:pStyle w:val="Compact"/>
              <w:keepNext/>
              <w:spacing w:before="8" w:after="8" w:line="240" w:lineRule="auto"/>
              <w:ind w:firstLine="0" w:left="0" w:right="0"/>
              <w:jc w:val="left"/>
              <w:jc w:val="center"/>
            </w:pPr>
            <m:oMath>
              <m:sSub>
                <m:e>
                  <m:r>
                    <w:rPr>
                      <w:sz w:val="14"/>
                    </w:rPr>
                    <m:t>β</m:t>
                  </m:r>
                </m:e>
                <m:sub>
                  <m:r>
                    <m:rPr>
                      <m:nor/>
                      <m:sty m:val="p"/>
                    </m:rPr>
                    <w:rPr>
                      <w:sz w:val="14"/>
                    </w:rPr>
                    <m:t>gov</m:t>
                  </m:r>
                </m:sub>
              </m:sSub>
            </m:oMath>
          </w:p>
        </w:tc>
        <w:tc>
          <w:tcPr>
            <w:shd w:fill="F1F5F9"/>
            <w:tcBorders>
              <w:bottom w:val="single" w:sz="8" w:space="0" w:color="475569"/>
            </w:tcBorders>
          </w:tcPr>
          <w:p>
            <w:pPr>
              <w:pStyle w:val="Compact"/>
              <w:keepNext/>
              <w:spacing w:before="8" w:after="8" w:line="240" w:lineRule="auto"/>
              <w:ind w:firstLine="0" w:left="0" w:right="0"/>
              <w:jc w:val="left"/>
              <w:jc w:val="center"/>
            </w:pPr>
            <m:oMath>
              <m:sSub>
                <m:e>
                  <m:r>
                    <w:rPr>
                      <w:sz w:val="14"/>
                    </w:rPr>
                    <m:t>β</m:t>
                  </m:r>
                </m:e>
                <m:sub>
                  <m:r>
                    <m:rPr>
                      <m:nor/>
                      <m:sty m:val="p"/>
                    </m:rPr>
                    <w:rPr>
                      <w:sz w:val="14"/>
                    </w:rPr>
                    <m:t>gov</m:t>
                  </m:r>
                </m:sub>
              </m:sSub>
              <m:r>
                <m:rPr>
                  <m:sty m:val="p"/>
                </m:rPr>
                <w:rPr>
                  <w:sz w:val="14"/>
                </w:rPr>
                <m:t>−</m:t>
              </m:r>
              <m:sSub>
                <m:e>
                  <m:r>
                    <w:rPr>
                      <w:sz w:val="14"/>
                    </w:rPr>
                    <m:t>β</m:t>
                  </m:r>
                </m:e>
                <m:sub>
                  <m:r>
                    <m:rPr>
                      <m:nor/>
                      <m:sty m:val="p"/>
                    </m:rPr>
                    <w:rPr>
                      <w:sz w:val="14"/>
                    </w:rPr>
                    <m:t>voc</m:t>
                  </m:r>
                </m:sub>
              </m:sSub>
            </m:oMath>
          </w:p>
        </w:tc>
        <w:tc>
          <w:tcPr>
            <w:shd w:fill="F1F5F9"/>
            <w:tcBorders>
              <w:bottom w:val="single" w:sz="8" w:space="0" w:color="475569"/>
            </w:tcBorders>
          </w:tcPr>
          <w:p>
            <w:pPr>
              <w:pStyle w:val="Compact"/>
              <w:keepNext/>
              <w:spacing w:before="8" w:after="8" w:line="240" w:lineRule="auto"/>
              <w:ind w:firstLine="0" w:left="0" w:right="0"/>
              <w:jc w:val="right"/>
              <w:jc w:val="center"/>
            </w:pPr>
            <w:r>
              <w:rPr>
                <w:rFonts w:ascii="Calibri" w:hAnsi="Calibri"/>
                <w:b/>
                <w:color w:val="0F172A"/>
                <w:sz w:val="13"/>
              </w:rPr>
              <w:t xml:space="preserve">Calls</w:t>
            </w:r>
          </w:p>
        </w:tc>
        <w:tc>
          <w:tcPr>
            <w:shd w:fill="F1F5F9"/>
            <w:tcBorders>
              <w:bottom w:val="single" w:sz="8" w:space="0" w:color="475569"/>
            </w:tcBorders>
          </w:tcPr>
          <w:p>
            <w:pPr>
              <w:pStyle w:val="Compact"/>
              <w:keepNext/>
              <w:spacing w:before="8" w:after="8" w:line="240" w:lineRule="auto"/>
              <w:ind w:firstLine="0" w:left="0" w:right="0"/>
              <w:jc w:val="right"/>
              <w:jc w:val="center"/>
            </w:pPr>
            <m:oMath>
              <m:sSup>
                <m:e>
                  <m:r>
                    <w:rPr>
                      <w:sz w:val="14"/>
                    </w:rPr>
                    <m:t>R</m:t>
                  </m:r>
                </m:e>
                <m:sup>
                  <m:r>
                    <w:rPr>
                      <w:sz w:val="14"/>
                    </w:rPr>
                    <m:t>2</m:t>
                  </m:r>
                </m:sup>
              </m:sSup>
            </m:oMath>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3"/>
              </w:rPr>
              <w:t xml:space="preserve">Composition, joint</w:t>
            </w:r>
            <w:r>
              <w:rPr>
                <w:rFonts w:ascii="Calibri" w:hAnsi="Calibri"/>
                <w:b/>
                <w:color w:val="0F172A"/>
                <w:sz w:val="13"/>
              </w:rPr>
              <w:t xml:space="preserve"> </w:t>
            </w:r>
            <m:oMath>
              <m:r>
                <w:rPr>
                  <w:sz w:val="14"/>
                </w:rPr>
                <m:t>F</m:t>
              </m:r>
            </m:oMath>
          </w:p>
        </w:tc>
      </w:tr>
      <w:tr>
        <w:trPr>
          <w:cantSplit/>
        </w:trPr>
        <w:tc>
          <w:tcPr/>
          <w:p>
            <w:pPr>
              <w:pStyle w:val="Compact"/>
              <w:keepNext/>
              <w:spacing w:before="8" w:after="8" w:line="240" w:lineRule="auto"/>
              <w:ind w:firstLine="0" w:left="0" w:right="0"/>
              <w:jc w:val="left"/>
              <w:jc w:val="center"/>
            </w:pPr>
            <w:r>
              <w:rPr>
                <w:rFonts w:ascii="Calibri" w:hAnsi="Calibri"/>
                <w:sz w:val="13"/>
              </w:rPr>
              <w:t xml:space="preserve">Beta shift (Brenner 1979 Delta-beta)</w:t>
            </w:r>
          </w:p>
        </w:tc>
        <w:tc>
          <w:tcPr/>
          <w:p>
            <w:pPr>
              <w:pStyle w:val="Compact"/>
              <w:keepNext/>
              <w:spacing w:before="8" w:after="8" w:line="240" w:lineRule="auto"/>
              <w:ind w:firstLine="0" w:left="0" w:right="0"/>
              <w:jc w:val="left"/>
              <w:jc w:val="center"/>
            </w:pPr>
            <w:r>
              <w:rPr>
                <w:rFonts w:ascii="Calibri" w:hAnsi="Calibri"/>
                <w:sz w:val="13"/>
              </w:rPr>
              <w:t xml:space="preserve">+0.019* (0.084)</w:t>
            </w:r>
          </w:p>
        </w:tc>
        <w:tc>
          <w:tcPr/>
          <w:p>
            <w:pPr>
              <w:pStyle w:val="Compact"/>
              <w:keepNext/>
              <w:spacing w:before="8" w:after="8" w:line="240" w:lineRule="auto"/>
              <w:ind w:firstLine="0" w:left="0" w:right="0"/>
              <w:jc w:val="left"/>
              <w:jc w:val="center"/>
            </w:pPr>
            <w:r>
              <w:rPr>
                <w:rFonts w:ascii="Calibri" w:hAnsi="Calibri"/>
                <w:b/>
                <w:bCs/>
                <w:sz w:val="13"/>
              </w:rPr>
              <w:t xml:space="preserve">+0.092*** (0.000)</w:t>
            </w:r>
          </w:p>
        </w:tc>
        <w:tc>
          <w:tcPr/>
          <w:p>
            <w:pPr>
              <w:pStyle w:val="Compact"/>
              <w:keepNext/>
              <w:spacing w:before="8" w:after="8" w:line="240" w:lineRule="auto"/>
              <w:ind w:firstLine="0" w:left="0" w:right="0"/>
              <w:jc w:val="left"/>
              <w:jc w:val="center"/>
            </w:pPr>
            <w:r>
              <w:rPr>
                <w:rFonts w:ascii="Calibri" w:hAnsi="Calibri"/>
                <w:b/>
                <w:bCs/>
                <w:sz w:val="13"/>
              </w:rPr>
              <w:t xml:space="preserve">+0.073*** (0.000)</w:t>
            </w:r>
          </w:p>
        </w:tc>
        <w:tc>
          <w:tcPr/>
          <w:p>
            <w:pPr>
              <w:pStyle w:val="Compact"/>
              <w:keepNext/>
              <w:spacing w:before="8" w:after="8" w:line="240" w:lineRule="auto"/>
              <w:ind w:firstLine="0" w:left="0" w:right="0"/>
              <w:jc w:val="left"/>
              <w:jc w:val="center"/>
            </w:pPr>
            <w:r>
              <w:rPr>
                <w:rFonts w:ascii="Calibri" w:hAnsi="Calibri"/>
                <w:sz w:val="13"/>
              </w:rPr>
              <w:t xml:space="preserve">+0.052 (0.269)</w:t>
            </w:r>
          </w:p>
        </w:tc>
        <w:tc>
          <w:tcPr/>
          <w:p>
            <w:pPr>
              <w:pStyle w:val="Compact"/>
              <w:keepNext/>
              <w:spacing w:before="8" w:after="8" w:line="240" w:lineRule="auto"/>
              <w:ind w:firstLine="0" w:left="0" w:right="0"/>
              <w:jc w:val="left"/>
              <w:jc w:val="center"/>
            </w:pPr>
            <w:r>
              <w:rPr>
                <w:rFonts w:ascii="Calibri" w:hAnsi="Calibri"/>
                <w:sz w:val="13"/>
              </w:rPr>
              <w:t xml:space="preserve">-0.042 (0.636)</w:t>
            </w:r>
          </w:p>
        </w:tc>
        <w:tc>
          <w:tcPr/>
          <w:p>
            <w:pPr>
              <w:pStyle w:val="Compact"/>
              <w:keepNext/>
              <w:spacing w:before="8" w:after="8" w:line="240" w:lineRule="auto"/>
              <w:ind w:firstLine="0" w:left="0" w:right="0"/>
              <w:jc w:val="left"/>
              <w:jc w:val="center"/>
            </w:pPr>
            <w:r>
              <w:rPr>
                <w:rFonts w:ascii="Calibri" w:hAnsi="Calibri"/>
                <w:b/>
                <w:bCs/>
                <w:sz w:val="13"/>
              </w:rPr>
              <w:t xml:space="preserve">-0.223*** (0.000)</w:t>
            </w:r>
          </w:p>
        </w:tc>
        <w:tc>
          <w:tcPr/>
          <w:p>
            <w:pPr>
              <w:pStyle w:val="Compact"/>
              <w:keepNext/>
              <w:spacing w:before="8" w:after="8" w:line="240" w:lineRule="auto"/>
              <w:ind w:firstLine="0" w:left="0" w:right="0"/>
              <w:jc w:val="left"/>
              <w:jc w:val="center"/>
            </w:pPr>
            <w:r>
              <w:rPr>
                <w:rFonts w:ascii="Calibri" w:hAnsi="Calibri"/>
                <w:sz w:val="13"/>
              </w:rPr>
              <w:t xml:space="preserve">-0.180* (0.076)</w:t>
            </w:r>
          </w:p>
        </w:tc>
        <w:tc>
          <w:tcPr/>
          <w:p>
            <w:pPr>
              <w:pStyle w:val="Compact"/>
              <w:keepNext/>
              <w:spacing w:before="8" w:after="8" w:line="240" w:lineRule="auto"/>
              <w:ind w:firstLine="0" w:left="0" w:right="0"/>
              <w:jc w:val="right"/>
              <w:jc w:val="center"/>
            </w:pPr>
            <w:r>
              <w:rPr>
                <w:rFonts w:ascii="Calibri" w:hAnsi="Calibri"/>
                <w:sz w:val="13"/>
              </w:rPr>
              <w:t xml:space="preserve">9,350</w:t>
            </w:r>
          </w:p>
        </w:tc>
        <w:tc>
          <w:tcPr/>
          <w:p>
            <w:pPr>
              <w:pStyle w:val="Compact"/>
              <w:keepNext/>
              <w:spacing w:before="8" w:after="8" w:line="240" w:lineRule="auto"/>
              <w:ind w:firstLine="0" w:left="0" w:right="0"/>
              <w:jc w:val="right"/>
              <w:jc w:val="center"/>
            </w:pPr>
            <w:r>
              <w:rPr>
                <w:rFonts w:ascii="Calibri" w:hAnsi="Calibri"/>
                <w:sz w:val="13"/>
              </w:rPr>
              <w:t xml:space="preserve">0.291</w:t>
            </w:r>
          </w:p>
        </w:tc>
        <w:tc>
          <w:tcPr/>
          <w:p>
            <w:pPr>
              <w:pStyle w:val="Compact"/>
              <w:keepNext/>
              <w:spacing w:before="8" w:after="8" w:line="240" w:lineRule="auto"/>
              <w:ind w:firstLine="0" w:left="0" w:right="0"/>
              <w:jc w:val="left"/>
              <w:jc w:val="center"/>
            </w:pPr>
            <w:r>
              <w:rPr>
                <w:rFonts w:ascii="Calibri" w:hAnsi="Calibri"/>
                <w:b/>
                <w:bCs/>
                <w:sz w:val="13"/>
              </w:rPr>
              <w:t xml:space="preserve">6.45*** (0.002)</w:t>
            </w:r>
          </w:p>
        </w:tc>
      </w:tr>
      <w:tr>
        <w:trPr>
          <w:cantSplit/>
        </w:trPr>
        <w:tc>
          <w:tcPr/>
          <w:p>
            <w:pPr>
              <w:pStyle w:val="Compact"/>
              <w:keepNext/>
              <w:spacing w:before="8" w:after="8" w:line="240" w:lineRule="auto"/>
              <w:ind w:firstLine="0" w:left="0" w:right="0"/>
              <w:jc w:val="left"/>
              <w:jc w:val="center"/>
            </w:pPr>
            <w:r>
              <w:rPr>
                <w:rFonts w:ascii="Calibri" w:hAnsi="Calibri"/>
                <w:sz w:val="13"/>
              </w:rPr>
              <w:t xml:space="preserve">Cumulative abnormal return [-1,+1]</w:t>
            </w:r>
          </w:p>
        </w:tc>
        <w:tc>
          <w:tcPr/>
          <w:p>
            <w:pPr>
              <w:pStyle w:val="Compact"/>
              <w:keepNext/>
              <w:spacing w:before="8" w:after="8" w:line="240" w:lineRule="auto"/>
              <w:ind w:firstLine="0" w:left="0" w:right="0"/>
              <w:jc w:val="left"/>
              <w:jc w:val="center"/>
            </w:pPr>
            <w:r>
              <w:rPr>
                <w:rFonts w:ascii="Calibri" w:hAnsi="Calibri"/>
                <w:sz w:val="13"/>
              </w:rPr>
              <w:t xml:space="preserve">-0.002 (0.807)</w:t>
            </w:r>
          </w:p>
        </w:tc>
        <w:tc>
          <w:tcPr/>
          <w:p>
            <w:pPr>
              <w:pStyle w:val="Compact"/>
              <w:keepNext/>
              <w:spacing w:before="8" w:after="8" w:line="240" w:lineRule="auto"/>
              <w:ind w:firstLine="0" w:left="0" w:right="0"/>
              <w:jc w:val="left"/>
              <w:jc w:val="center"/>
            </w:pPr>
            <w:r>
              <w:rPr>
                <w:rFonts w:ascii="Calibri" w:hAnsi="Calibri"/>
                <w:sz w:val="13"/>
              </w:rPr>
              <w:t xml:space="preserve">+0.008 (0.501)</w:t>
            </w:r>
          </w:p>
        </w:tc>
        <w:tc>
          <w:tcPr/>
          <w:p>
            <w:pPr>
              <w:pStyle w:val="Compact"/>
              <w:keepNext/>
              <w:spacing w:before="8" w:after="8" w:line="240" w:lineRule="auto"/>
              <w:ind w:firstLine="0" w:left="0" w:right="0"/>
              <w:jc w:val="left"/>
              <w:jc w:val="center"/>
            </w:pPr>
            <w:r>
              <w:rPr>
                <w:rFonts w:ascii="Calibri" w:hAnsi="Calibri"/>
                <w:sz w:val="13"/>
              </w:rPr>
              <w:t xml:space="preserve">-0.001 (0.931)</w:t>
            </w:r>
          </w:p>
        </w:tc>
        <w:tc>
          <w:tcPr/>
          <w:p>
            <w:pPr>
              <w:pStyle w:val="Compact"/>
              <w:keepNext/>
              <w:spacing w:before="8" w:after="8" w:line="240" w:lineRule="auto"/>
              <w:ind w:firstLine="0" w:left="0" w:right="0"/>
              <w:jc w:val="left"/>
              <w:jc w:val="center"/>
            </w:pPr>
            <w:r>
              <w:rPr>
                <w:rFonts w:ascii="Calibri" w:hAnsi="Calibri"/>
                <w:sz w:val="13"/>
              </w:rPr>
              <w:t xml:space="preserve">+0.006 (0.906)</w:t>
            </w:r>
          </w:p>
        </w:tc>
        <w:tc>
          <w:tcPr/>
          <w:p>
            <w:pPr>
              <w:pStyle w:val="Compact"/>
              <w:keepNext/>
              <w:spacing w:before="8" w:after="8" w:line="240" w:lineRule="auto"/>
              <w:ind w:firstLine="0" w:left="0" w:right="0"/>
              <w:jc w:val="left"/>
              <w:jc w:val="center"/>
            </w:pPr>
            <w:r>
              <w:rPr>
                <w:rFonts w:ascii="Calibri" w:hAnsi="Calibri"/>
                <w:sz w:val="13"/>
              </w:rPr>
              <w:t xml:space="preserve">-0.004 (0.956)</w:t>
            </w:r>
          </w:p>
        </w:tc>
        <w:tc>
          <w:tcPr/>
          <w:p>
            <w:pPr>
              <w:pStyle w:val="Compact"/>
              <w:keepNext/>
              <w:spacing w:before="8" w:after="8" w:line="240" w:lineRule="auto"/>
              <w:ind w:firstLine="0" w:left="0" w:right="0"/>
              <w:jc w:val="left"/>
              <w:jc w:val="center"/>
            </w:pPr>
            <w:r>
              <w:rPr>
                <w:rFonts w:ascii="Calibri" w:hAnsi="Calibri"/>
                <w:sz w:val="13"/>
              </w:rPr>
              <w:t xml:space="preserve">-0.014 (0.829)</w:t>
            </w:r>
          </w:p>
        </w:tc>
        <w:tc>
          <w:tcPr/>
          <w:p>
            <w:pPr>
              <w:pStyle w:val="Compact"/>
              <w:keepNext/>
              <w:spacing w:before="8" w:after="8" w:line="240" w:lineRule="auto"/>
              <w:ind w:firstLine="0" w:left="0" w:right="0"/>
              <w:jc w:val="left"/>
              <w:jc w:val="center"/>
            </w:pPr>
            <w:r>
              <w:rPr>
                <w:rFonts w:ascii="Calibri" w:hAnsi="Calibri"/>
                <w:sz w:val="13"/>
              </w:rPr>
              <w:t xml:space="preserve">-0.010 (0.891)</w:t>
            </w:r>
          </w:p>
        </w:tc>
        <w:tc>
          <w:tcPr/>
          <w:p>
            <w:pPr>
              <w:pStyle w:val="Compact"/>
              <w:keepNext/>
              <w:spacing w:before="8" w:after="8" w:line="240" w:lineRule="auto"/>
              <w:ind w:firstLine="0" w:left="0" w:right="0"/>
              <w:jc w:val="right"/>
              <w:jc w:val="center"/>
            </w:pPr>
            <w:r>
              <w:rPr>
                <w:rFonts w:ascii="Calibri" w:hAnsi="Calibri"/>
                <w:sz w:val="13"/>
              </w:rPr>
              <w:t xml:space="preserve">9,717</w:t>
            </w:r>
          </w:p>
        </w:tc>
        <w:tc>
          <w:tcPr/>
          <w:p>
            <w:pPr>
              <w:pStyle w:val="Compact"/>
              <w:keepNext/>
              <w:spacing w:before="8" w:after="8" w:line="240" w:lineRule="auto"/>
              <w:ind w:firstLine="0" w:left="0" w:right="0"/>
              <w:jc w:val="right"/>
              <w:jc w:val="center"/>
            </w:pPr>
            <w:r>
              <w:rPr>
                <w:rFonts w:ascii="Calibri" w:hAnsi="Calibri"/>
                <w:sz w:val="13"/>
              </w:rPr>
              <w:t xml:space="preserve">0.012</w:t>
            </w:r>
          </w:p>
        </w:tc>
        <w:tc>
          <w:tcPr/>
          <w:p>
            <w:pPr>
              <w:pStyle w:val="Compact"/>
              <w:keepNext/>
              <w:spacing w:before="8" w:after="8" w:line="240" w:lineRule="auto"/>
              <w:ind w:firstLine="0" w:left="0" w:right="0"/>
              <w:jc w:val="left"/>
              <w:jc w:val="center"/>
            </w:pPr>
            <w:r>
              <w:rPr>
                <w:rFonts w:ascii="Calibri" w:hAnsi="Calibri"/>
                <w:sz w:val="13"/>
              </w:rPr>
              <w:t xml:space="preserve">0.02 (0.975)</w:t>
            </w:r>
          </w:p>
        </w:tc>
      </w:tr>
      <w:tr>
        <w:trPr>
          <w:cantSplit/>
        </w:trPr>
        <w:tc>
          <w:tcPr/>
          <w:p>
            <w:pPr>
              <w:pStyle w:val="Compact"/>
              <w:keepNext/>
              <w:spacing w:before="8" w:after="8" w:line="240" w:lineRule="auto"/>
              <w:ind w:firstLine="0" w:left="0" w:right="0"/>
              <w:jc w:val="left"/>
              <w:jc w:val="center"/>
            </w:pPr>
            <w:r>
              <w:rPr>
                <w:rFonts w:ascii="Calibri" w:hAnsi="Calibri"/>
                <w:sz w:val="13"/>
              </w:rPr>
              <w:t xml:space="preserve">Post-announcement drift, CAR[+2,+63]</w:t>
            </w:r>
          </w:p>
        </w:tc>
        <w:tc>
          <w:tcPr/>
          <w:p>
            <w:pPr>
              <w:pStyle w:val="Compact"/>
              <w:keepNext/>
              <w:spacing w:before="8" w:after="8" w:line="240" w:lineRule="auto"/>
              <w:ind w:firstLine="0" w:left="0" w:right="0"/>
              <w:jc w:val="left"/>
              <w:jc w:val="center"/>
            </w:pPr>
            <w:r>
              <w:rPr>
                <w:rFonts w:ascii="Calibri" w:hAnsi="Calibri"/>
                <w:sz w:val="13"/>
              </w:rPr>
              <w:t xml:space="preserve">-0.003 (0.758)</w:t>
            </w:r>
          </w:p>
        </w:tc>
        <w:tc>
          <w:tcPr/>
          <w:p>
            <w:pPr>
              <w:pStyle w:val="Compact"/>
              <w:keepNext/>
              <w:spacing w:before="8" w:after="8" w:line="240" w:lineRule="auto"/>
              <w:ind w:firstLine="0" w:left="0" w:right="0"/>
              <w:jc w:val="left"/>
              <w:jc w:val="center"/>
            </w:pPr>
            <w:r>
              <w:rPr>
                <w:rFonts w:ascii="Calibri" w:hAnsi="Calibri"/>
                <w:b/>
                <w:bCs/>
                <w:sz w:val="13"/>
              </w:rPr>
              <w:t xml:space="preserve">+0.027** (0.018)</w:t>
            </w:r>
          </w:p>
        </w:tc>
        <w:tc>
          <w:tcPr/>
          <w:p>
            <w:pPr>
              <w:pStyle w:val="Compact"/>
              <w:keepNext/>
              <w:spacing w:before="8" w:after="8" w:line="240" w:lineRule="auto"/>
              <w:ind w:firstLine="0" w:left="0" w:right="0"/>
              <w:jc w:val="left"/>
              <w:jc w:val="center"/>
            </w:pPr>
            <w:r>
              <w:rPr>
                <w:rFonts w:ascii="Calibri" w:hAnsi="Calibri"/>
                <w:b/>
                <w:bCs/>
                <w:sz w:val="13"/>
              </w:rPr>
              <w:t xml:space="preserve">+0.035*** (0.004)</w:t>
            </w:r>
          </w:p>
        </w:tc>
        <w:tc>
          <w:tcPr/>
          <w:p>
            <w:pPr>
              <w:pStyle w:val="Compact"/>
              <w:keepNext/>
              <w:spacing w:before="8" w:after="8" w:line="240" w:lineRule="auto"/>
              <w:ind w:firstLine="0" w:left="0" w:right="0"/>
              <w:jc w:val="left"/>
              <w:jc w:val="center"/>
            </w:pPr>
            <w:r>
              <w:rPr>
                <w:rFonts w:ascii="Calibri" w:hAnsi="Calibri"/>
                <w:b/>
                <w:bCs/>
                <w:sz w:val="13"/>
              </w:rPr>
              <w:t xml:space="preserve">-0.093** (0.047)</w:t>
            </w:r>
          </w:p>
        </w:tc>
        <w:tc>
          <w:tcPr/>
          <w:p>
            <w:pPr>
              <w:pStyle w:val="Compact"/>
              <w:keepNext/>
              <w:spacing w:before="8" w:after="8" w:line="240" w:lineRule="auto"/>
              <w:ind w:firstLine="0" w:left="0" w:right="0"/>
              <w:jc w:val="left"/>
              <w:jc w:val="center"/>
            </w:pPr>
            <w:r>
              <w:rPr>
                <w:rFonts w:ascii="Calibri" w:hAnsi="Calibri"/>
                <w:sz w:val="13"/>
              </w:rPr>
              <w:t xml:space="preserve">+0.110* (0.095)</w:t>
            </w:r>
          </w:p>
        </w:tc>
        <w:tc>
          <w:tcPr/>
          <w:p>
            <w:pPr>
              <w:pStyle w:val="Compact"/>
              <w:keepNext/>
              <w:spacing w:before="8" w:after="8" w:line="240" w:lineRule="auto"/>
              <w:ind w:firstLine="0" w:left="0" w:right="0"/>
              <w:jc w:val="left"/>
              <w:jc w:val="center"/>
            </w:pPr>
            <w:r>
              <w:rPr>
                <w:rFonts w:ascii="Calibri" w:hAnsi="Calibri"/>
                <w:b/>
                <w:bCs/>
                <w:sz w:val="13"/>
              </w:rPr>
              <w:t xml:space="preserve">+0.220*** (0.000)</w:t>
            </w:r>
          </w:p>
        </w:tc>
        <w:tc>
          <w:tcPr/>
          <w:p>
            <w:pPr>
              <w:pStyle w:val="Compact"/>
              <w:keepNext/>
              <w:spacing w:before="8" w:after="8" w:line="240" w:lineRule="auto"/>
              <w:ind w:firstLine="0" w:left="0" w:right="0"/>
              <w:jc w:val="left"/>
              <w:jc w:val="center"/>
            </w:pPr>
            <w:r>
              <w:rPr>
                <w:rFonts w:ascii="Calibri" w:hAnsi="Calibri"/>
                <w:sz w:val="13"/>
              </w:rPr>
              <w:t xml:space="preserve">+0.111* (0.088)</w:t>
            </w:r>
          </w:p>
        </w:tc>
        <w:tc>
          <w:tcPr/>
          <w:p>
            <w:pPr>
              <w:pStyle w:val="Compact"/>
              <w:keepNext/>
              <w:spacing w:before="8" w:after="8" w:line="240" w:lineRule="auto"/>
              <w:ind w:firstLine="0" w:left="0" w:right="0"/>
              <w:jc w:val="right"/>
              <w:jc w:val="center"/>
            </w:pPr>
            <w:r>
              <w:rPr>
                <w:rFonts w:ascii="Calibri" w:hAnsi="Calibri"/>
                <w:sz w:val="13"/>
              </w:rPr>
              <w:t xml:space="preserve">9,446</w:t>
            </w:r>
          </w:p>
        </w:tc>
        <w:tc>
          <w:tcPr/>
          <w:p>
            <w:pPr>
              <w:pStyle w:val="Compact"/>
              <w:keepNext/>
              <w:spacing w:before="8" w:after="8" w:line="240" w:lineRule="auto"/>
              <w:ind w:firstLine="0" w:left="0" w:right="0"/>
              <w:jc w:val="right"/>
              <w:jc w:val="center"/>
            </w:pPr>
            <w:r>
              <w:rPr>
                <w:rFonts w:ascii="Calibri" w:hAnsi="Calibri"/>
                <w:sz w:val="13"/>
              </w:rPr>
              <w:t xml:space="preserve">0.061</w:t>
            </w:r>
          </w:p>
        </w:tc>
        <w:tc>
          <w:tcPr/>
          <w:p>
            <w:pPr>
              <w:pStyle w:val="Compact"/>
              <w:keepNext/>
              <w:spacing w:before="8" w:after="8" w:line="240" w:lineRule="auto"/>
              <w:ind w:firstLine="0" w:left="0" w:right="0"/>
              <w:jc w:val="left"/>
              <w:jc w:val="center"/>
            </w:pPr>
            <w:r>
              <w:rPr>
                <w:rFonts w:ascii="Calibri" w:hAnsi="Calibri"/>
                <w:b/>
                <w:bCs/>
                <w:sz w:val="13"/>
              </w:rPr>
              <w:t xml:space="preserve">6.87*** (0.001)</w:t>
            </w:r>
          </w:p>
        </w:tc>
      </w:tr>
      <w:tr>
        <w:trPr>
          <w:cantSplit/>
        </w:trPr>
        <w:tc>
          <w:tcPr/>
          <w:p>
            <w:pPr>
              <w:pStyle w:val="Compact"/>
              <w:keepNext/>
              <w:spacing w:before="8" w:after="8" w:line="240" w:lineRule="auto"/>
              <w:ind w:firstLine="0" w:left="0" w:right="0"/>
              <w:jc w:val="left"/>
              <w:jc w:val="center"/>
            </w:pPr>
            <w:r>
              <w:rPr>
                <w:rFonts w:ascii="Calibri" w:hAnsi="Calibri"/>
                <w:sz w:val="13"/>
              </w:rPr>
              <w:t xml:space="preserve">Negative return skewness (NCSKEW, weekly)</w:t>
            </w:r>
          </w:p>
        </w:tc>
        <w:tc>
          <w:tcPr/>
          <w:p>
            <w:pPr>
              <w:pStyle w:val="Compact"/>
              <w:keepNext/>
              <w:spacing w:before="8" w:after="8" w:line="240" w:lineRule="auto"/>
              <w:ind w:firstLine="0" w:left="0" w:right="0"/>
              <w:jc w:val="left"/>
              <w:jc w:val="center"/>
            </w:pPr>
            <w:r>
              <w:rPr>
                <w:rFonts w:ascii="Calibri" w:hAnsi="Calibri"/>
                <w:sz w:val="13"/>
              </w:rPr>
              <w:t xml:space="preserve">+0.000 (0.988)</w:t>
            </w:r>
          </w:p>
        </w:tc>
        <w:tc>
          <w:tcPr/>
          <w:p>
            <w:pPr>
              <w:pStyle w:val="Compact"/>
              <w:keepNext/>
              <w:spacing w:before="8" w:after="8" w:line="240" w:lineRule="auto"/>
              <w:ind w:firstLine="0" w:left="0" w:right="0"/>
              <w:jc w:val="left"/>
              <w:jc w:val="center"/>
            </w:pPr>
            <w:r>
              <w:rPr>
                <w:rFonts w:ascii="Calibri" w:hAnsi="Calibri"/>
                <w:sz w:val="13"/>
              </w:rPr>
              <w:t xml:space="preserve">-0.023* (0.094)</w:t>
            </w:r>
          </w:p>
        </w:tc>
        <w:tc>
          <w:tcPr/>
          <w:p>
            <w:pPr>
              <w:pStyle w:val="Compact"/>
              <w:keepNext/>
              <w:spacing w:before="8" w:after="8" w:line="240" w:lineRule="auto"/>
              <w:ind w:firstLine="0" w:left="0" w:right="0"/>
              <w:jc w:val="left"/>
              <w:jc w:val="center"/>
            </w:pPr>
            <w:r>
              <w:rPr>
                <w:rFonts w:ascii="Calibri" w:hAnsi="Calibri"/>
                <w:sz w:val="13"/>
              </w:rPr>
              <w:t xml:space="preserve">+0.001 (0.975)</w:t>
            </w:r>
          </w:p>
        </w:tc>
        <w:tc>
          <w:tcPr/>
          <w:p>
            <w:pPr>
              <w:pStyle w:val="Compact"/>
              <w:keepNext/>
              <w:spacing w:before="8" w:after="8" w:line="240" w:lineRule="auto"/>
              <w:ind w:firstLine="0" w:left="0" w:right="0"/>
              <w:jc w:val="left"/>
              <w:jc w:val="center"/>
            </w:pPr>
            <w:r>
              <w:rPr>
                <w:rFonts w:ascii="Calibri" w:hAnsi="Calibri"/>
                <w:sz w:val="13"/>
              </w:rPr>
              <w:t xml:space="preserve">+0.048 (0.407)</w:t>
            </w:r>
          </w:p>
        </w:tc>
        <w:tc>
          <w:tcPr/>
          <w:p>
            <w:pPr>
              <w:pStyle w:val="Compact"/>
              <w:keepNext/>
              <w:spacing w:before="8" w:after="8" w:line="240" w:lineRule="auto"/>
              <w:ind w:firstLine="0" w:left="0" w:right="0"/>
              <w:jc w:val="left"/>
              <w:jc w:val="center"/>
            </w:pPr>
            <w:r>
              <w:rPr>
                <w:rFonts w:ascii="Calibri" w:hAnsi="Calibri"/>
                <w:sz w:val="13"/>
              </w:rPr>
              <w:t xml:space="preserve">-0.056 (0.590)</w:t>
            </w:r>
          </w:p>
        </w:tc>
        <w:tc>
          <w:tcPr/>
          <w:p>
            <w:pPr>
              <w:pStyle w:val="Compact"/>
              <w:keepNext/>
              <w:spacing w:before="8" w:after="8" w:line="240" w:lineRule="auto"/>
              <w:ind w:firstLine="0" w:left="0" w:right="0"/>
              <w:jc w:val="left"/>
              <w:jc w:val="center"/>
            </w:pPr>
            <w:r>
              <w:rPr>
                <w:rFonts w:ascii="Calibri" w:hAnsi="Calibri"/>
                <w:sz w:val="13"/>
              </w:rPr>
              <w:t xml:space="preserve">-0.039 (0.612)</w:t>
            </w:r>
          </w:p>
        </w:tc>
        <w:tc>
          <w:tcPr/>
          <w:p>
            <w:pPr>
              <w:pStyle w:val="Compact"/>
              <w:keepNext/>
              <w:spacing w:before="8" w:after="8" w:line="240" w:lineRule="auto"/>
              <w:ind w:firstLine="0" w:left="0" w:right="0"/>
              <w:jc w:val="left"/>
              <w:jc w:val="center"/>
            </w:pPr>
            <w:r>
              <w:rPr>
                <w:rFonts w:ascii="Calibri" w:hAnsi="Calibri"/>
                <w:sz w:val="13"/>
              </w:rPr>
              <w:t xml:space="preserve">+0.017 (0.877)</w:t>
            </w:r>
          </w:p>
        </w:tc>
        <w:tc>
          <w:tcPr/>
          <w:p>
            <w:pPr>
              <w:pStyle w:val="Compact"/>
              <w:keepNext/>
              <w:spacing w:before="8" w:after="8" w:line="240" w:lineRule="auto"/>
              <w:ind w:firstLine="0" w:left="0" w:right="0"/>
              <w:jc w:val="right"/>
              <w:jc w:val="center"/>
            </w:pPr>
            <w:r>
              <w:rPr>
                <w:rFonts w:ascii="Calibri" w:hAnsi="Calibri"/>
                <w:sz w:val="13"/>
              </w:rPr>
              <w:t xml:space="preserve">8,178</w:t>
            </w:r>
          </w:p>
        </w:tc>
        <w:tc>
          <w:tcPr/>
          <w:p>
            <w:pPr>
              <w:pStyle w:val="Compact"/>
              <w:keepNext/>
              <w:spacing w:before="8" w:after="8" w:line="240" w:lineRule="auto"/>
              <w:ind w:firstLine="0" w:left="0" w:right="0"/>
              <w:jc w:val="right"/>
              <w:jc w:val="center"/>
            </w:pPr>
            <w:r>
              <w:rPr>
                <w:rFonts w:ascii="Calibri" w:hAnsi="Calibri"/>
                <w:sz w:val="13"/>
              </w:rPr>
              <w:t xml:space="preserve">0.031</w:t>
            </w:r>
          </w:p>
        </w:tc>
        <w:tc>
          <w:tcPr/>
          <w:p>
            <w:pPr>
              <w:pStyle w:val="Compact"/>
              <w:keepNext/>
              <w:spacing w:before="8" w:after="8" w:line="240" w:lineRule="auto"/>
              <w:ind w:firstLine="0" w:left="0" w:right="0"/>
              <w:jc w:val="left"/>
              <w:jc w:val="center"/>
            </w:pPr>
            <w:r>
              <w:rPr>
                <w:rFonts w:ascii="Calibri" w:hAnsi="Calibri"/>
                <w:sz w:val="13"/>
              </w:rPr>
              <w:t xml:space="preserve">0.21 (0.813)</w:t>
            </w:r>
          </w:p>
        </w:tc>
      </w:tr>
      <w:tr>
        <w:trPr>
          <w:cantSplit/>
        </w:trPr>
        <w:tc>
          <w:tcPr/>
          <w:p>
            <w:pPr>
              <w:pStyle w:val="Compact"/>
              <w:keepNext/>
              <w:spacing w:before="8" w:after="8" w:line="240" w:lineRule="auto"/>
              <w:ind w:firstLine="0" w:left="0" w:right="0"/>
              <w:jc w:val="left"/>
              <w:jc w:val="center"/>
            </w:pPr>
            <w:r>
              <w:rPr>
                <w:rFonts w:ascii="Calibri" w:hAnsi="Calibri"/>
                <w:sz w:val="13"/>
              </w:rPr>
              <w:t xml:space="preserve">Down-to-up volatility (DUVOL, weekly)</w:t>
            </w:r>
          </w:p>
        </w:tc>
        <w:tc>
          <w:tcPr/>
          <w:p>
            <w:pPr>
              <w:pStyle w:val="Compact"/>
              <w:keepNext/>
              <w:spacing w:before="8" w:after="8" w:line="240" w:lineRule="auto"/>
              <w:ind w:firstLine="0" w:left="0" w:right="0"/>
              <w:jc w:val="left"/>
              <w:jc w:val="center"/>
            </w:pPr>
            <w:r>
              <w:rPr>
                <w:rFonts w:ascii="Calibri" w:hAnsi="Calibri"/>
                <w:sz w:val="13"/>
              </w:rPr>
              <w:t xml:space="preserve">-0.002 (0.850)</w:t>
            </w:r>
          </w:p>
        </w:tc>
        <w:tc>
          <w:tcPr/>
          <w:p>
            <w:pPr>
              <w:pStyle w:val="Compact"/>
              <w:keepNext/>
              <w:spacing w:before="8" w:after="8" w:line="240" w:lineRule="auto"/>
              <w:ind w:firstLine="0" w:left="0" w:right="0"/>
              <w:jc w:val="left"/>
              <w:jc w:val="center"/>
            </w:pPr>
            <w:r>
              <w:rPr>
                <w:rFonts w:ascii="Calibri" w:hAnsi="Calibri"/>
                <w:b/>
                <w:bCs/>
                <w:sz w:val="13"/>
              </w:rPr>
              <w:t xml:space="preserve">-0.028** (0.048)</w:t>
            </w:r>
          </w:p>
        </w:tc>
        <w:tc>
          <w:tcPr/>
          <w:p>
            <w:pPr>
              <w:pStyle w:val="Compact"/>
              <w:keepNext/>
              <w:spacing w:before="8" w:after="8" w:line="240" w:lineRule="auto"/>
              <w:ind w:firstLine="0" w:left="0" w:right="0"/>
              <w:jc w:val="left"/>
              <w:jc w:val="center"/>
            </w:pPr>
            <w:r>
              <w:rPr>
                <w:rFonts w:ascii="Calibri" w:hAnsi="Calibri"/>
                <w:sz w:val="13"/>
              </w:rPr>
              <w:t xml:space="preserve">-0.001 (0.953)</w:t>
            </w:r>
          </w:p>
        </w:tc>
        <w:tc>
          <w:tcPr/>
          <w:p>
            <w:pPr>
              <w:pStyle w:val="Compact"/>
              <w:keepNext/>
              <w:spacing w:before="8" w:after="8" w:line="240" w:lineRule="auto"/>
              <w:ind w:firstLine="0" w:left="0" w:right="0"/>
              <w:jc w:val="left"/>
              <w:jc w:val="center"/>
            </w:pPr>
            <w:r>
              <w:rPr>
                <w:rFonts w:ascii="Calibri" w:hAnsi="Calibri"/>
                <w:sz w:val="13"/>
              </w:rPr>
              <w:t xml:space="preserve">+0.043 (0.456)</w:t>
            </w:r>
          </w:p>
        </w:tc>
        <w:tc>
          <w:tcPr/>
          <w:p>
            <w:pPr>
              <w:pStyle w:val="Compact"/>
              <w:keepNext/>
              <w:spacing w:before="8" w:after="8" w:line="240" w:lineRule="auto"/>
              <w:ind w:firstLine="0" w:left="0" w:right="0"/>
              <w:jc w:val="left"/>
              <w:jc w:val="center"/>
            </w:pPr>
            <w:r>
              <w:rPr>
                <w:rFonts w:ascii="Calibri" w:hAnsi="Calibri"/>
                <w:sz w:val="13"/>
              </w:rPr>
              <w:t xml:space="preserve">-0.021 (0.836)</w:t>
            </w:r>
          </w:p>
        </w:tc>
        <w:tc>
          <w:tcPr/>
          <w:p>
            <w:pPr>
              <w:pStyle w:val="Compact"/>
              <w:keepNext/>
              <w:spacing w:before="8" w:after="8" w:line="240" w:lineRule="auto"/>
              <w:ind w:firstLine="0" w:left="0" w:right="0"/>
              <w:jc w:val="left"/>
              <w:jc w:val="center"/>
            </w:pPr>
            <w:r>
              <w:rPr>
                <w:rFonts w:ascii="Calibri" w:hAnsi="Calibri"/>
                <w:sz w:val="13"/>
              </w:rPr>
              <w:t xml:space="preserve">-0.032 (0.674)</w:t>
            </w:r>
          </w:p>
        </w:tc>
        <w:tc>
          <w:tcPr/>
          <w:p>
            <w:pPr>
              <w:pStyle w:val="Compact"/>
              <w:keepNext/>
              <w:spacing w:before="8" w:after="8" w:line="240" w:lineRule="auto"/>
              <w:ind w:firstLine="0" w:left="0" w:right="0"/>
              <w:jc w:val="left"/>
              <w:jc w:val="center"/>
            </w:pPr>
            <w:r>
              <w:rPr>
                <w:rFonts w:ascii="Calibri" w:hAnsi="Calibri"/>
                <w:sz w:val="13"/>
              </w:rPr>
              <w:t xml:space="preserve">-0.011 (0.919)</w:t>
            </w:r>
          </w:p>
        </w:tc>
        <w:tc>
          <w:tcPr/>
          <w:p>
            <w:pPr>
              <w:pStyle w:val="Compact"/>
              <w:keepNext/>
              <w:spacing w:before="8" w:after="8" w:line="240" w:lineRule="auto"/>
              <w:ind w:firstLine="0" w:left="0" w:right="0"/>
              <w:jc w:val="right"/>
              <w:jc w:val="center"/>
            </w:pPr>
            <w:r>
              <w:rPr>
                <w:rFonts w:ascii="Calibri" w:hAnsi="Calibri"/>
                <w:sz w:val="13"/>
              </w:rPr>
              <w:t xml:space="preserve">8,178</w:t>
            </w:r>
          </w:p>
        </w:tc>
        <w:tc>
          <w:tcPr/>
          <w:p>
            <w:pPr>
              <w:pStyle w:val="Compact"/>
              <w:keepNext/>
              <w:spacing w:before="8" w:after="8" w:line="240" w:lineRule="auto"/>
              <w:ind w:firstLine="0" w:left="0" w:right="0"/>
              <w:jc w:val="right"/>
              <w:jc w:val="center"/>
            </w:pPr>
            <w:r>
              <w:rPr>
                <w:rFonts w:ascii="Calibri" w:hAnsi="Calibri"/>
                <w:sz w:val="13"/>
              </w:rPr>
              <w:t xml:space="preserve">0.030</w:t>
            </w:r>
          </w:p>
        </w:tc>
        <w:tc>
          <w:tcPr/>
          <w:p>
            <w:pPr>
              <w:pStyle w:val="Compact"/>
              <w:keepNext/>
              <w:spacing w:before="8" w:after="8" w:line="240" w:lineRule="auto"/>
              <w:ind w:firstLine="0" w:left="0" w:right="0"/>
              <w:jc w:val="left"/>
              <w:jc w:val="center"/>
            </w:pPr>
            <w:r>
              <w:rPr>
                <w:rFonts w:ascii="Calibri" w:hAnsi="Calibri"/>
                <w:sz w:val="13"/>
              </w:rPr>
              <w:t xml:space="preserve">0.09 (0.913)</w:t>
            </w:r>
          </w:p>
        </w:tc>
      </w:tr>
      <w:tr>
        <w:trPr>
          <w:cantSplit/>
        </w:trPr>
        <w:tc>
          <w:tcPr/>
          <w:p>
            <w:pPr>
              <w:pStyle w:val="Compact"/>
              <w:keepNext/>
              <w:spacing w:before="8" w:after="8" w:line="240" w:lineRule="auto"/>
              <w:ind w:firstLine="0" w:left="0" w:right="0"/>
              <w:jc w:val="left"/>
              <w:jc w:val="center"/>
            </w:pPr>
            <w:r>
              <w:rPr>
                <w:rFonts w:ascii="Calibri" w:hAnsi="Calibri"/>
                <w:sz w:val="13"/>
              </w:rPr>
              <w:t xml:space="preserve">Gross margin expansion (pp, TTM)</w:t>
            </w:r>
          </w:p>
        </w:tc>
        <w:tc>
          <w:tcPr/>
          <w:p>
            <w:pPr>
              <w:pStyle w:val="Compact"/>
              <w:keepNext/>
              <w:spacing w:before="8" w:after="8" w:line="240" w:lineRule="auto"/>
              <w:ind w:firstLine="0" w:left="0" w:right="0"/>
              <w:jc w:val="left"/>
              <w:jc w:val="center"/>
            </w:pPr>
            <w:r>
              <w:rPr>
                <w:rFonts w:ascii="Calibri" w:hAnsi="Calibri"/>
                <w:sz w:val="13"/>
              </w:rPr>
              <w:t xml:space="preserve">+0.011 (0.473)</w:t>
            </w:r>
          </w:p>
        </w:tc>
        <w:tc>
          <w:tcPr/>
          <w:p>
            <w:pPr>
              <w:pStyle w:val="Compact"/>
              <w:keepNext/>
              <w:spacing w:before="8" w:after="8" w:line="240" w:lineRule="auto"/>
              <w:ind w:firstLine="0" w:left="0" w:right="0"/>
              <w:jc w:val="left"/>
              <w:jc w:val="center"/>
            </w:pPr>
            <w:r>
              <w:rPr>
                <w:rFonts w:ascii="Calibri" w:hAnsi="Calibri"/>
                <w:sz w:val="13"/>
              </w:rPr>
              <w:t xml:space="preserve">+0.025 (0.328)</w:t>
            </w:r>
          </w:p>
        </w:tc>
        <w:tc>
          <w:tcPr/>
          <w:p>
            <w:pPr>
              <w:pStyle w:val="Compact"/>
              <w:keepNext/>
              <w:spacing w:before="8" w:after="8" w:line="240" w:lineRule="auto"/>
              <w:ind w:firstLine="0" w:left="0" w:right="0"/>
              <w:jc w:val="left"/>
              <w:jc w:val="center"/>
            </w:pPr>
            <w:r>
              <w:rPr>
                <w:rFonts w:ascii="Calibri" w:hAnsi="Calibri"/>
                <w:sz w:val="13"/>
              </w:rPr>
              <w:t xml:space="preserve">-0.007 (0.743)</w:t>
            </w:r>
          </w:p>
        </w:tc>
        <w:tc>
          <w:tcPr/>
          <w:p>
            <w:pPr>
              <w:pStyle w:val="Compact"/>
              <w:keepNext/>
              <w:spacing w:before="8" w:after="8" w:line="240" w:lineRule="auto"/>
              <w:ind w:firstLine="0" w:left="0" w:right="0"/>
              <w:jc w:val="left"/>
              <w:jc w:val="center"/>
            </w:pPr>
            <w:r>
              <w:rPr>
                <w:rFonts w:ascii="Calibri" w:hAnsi="Calibri"/>
                <w:sz w:val="13"/>
              </w:rPr>
              <w:t xml:space="preserve">-0.058 (0.357)</w:t>
            </w:r>
          </w:p>
        </w:tc>
        <w:tc>
          <w:tcPr/>
          <w:p>
            <w:pPr>
              <w:pStyle w:val="Compact"/>
              <w:keepNext/>
              <w:spacing w:before="8" w:after="8" w:line="240" w:lineRule="auto"/>
              <w:ind w:firstLine="0" w:left="0" w:right="0"/>
              <w:jc w:val="left"/>
              <w:jc w:val="center"/>
            </w:pPr>
            <w:r>
              <w:rPr>
                <w:rFonts w:ascii="Calibri" w:hAnsi="Calibri"/>
                <w:sz w:val="13"/>
              </w:rPr>
              <w:t xml:space="preserve">+0.102 (0.334)</w:t>
            </w:r>
          </w:p>
        </w:tc>
        <w:tc>
          <w:tcPr/>
          <w:p>
            <w:pPr>
              <w:pStyle w:val="Compact"/>
              <w:keepNext/>
              <w:spacing w:before="8" w:after="8" w:line="240" w:lineRule="auto"/>
              <w:ind w:firstLine="0" w:left="0" w:right="0"/>
              <w:jc w:val="left"/>
              <w:jc w:val="center"/>
            </w:pPr>
            <w:r>
              <w:rPr>
                <w:rFonts w:ascii="Calibri" w:hAnsi="Calibri"/>
                <w:sz w:val="13"/>
              </w:rPr>
              <w:t xml:space="preserve">+0.058 (0.432)</w:t>
            </w:r>
          </w:p>
        </w:tc>
        <w:tc>
          <w:tcPr/>
          <w:p>
            <w:pPr>
              <w:pStyle w:val="Compact"/>
              <w:keepNext/>
              <w:spacing w:before="8" w:after="8" w:line="240" w:lineRule="auto"/>
              <w:ind w:firstLine="0" w:left="0" w:right="0"/>
              <w:jc w:val="left"/>
              <w:jc w:val="center"/>
            </w:pPr>
            <w:r>
              <w:rPr>
                <w:rFonts w:ascii="Calibri" w:hAnsi="Calibri"/>
                <w:sz w:val="13"/>
              </w:rPr>
              <w:t xml:space="preserve">-0.045 (0.688)</w:t>
            </w:r>
          </w:p>
        </w:tc>
        <w:tc>
          <w:tcPr/>
          <w:p>
            <w:pPr>
              <w:pStyle w:val="Compact"/>
              <w:keepNext/>
              <w:spacing w:before="8" w:after="8" w:line="240" w:lineRule="auto"/>
              <w:ind w:firstLine="0" w:left="0" w:right="0"/>
              <w:jc w:val="right"/>
              <w:jc w:val="center"/>
            </w:pPr>
            <w:r>
              <w:rPr>
                <w:rFonts w:ascii="Calibri" w:hAnsi="Calibri"/>
                <w:sz w:val="13"/>
              </w:rPr>
              <w:t xml:space="preserve">6,239</w:t>
            </w:r>
          </w:p>
        </w:tc>
        <w:tc>
          <w:tcPr/>
          <w:p>
            <w:pPr>
              <w:pStyle w:val="Compact"/>
              <w:keepNext/>
              <w:spacing w:before="8" w:after="8" w:line="240" w:lineRule="auto"/>
              <w:ind w:firstLine="0" w:left="0" w:right="0"/>
              <w:jc w:val="right"/>
              <w:jc w:val="center"/>
            </w:pPr>
            <w:r>
              <w:rPr>
                <w:rFonts w:ascii="Calibri" w:hAnsi="Calibri"/>
                <w:sz w:val="13"/>
              </w:rPr>
              <w:t xml:space="preserve">0.227</w:t>
            </w:r>
          </w:p>
        </w:tc>
        <w:tc>
          <w:tcPr/>
          <w:p>
            <w:pPr>
              <w:pStyle w:val="Compact"/>
              <w:keepNext/>
              <w:spacing w:before="8" w:after="8" w:line="240" w:lineRule="auto"/>
              <w:ind w:firstLine="0" w:left="0" w:right="0"/>
              <w:jc w:val="left"/>
              <w:jc w:val="center"/>
            </w:pPr>
            <w:r>
              <w:rPr>
                <w:rFonts w:ascii="Calibri" w:hAnsi="Calibri"/>
                <w:sz w:val="13"/>
              </w:rPr>
              <w:t xml:space="preserve">0.62 (0.540)</w:t>
            </w:r>
          </w:p>
        </w:tc>
      </w:tr>
      <w:tr>
        <w:trPr>
          <w:cantSplit/>
        </w:trPr>
        <w:tc>
          <w:tcPr/>
          <w:p>
            <w:pPr>
              <w:pStyle w:val="Compact"/>
              <w:keepNext/>
              <w:spacing w:before="8" w:after="8" w:line="240" w:lineRule="auto"/>
              <w:ind w:firstLine="0" w:left="0" w:right="0"/>
              <w:jc w:val="left"/>
              <w:jc w:val="center"/>
            </w:pPr>
            <w:r>
              <w:rPr>
                <w:rFonts w:ascii="Calibri" w:hAnsi="Calibri"/>
                <w:sz w:val="13"/>
              </w:rPr>
              <w:t xml:space="preserve">Change in ROIC-WACC spread (pp, TTM)</w:t>
            </w:r>
          </w:p>
        </w:tc>
        <w:tc>
          <w:tcPr/>
          <w:p>
            <w:pPr>
              <w:pStyle w:val="Compact"/>
              <w:keepNext/>
              <w:spacing w:before="8" w:after="8" w:line="240" w:lineRule="auto"/>
              <w:ind w:firstLine="0" w:left="0" w:right="0"/>
              <w:jc w:val="left"/>
              <w:jc w:val="center"/>
            </w:pPr>
            <w:r>
              <w:rPr>
                <w:rFonts w:ascii="Calibri" w:hAnsi="Calibri"/>
                <w:sz w:val="13"/>
              </w:rPr>
              <w:t xml:space="preserve">+0.014 (0.356)</w:t>
            </w:r>
          </w:p>
        </w:tc>
        <w:tc>
          <w:tcPr/>
          <w:p>
            <w:pPr>
              <w:pStyle w:val="Compact"/>
              <w:keepNext/>
              <w:spacing w:before="8" w:after="8" w:line="240" w:lineRule="auto"/>
              <w:ind w:firstLine="0" w:left="0" w:right="0"/>
              <w:jc w:val="left"/>
              <w:jc w:val="center"/>
            </w:pPr>
            <w:r>
              <w:rPr>
                <w:rFonts w:ascii="Calibri" w:hAnsi="Calibri"/>
                <w:sz w:val="13"/>
              </w:rPr>
              <w:t xml:space="preserve">-0.028 (0.237)</w:t>
            </w:r>
          </w:p>
        </w:tc>
        <w:tc>
          <w:tcPr/>
          <w:p>
            <w:pPr>
              <w:pStyle w:val="Compact"/>
              <w:keepNext/>
              <w:spacing w:before="8" w:after="8" w:line="240" w:lineRule="auto"/>
              <w:ind w:firstLine="0" w:left="0" w:right="0"/>
              <w:jc w:val="left"/>
              <w:jc w:val="center"/>
            </w:pPr>
            <w:r>
              <w:rPr>
                <w:rFonts w:ascii="Calibri" w:hAnsi="Calibri"/>
                <w:sz w:val="13"/>
              </w:rPr>
              <w:t xml:space="preserve">+0.023 (0.442)</w:t>
            </w:r>
          </w:p>
        </w:tc>
        <w:tc>
          <w:tcPr/>
          <w:p>
            <w:pPr>
              <w:pStyle w:val="Compact"/>
              <w:keepNext/>
              <w:spacing w:before="8" w:after="8" w:line="240" w:lineRule="auto"/>
              <w:ind w:firstLine="0" w:left="0" w:right="0"/>
              <w:jc w:val="left"/>
              <w:jc w:val="center"/>
            </w:pPr>
            <w:r>
              <w:rPr>
                <w:rFonts w:ascii="Calibri" w:hAnsi="Calibri"/>
                <w:sz w:val="13"/>
              </w:rPr>
              <w:t xml:space="preserve">-0.015 (0.827)</w:t>
            </w:r>
          </w:p>
        </w:tc>
        <w:tc>
          <w:tcPr/>
          <w:p>
            <w:pPr>
              <w:pStyle w:val="Compact"/>
              <w:keepNext/>
              <w:spacing w:before="8" w:after="8" w:line="240" w:lineRule="auto"/>
              <w:ind w:firstLine="0" w:left="0" w:right="0"/>
              <w:jc w:val="left"/>
              <w:jc w:val="center"/>
            </w:pPr>
            <w:r>
              <w:rPr>
                <w:rFonts w:ascii="Calibri" w:hAnsi="Calibri"/>
                <w:sz w:val="13"/>
              </w:rPr>
              <w:t xml:space="preserve">+0.035 (0.772)</w:t>
            </w:r>
          </w:p>
        </w:tc>
        <w:tc>
          <w:tcPr/>
          <w:p>
            <w:pPr>
              <w:pStyle w:val="Compact"/>
              <w:keepNext/>
              <w:spacing w:before="8" w:after="8" w:line="240" w:lineRule="auto"/>
              <w:ind w:firstLine="0" w:left="0" w:right="0"/>
              <w:jc w:val="left"/>
              <w:jc w:val="center"/>
            </w:pPr>
            <w:r>
              <w:rPr>
                <w:rFonts w:ascii="Calibri" w:hAnsi="Calibri"/>
                <w:sz w:val="13"/>
              </w:rPr>
              <w:t xml:space="preserve">-0.057 (0.566)</w:t>
            </w:r>
          </w:p>
        </w:tc>
        <w:tc>
          <w:tcPr/>
          <w:p>
            <w:pPr>
              <w:pStyle w:val="Compact"/>
              <w:keepNext/>
              <w:spacing w:before="8" w:after="8" w:line="240" w:lineRule="auto"/>
              <w:ind w:firstLine="0" w:left="0" w:right="0"/>
              <w:jc w:val="left"/>
              <w:jc w:val="center"/>
            </w:pPr>
            <w:r>
              <w:rPr>
                <w:rFonts w:ascii="Calibri" w:hAnsi="Calibri"/>
                <w:sz w:val="13"/>
              </w:rPr>
              <w:t xml:space="preserve">-0.092 (0.515)</w:t>
            </w:r>
          </w:p>
        </w:tc>
        <w:tc>
          <w:tcPr/>
          <w:p>
            <w:pPr>
              <w:pStyle w:val="Compact"/>
              <w:keepNext/>
              <w:spacing w:before="8" w:after="8" w:line="240" w:lineRule="auto"/>
              <w:ind w:firstLine="0" w:left="0" w:right="0"/>
              <w:jc w:val="right"/>
              <w:jc w:val="center"/>
            </w:pPr>
            <w:r>
              <w:rPr>
                <w:rFonts w:ascii="Calibri" w:hAnsi="Calibri"/>
                <w:sz w:val="13"/>
              </w:rPr>
              <w:t xml:space="preserve">6,214</w:t>
            </w:r>
          </w:p>
        </w:tc>
        <w:tc>
          <w:tcPr/>
          <w:p>
            <w:pPr>
              <w:pStyle w:val="Compact"/>
              <w:keepNext/>
              <w:spacing w:before="8" w:after="8" w:line="240" w:lineRule="auto"/>
              <w:ind w:firstLine="0" w:left="0" w:right="0"/>
              <w:jc w:val="right"/>
              <w:jc w:val="center"/>
            </w:pPr>
            <w:r>
              <w:rPr>
                <w:rFonts w:ascii="Calibri" w:hAnsi="Calibri"/>
                <w:sz w:val="13"/>
              </w:rPr>
              <w:t xml:space="preserve">0.151</w:t>
            </w:r>
          </w:p>
        </w:tc>
        <w:tc>
          <w:tcPr/>
          <w:p>
            <w:pPr>
              <w:pStyle w:val="Compact"/>
              <w:keepNext/>
              <w:spacing w:before="8" w:after="8" w:line="240" w:lineRule="auto"/>
              <w:ind w:firstLine="0" w:left="0" w:right="0"/>
              <w:jc w:val="left"/>
              <w:jc w:val="center"/>
            </w:pPr>
            <w:r>
              <w:rPr>
                <w:rFonts w:ascii="Calibri" w:hAnsi="Calibri"/>
                <w:sz w:val="13"/>
              </w:rPr>
              <w:t xml:space="preserve">0.25 (0.780)</w:t>
            </w:r>
          </w:p>
        </w:tc>
      </w:tr>
      <w:tr>
        <w:trPr>
          <w:cantSplit/>
        </w:trPr>
        <w:tc>
          <w:tcPr/>
          <w:p>
            <w:pPr>
              <w:pStyle w:val="Compact"/>
              <w:spacing w:before="8" w:after="8" w:line="240" w:lineRule="auto"/>
              <w:ind w:firstLine="0" w:left="0" w:right="0"/>
              <w:jc w:val="left"/>
              <w:jc w:val="center"/>
            </w:pPr>
            <w:r>
              <w:rPr>
                <w:rFonts w:ascii="Calibri" w:hAnsi="Calibri"/>
                <w:sz w:val="13"/>
              </w:rPr>
              <w:t xml:space="preserve">Revenue growth (%, TTM)</w:t>
            </w:r>
          </w:p>
        </w:tc>
        <w:tc>
          <w:tcPr/>
          <w:p>
            <w:pPr>
              <w:pStyle w:val="Compact"/>
              <w:spacing w:before="8" w:after="8" w:line="240" w:lineRule="auto"/>
              <w:ind w:firstLine="0" w:left="0" w:right="0"/>
              <w:jc w:val="left"/>
              <w:jc w:val="center"/>
            </w:pPr>
            <w:r>
              <w:rPr>
                <w:rFonts w:ascii="Calibri" w:hAnsi="Calibri"/>
                <w:sz w:val="13"/>
              </w:rPr>
              <w:t xml:space="preserve">-0.005 (0.723)</w:t>
            </w:r>
          </w:p>
        </w:tc>
        <w:tc>
          <w:tcPr/>
          <w:p>
            <w:pPr>
              <w:pStyle w:val="Compact"/>
              <w:spacing w:before="8" w:after="8" w:line="240" w:lineRule="auto"/>
              <w:ind w:firstLine="0" w:left="0" w:right="0"/>
              <w:jc w:val="left"/>
              <w:jc w:val="center"/>
            </w:pPr>
            <w:r>
              <w:rPr>
                <w:rFonts w:ascii="Calibri" w:hAnsi="Calibri"/>
                <w:sz w:val="13"/>
              </w:rPr>
              <w:t xml:space="preserve">-0.005 (0.805)</w:t>
            </w:r>
          </w:p>
        </w:tc>
        <w:tc>
          <w:tcPr/>
          <w:p>
            <w:pPr>
              <w:pStyle w:val="Compact"/>
              <w:spacing w:before="8" w:after="8" w:line="240" w:lineRule="auto"/>
              <w:ind w:firstLine="0" w:left="0" w:right="0"/>
              <w:jc w:val="left"/>
              <w:jc w:val="center"/>
            </w:pPr>
            <w:r>
              <w:rPr>
                <w:rFonts w:ascii="Calibri" w:hAnsi="Calibri"/>
                <w:b/>
                <w:bCs/>
                <w:sz w:val="13"/>
              </w:rPr>
              <w:t xml:space="preserve">+0.123** (0.028)</w:t>
            </w:r>
          </w:p>
        </w:tc>
        <w:tc>
          <w:tcPr/>
          <w:p>
            <w:pPr>
              <w:pStyle w:val="Compact"/>
              <w:spacing w:before="8" w:after="8" w:line="240" w:lineRule="auto"/>
              <w:ind w:firstLine="0" w:left="0" w:right="0"/>
              <w:jc w:val="left"/>
              <w:jc w:val="center"/>
            </w:pPr>
            <w:r>
              <w:rPr>
                <w:rFonts w:ascii="Calibri" w:hAnsi="Calibri"/>
                <w:sz w:val="13"/>
              </w:rPr>
              <w:t xml:space="preserve">+0.084 (0.118)</w:t>
            </w:r>
          </w:p>
        </w:tc>
        <w:tc>
          <w:tcPr/>
          <w:p>
            <w:pPr>
              <w:pStyle w:val="Compact"/>
              <w:spacing w:before="8" w:after="8" w:line="240" w:lineRule="auto"/>
              <w:ind w:firstLine="0" w:left="0" w:right="0"/>
              <w:jc w:val="left"/>
              <w:jc w:val="center"/>
            </w:pPr>
            <w:r>
              <w:rPr>
                <w:rFonts w:ascii="Calibri" w:hAnsi="Calibri"/>
                <w:sz w:val="13"/>
              </w:rPr>
              <w:t xml:space="preserve">-0.086 (0.404)</w:t>
            </w:r>
          </w:p>
        </w:tc>
        <w:tc>
          <w:tcPr/>
          <w:p>
            <w:pPr>
              <w:pStyle w:val="Compact"/>
              <w:spacing w:before="8" w:after="8" w:line="240" w:lineRule="auto"/>
              <w:ind w:firstLine="0" w:left="0" w:right="0"/>
              <w:jc w:val="left"/>
              <w:jc w:val="center"/>
            </w:pPr>
            <w:r>
              <w:rPr>
                <w:rFonts w:ascii="Calibri" w:hAnsi="Calibri"/>
                <w:b/>
                <w:bCs/>
                <w:sz w:val="13"/>
              </w:rPr>
              <w:t xml:space="preserve">-0.196*** (0.005)</w:t>
            </w:r>
          </w:p>
        </w:tc>
        <w:tc>
          <w:tcPr/>
          <w:p>
            <w:pPr>
              <w:pStyle w:val="Compact"/>
              <w:spacing w:before="8" w:after="8" w:line="240" w:lineRule="auto"/>
              <w:ind w:firstLine="0" w:left="0" w:right="0"/>
              <w:jc w:val="left"/>
              <w:jc w:val="center"/>
            </w:pPr>
            <w:r>
              <w:rPr>
                <w:rFonts w:ascii="Calibri" w:hAnsi="Calibri"/>
                <w:sz w:val="13"/>
              </w:rPr>
              <w:t xml:space="preserve">-0.110 (0.335)</w:t>
            </w:r>
          </w:p>
        </w:tc>
        <w:tc>
          <w:tcPr/>
          <w:p>
            <w:pPr>
              <w:pStyle w:val="Compact"/>
              <w:spacing w:before="8" w:after="8" w:line="240" w:lineRule="auto"/>
              <w:ind w:firstLine="0" w:left="0" w:right="0"/>
              <w:jc w:val="right"/>
              <w:jc w:val="center"/>
            </w:pPr>
            <w:r>
              <w:rPr>
                <w:rFonts w:ascii="Calibri" w:hAnsi="Calibri"/>
                <w:sz w:val="13"/>
              </w:rPr>
              <w:t xml:space="preserve">6,427</w:t>
            </w:r>
          </w:p>
        </w:tc>
        <w:tc>
          <w:tcPr/>
          <w:p>
            <w:pPr>
              <w:pStyle w:val="Compact"/>
              <w:spacing w:before="8" w:after="8" w:line="240" w:lineRule="auto"/>
              <w:ind w:firstLine="0" w:left="0" w:right="0"/>
              <w:jc w:val="right"/>
              <w:jc w:val="center"/>
            </w:pPr>
            <w:r>
              <w:rPr>
                <w:rFonts w:ascii="Calibri" w:hAnsi="Calibri"/>
                <w:sz w:val="13"/>
              </w:rPr>
              <w:t xml:space="preserve">0.235</w:t>
            </w:r>
          </w:p>
        </w:tc>
        <w:tc>
          <w:tcPr/>
          <w:p>
            <w:pPr>
              <w:pStyle w:val="Compact"/>
              <w:spacing w:before="8" w:after="8" w:line="240" w:lineRule="auto"/>
              <w:ind w:firstLine="0" w:left="0" w:right="0"/>
              <w:jc w:val="left"/>
              <w:jc w:val="center"/>
            </w:pPr>
            <w:r>
              <w:rPr>
                <w:rFonts w:ascii="Calibri" w:hAnsi="Calibri"/>
                <w:b/>
                <w:bCs/>
                <w:sz w:val="13"/>
              </w:rPr>
              <w:t xml:space="preserve">4.02** (0.019)</w:t>
            </w:r>
          </w:p>
        </w:tc>
      </w:tr>
    </w:tbl>
    <w:bookmarkEnd w:id="77"/>
    <w:p/>
    <w:p>
      <w:pPr>
        <w:pStyle w:val="Textoindependiente"/>
      </w:pPr>
      <w:r>
        <w:rPr>
          <w:b/>
          <w:bCs/>
        </w:rPr>
        <w:t xml:space="preserve">Accumulated disclosure, not a single call’s decoupling, is associated with a more positive shift in beta around the earnings call.</w:t>
      </w:r>
      <w:r>
        <w:t xml:space="preserve"> </w:t>
      </w:r>
      <w:r>
        <w:t xml:space="preserve">Historical decoupling (</w:t>
      </w:r>
      <m:oMath>
        <m:sSub>
          <m:e>
            <m:r>
              <w:rPr>
                <w:sz w:val="22"/>
              </w:rPr>
              <m:t>W</m:t>
            </m:r>
          </m:e>
          <m:sub>
            <m:r>
              <m:rPr>
                <m:nor/>
                <m:sty m:val="p"/>
              </m:rPr>
              <w:rPr>
                <w:sz w:val="22"/>
              </w:rPr>
              <m:t>exp</m:t>
            </m:r>
          </m:sub>
        </m:sSub>
      </m:oMath>
      <w:r>
        <w:t xml:space="preserve">) and cumulative disclosure intensity (</w:t>
      </w:r>
      <m:oMath>
        <m:r>
          <w:rPr>
            <w:sz w:val="22"/>
          </w:rPr>
          <m:t>D</m:t>
        </m:r>
      </m:oMath>
      <w:r>
        <w:t xml:space="preserve">) both associate with a more positive beta shift (</w:t>
      </w:r>
      <m:oMath>
        <m:sSub>
          <m:e>
            <m:r>
              <w:rPr>
                <w:sz w:val="22"/>
              </w:rPr>
              <m:t>W</m:t>
            </m:r>
          </m:e>
          <m:sub>
            <m:r>
              <m:rPr>
                <m:nor/>
                <m:sty m:val="p"/>
              </m:rPr>
              <w:rPr>
                <w:sz w:val="22"/>
              </w:rPr>
              <m:t>exp</m:t>
            </m:r>
          </m:sub>
        </m:sSub>
      </m:oMath>
      <w:r>
        <w:t xml:space="preserve">:</w:t>
      </w:r>
      <w:r>
        <w:t xml:space="preserve"> </w:t>
      </w:r>
      <m:oMath>
        <m:r>
          <w:rPr>
            <w:sz w:val="22"/>
          </w:rPr>
          <m:t>β</m:t>
        </m:r>
        <m:r>
          <m:rPr>
            <m:sty m:val="p"/>
          </m:rPr>
          <w:rPr>
            <w:sz w:val="22"/>
          </w:rPr>
          <m:t>=</m:t>
        </m:r>
      </m:oMath>
      <w:r>
        <w:t xml:space="preserve"> </w:t>
      </w:r>
      <w:r>
        <w:t xml:space="preserve">+0.092,</w:t>
      </w:r>
      <w:r>
        <w:t xml:space="preserve"> </w:t>
      </w:r>
      <m:oMath>
        <m:r>
          <w:rPr>
            <w:sz w:val="22"/>
          </w:rPr>
          <m:t>p</m:t>
        </m:r>
      </m:oMath>
      <w:r>
        <w:t xml:space="preserve"> </w:t>
      </w:r>
      <w:r>
        <w:t xml:space="preserve">&lt; 0.001;</w:t>
      </w:r>
      <w:r>
        <w:t xml:space="preserve"> </w:t>
      </w:r>
      <m:oMath>
        <m:r>
          <w:rPr>
            <w:sz w:val="22"/>
          </w:rPr>
          <m:t>D</m:t>
        </m:r>
      </m:oMath>
      <w:r>
        <w:t xml:space="preserve">:</w:t>
      </w:r>
      <w:r>
        <w:t xml:space="preserve"> </w:t>
      </w:r>
      <m:oMath>
        <m:r>
          <w:rPr>
            <w:sz w:val="22"/>
          </w:rPr>
          <m:t>β</m:t>
        </m:r>
        <m:r>
          <m:rPr>
            <m:sty m:val="p"/>
          </m:rPr>
          <w:rPr>
            <w:sz w:val="22"/>
          </w:rPr>
          <m:t>=</m:t>
        </m:r>
      </m:oMath>
      <w:r>
        <w:t xml:space="preserve"> </w:t>
      </w:r>
      <w:r>
        <w:t xml:space="preserve">+0.073,</w:t>
      </w:r>
      <w:r>
        <w:t xml:space="preserve"> </w:t>
      </w:r>
      <m:oMath>
        <m:r>
          <w:rPr>
            <w:sz w:val="22"/>
          </w:rPr>
          <m:t>p</m:t>
        </m:r>
      </m:oMath>
      <w:r>
        <w:t xml:space="preserve"> </w:t>
      </w:r>
      <w:r>
        <w:t xml:space="preserve">&lt; 0.001), and both clear the 5% Benjamini-Hochberg false discovery rate (BH-FDR) correction over all 48 disclosure coefficients. The decoupling of an individual call (</w:t>
      </w:r>
      <m:oMath>
        <m:sSub>
          <m:e>
            <m:r>
              <w:rPr>
                <w:sz w:val="22"/>
              </w:rPr>
              <m:t>W</m:t>
            </m:r>
          </m:e>
          <m:sub>
            <m:r>
              <m:rPr>
                <m:nor/>
                <m:sty m:val="p"/>
              </m:rPr>
              <w:rPr>
                <w:sz w:val="22"/>
              </w:rPr>
              <m:t>call</m:t>
            </m:r>
          </m:sub>
        </m:sSub>
      </m:oMath>
      <w:r>
        <w:t xml:space="preserve">) carries none of this: across all eight outcomes its coefficient never separates from zero (</w:t>
      </w:r>
      <m:oMath>
        <m:r>
          <w:rPr>
            <w:sz w:val="22"/>
          </w:rPr>
          <m:t>β</m:t>
        </m:r>
        <m:r>
          <m:rPr>
            <m:sty m:val="p"/>
          </m:rPr>
          <w:rPr>
            <w:sz w:val="22"/>
          </w:rPr>
          <m:t>∈</m:t>
        </m:r>
        <m:r>
          <m:rPr>
            <m:sty m:val="p"/>
          </m:rPr>
          <w:rPr>
            <w:sz w:val="22"/>
          </w:rPr>
          <m:t>[</m:t>
        </m:r>
      </m:oMath>
      <w:r>
        <w:t xml:space="preserve"> </w:t>
      </w:r>
      <w:r>
        <w:t xml:space="preserve">-0.005, +0.019</w:t>
      </w:r>
      <w:r>
        <w:t xml:space="preserve"> </w:t>
      </w:r>
      <m:oMath>
        <m:r>
          <m:rPr>
            <m:sty m:val="p"/>
          </m:rPr>
          <w:rPr>
            <w:sz w:val="22"/>
          </w:rPr>
          <m:t>]</m:t>
        </m:r>
      </m:oMath>
      <w:r>
        <w:t xml:space="preserve">). Persistent decoupling behaves as a firm characteristic rather than an episode, consistent with accumulated opacity being priced into systematic risk</w:t>
      </w:r>
      <w:r>
        <w:t xml:space="preserve"> </w:t>
      </w:r>
      <w:r>
        <w:t xml:space="preserve">(</w:t>
      </w:r>
      <w:hyperlink w:anchor="ref-jin2006">
        <w:r>
          <w:rPr>
            <w:rStyle w:val="Hipervnculo"/>
          </w:rPr>
          <w:t xml:space="preserve">Jin and Myers 2006</w:t>
        </w:r>
      </w:hyperlink>
      <w:r>
        <w:t xml:space="preserve">;</w:t>
      </w:r>
      <w:r>
        <w:t xml:space="preserve"> </w:t>
      </w:r>
      <w:hyperlink w:anchor="ref-fu2021">
        <w:r>
          <w:rPr>
            <w:rStyle w:val="Hipervnculo"/>
          </w:rPr>
          <w:t xml:space="preserve">Fu, Wu, and Zhang 2021</w:t>
        </w:r>
      </w:hyperlink>
      <w:r>
        <w:t xml:space="preserve">)</w:t>
      </w:r>
      <w:r>
        <w:t xml:space="preserve">, though the design cannot separate that channel from a market-theme exposure reading of the same intensity effect</w:t>
      </w:r>
      <w:r>
        <w:t xml:space="preserve"> </w:t>
      </w:r>
      <w:r>
        <w:t xml:space="preserve">(</w:t>
      </w:r>
      <w:hyperlink w:anchor="ref-eisfeldt2023">
        <w:r>
          <w:rPr>
            <w:rStyle w:val="Hipervnculo"/>
          </w:rPr>
          <w:t xml:space="preserve">Eisfeldt et al. 2023</w:t>
        </w:r>
      </w:hyperlink>
      <w:r>
        <w:t xml:space="preserve">)</w:t>
      </w:r>
      <w:r>
        <w:t xml:space="preserve">.</w:t>
      </w:r>
    </w:p>
    <w:p>
      <w:pPr>
        <w:pStyle w:val="Textoindependiente"/>
      </w:pPr>
      <w:r>
        <w:rPr>
          <w:b/>
          <w:bCs/>
        </w:rPr>
        <w:t xml:space="preserve">Relative to Defensive disclosure, a governance-weighted composition is associated with a more negative beta shift, higher subsequent abnormal returns, and slower revenue growth.</w:t>
      </w:r>
      <w:r>
        <w:t xml:space="preserve"> </w:t>
      </w:r>
      <w:r>
        <w:t xml:space="preserve">A composition weighted toward Governance rather than Defensive goes with a more negative beta shift (</w:t>
      </w:r>
      <m:oMath>
        <m:r>
          <w:rPr>
            <w:sz w:val="22"/>
          </w:rPr>
          <m:t>β</m:t>
        </m:r>
        <m:r>
          <m:rPr>
            <m:sty m:val="p"/>
          </m:rPr>
          <w:rPr>
            <w:sz w:val="22"/>
          </w:rPr>
          <m:t>=</m:t>
        </m:r>
      </m:oMath>
      <w:r>
        <w:t xml:space="preserve"> </w:t>
      </w:r>
      <w:r>
        <w:t xml:space="preserve">-0.223,</w:t>
      </w:r>
      <w:r>
        <w:t xml:space="preserve"> </w:t>
      </w:r>
      <m:oMath>
        <m:r>
          <w:rPr>
            <w:sz w:val="22"/>
          </w:rPr>
          <m:t>p</m:t>
        </m:r>
      </m:oMath>
      <w:r>
        <w:t xml:space="preserve"> </w:t>
      </w:r>
      <w:r>
        <w:t xml:space="preserve">&lt; 0.001), more positive post-announcement drift (</w:t>
      </w:r>
      <m:oMath>
        <m:r>
          <w:rPr>
            <w:sz w:val="22"/>
          </w:rPr>
          <m:t>β</m:t>
        </m:r>
        <m:r>
          <m:rPr>
            <m:sty m:val="p"/>
          </m:rPr>
          <w:rPr>
            <w:sz w:val="22"/>
          </w:rPr>
          <m:t>=</m:t>
        </m:r>
      </m:oMath>
      <w:r>
        <w:t xml:space="preserve"> </w:t>
      </w:r>
      <w:r>
        <w:t xml:space="preserve">+0.220,</w:t>
      </w:r>
      <w:r>
        <w:t xml:space="preserve"> </w:t>
      </w:r>
      <m:oMath>
        <m:r>
          <w:rPr>
            <w:sz w:val="22"/>
          </w:rPr>
          <m:t>p</m:t>
        </m:r>
      </m:oMath>
      <w:r>
        <w:t xml:space="preserve"> </w:t>
      </w:r>
      <w:r>
        <w:t xml:space="preserve">&lt; 0.001), and slower revenue growth over the following four quarters (</w:t>
      </w:r>
      <m:oMath>
        <m:r>
          <w:rPr>
            <w:sz w:val="22"/>
          </w:rPr>
          <m:t>β</m:t>
        </m:r>
        <m:r>
          <m:rPr>
            <m:sty m:val="p"/>
          </m:rPr>
          <w:rPr>
            <w:sz w:val="22"/>
          </w:rPr>
          <m:t>=</m:t>
        </m:r>
      </m:oMath>
      <w:r>
        <w:t xml:space="preserve"> </w:t>
      </w:r>
      <w:r>
        <w:t xml:space="preserve">-0.196,</w:t>
      </w:r>
      <w:r>
        <w:t xml:space="preserve"> </w:t>
      </w:r>
      <m:oMath>
        <m:r>
          <w:rPr>
            <w:sz w:val="22"/>
          </w:rPr>
          <m:t>p</m:t>
        </m:r>
      </m:oMath>
      <w:r>
        <w:t xml:space="preserve"> </w:t>
      </w:r>
      <w:r>
        <w:t xml:space="preserve">= 0.005); all three survive BH-FDR control, and the joint test on the full posture composition rejects only for these three outcomes (</w:t>
      </w:r>
      <w:hyperlink w:anchor="tbl-market-results">
        <w:r>
          <w:rPr>
            <w:rStyle w:val="Hipervnculo"/>
          </w:rPr>
          <w:t xml:space="preserve">Table 14</w:t>
        </w:r>
      </w:hyperlink>
      <w:r>
        <w:t xml:space="preserve">). Cumulative disclosure intensity also adds to the post-announcement drift (</w:t>
      </w:r>
      <m:oMath>
        <m:r>
          <w:rPr>
            <w:sz w:val="22"/>
          </w:rPr>
          <m:t>β</m:t>
        </m:r>
        <m:r>
          <m:rPr>
            <m:sty m:val="p"/>
          </m:rPr>
          <w:rPr>
            <w:sz w:val="22"/>
          </w:rPr>
          <m:t>=</m:t>
        </m:r>
      </m:oMath>
      <w:r>
        <w:t xml:space="preserve"> </w:t>
      </w:r>
      <w:r>
        <w:t xml:space="preserve">+0.035,</w:t>
      </w:r>
      <w:r>
        <w:t xml:space="preserve"> </w:t>
      </w:r>
      <m:oMath>
        <m:r>
          <w:rPr>
            <w:sz w:val="22"/>
          </w:rPr>
          <m:t>p</m:t>
        </m:r>
      </m:oMath>
      <w:r>
        <w:t xml:space="preserve"> </w:t>
      </w:r>
      <w:r>
        <w:t xml:space="preserve">= 0.004, surviving). Together, these associations link governance-oriented disclosure to a more negative change in systematic exposure, stronger subsequent abnormal returns, and slower revenue growth, without identifying a common mechanism.</w:t>
      </w:r>
    </w:p>
    <w:p>
      <w:pPr>
        <w:pStyle w:val="Textoindependiente"/>
      </w:pPr>
      <w:r>
        <w:rPr>
          <w:b/>
          <w:bCs/>
        </w:rPr>
        <w:t xml:space="preserve">No disclosure variable survives the correction on the announcement-window reaction or on the weekly crash-risk measures.</w:t>
      </w:r>
      <w:r>
        <w:t xml:space="preserve"> </w:t>
      </w:r>
      <w:r>
        <w:t xml:space="preserve">The three-day cumulative abnormal return around the call,</w:t>
      </w:r>
      <w:r>
        <w:t xml:space="preserve"> </w:t>
      </w:r>
      <m:oMath>
        <m:r>
          <m:rPr>
            <m:nor/>
            <m:sty m:val="p"/>
          </m:rPr>
          <w:rPr>
            <w:sz w:val="22"/>
          </w:rPr>
          <m:t>CAR</m:t>
        </m:r>
        <m:d>
          <m:dPr>
            <m:begChr m:val="["/>
            <m:sepChr m:val=""/>
            <m:endChr m:val="]"/>
            <m:grow/>
          </m:dPr>
          <m:e>
            <m:r>
              <m:rPr>
                <m:sty m:val="p"/>
              </m:rPr>
              <w:rPr>
                <w:sz w:val="22"/>
              </w:rPr>
              <m:t>−</m:t>
            </m:r>
            <m:r>
              <w:rPr>
                <w:sz w:val="22"/>
              </w:rPr>
              <m:t>1</m:t>
            </m:r>
            <m:r>
              <m:rPr>
                <m:sty m:val="p"/>
              </m:rPr>
              <w:rPr>
                <w:sz w:val="22"/>
              </w:rPr>
              <m:t>,</m:t>
            </m:r>
            <m:r>
              <m:rPr>
                <m:sty m:val="p"/>
              </m:rPr>
              <w:rPr>
                <w:sz w:val="22"/>
              </w:rPr>
              <m:t>+</m:t>
            </m:r>
            <m:r>
              <w:rPr>
                <w:sz w:val="22"/>
              </w:rPr>
              <m:t>1</m:t>
            </m:r>
          </m:e>
        </m:d>
      </m:oMath>
      <w:r>
        <w:t xml:space="preserve">, returns no coefficient that clears even the 10% nominal threshold. On the weekly measures, historical decoupling is nominally significant on DUVOL (</w:t>
      </w:r>
      <m:oMath>
        <m:r>
          <w:rPr>
            <w:sz w:val="22"/>
          </w:rPr>
          <m:t>β</m:t>
        </m:r>
        <m:r>
          <m:rPr>
            <m:sty m:val="p"/>
          </m:rPr>
          <w:rPr>
            <w:sz w:val="22"/>
          </w:rPr>
          <m:t>=</m:t>
        </m:r>
      </m:oMath>
      <w:r>
        <w:t xml:space="preserve"> </w:t>
      </w:r>
      <w:r>
        <w:t xml:space="preserve">-0.028,</w:t>
      </w:r>
      <w:r>
        <w:t xml:space="preserve"> </w:t>
      </w:r>
      <m:oMath>
        <m:r>
          <w:rPr>
            <w:sz w:val="22"/>
          </w:rPr>
          <m:t>p</m:t>
        </m:r>
      </m:oMath>
      <w:r>
        <w:t xml:space="preserve"> </w:t>
      </w:r>
      <w:r>
        <w:t xml:space="preserve">= 0.048) and marginal on NCSKEW (</w:t>
      </w:r>
      <m:oMath>
        <m:r>
          <w:rPr>
            <w:sz w:val="22"/>
          </w:rPr>
          <m:t>β</m:t>
        </m:r>
        <m:r>
          <m:rPr>
            <m:sty m:val="p"/>
          </m:rPr>
          <w:rPr>
            <w:sz w:val="22"/>
          </w:rPr>
          <m:t>=</m:t>
        </m:r>
      </m:oMath>
      <w:r>
        <w:t xml:space="preserve"> </w:t>
      </w:r>
      <w:r>
        <w:t xml:space="preserve">-0.023,</w:t>
      </w:r>
      <w:r>
        <w:t xml:space="preserve"> </w:t>
      </w:r>
      <m:oMath>
        <m:r>
          <w:rPr>
            <w:sz w:val="22"/>
          </w:rPr>
          <m:t>p</m:t>
        </m:r>
      </m:oMath>
      <w:r>
        <w:t xml:space="preserve"> </w:t>
      </w:r>
      <w:r>
        <w:t xml:space="preserve">= 0.094), both in the direction of less downside asymmetry, and neither survives the Benjamini-Hochberg correction over the grid. The analysis detects no association with announcement-window returns, and the evidence on the shape of the return distribution over the following 26 weeks is too weak to carry a claim. Two robustness checks confirm this for the weekly measures: excluding each sector in turn, and restricting to calls where the firm’s dominant posture had already changed by the call, leave every disclosure coefficient on NCSKEW and DUVOL statistically indistinguishable from zero.</w:t>
      </w:r>
    </w:p>
    <w:p>
      <w:pPr>
        <w:pStyle w:val="Textoindependiente"/>
      </w:pPr>
      <w:r>
        <w:rPr>
          <w:b/>
          <w:bCs/>
        </w:rPr>
        <w:t xml:space="preserve">The accounting outcomes carry the least of the disclosure signal.</w:t>
      </w:r>
      <w:r>
        <w:t xml:space="preserve"> </w:t>
      </w:r>
      <w:r>
        <w:t xml:space="preserve">Gross margin expansion and the change in the ROIC-WACC spread show no association with any of the six disclosure variables, nominal or corrected. Revenue growth’s one surviving coefficient is the Governance composition effect above; cumulative disclosure intensity is nominally significant on it (</w:t>
      </w:r>
      <m:oMath>
        <m:r>
          <w:rPr>
            <w:sz w:val="22"/>
          </w:rPr>
          <m:t>β</m:t>
        </m:r>
        <m:r>
          <m:rPr>
            <m:sty m:val="p"/>
          </m:rPr>
          <w:rPr>
            <w:sz w:val="22"/>
          </w:rPr>
          <m:t>=</m:t>
        </m:r>
      </m:oMath>
      <w:r>
        <w:t xml:space="preserve"> </w:t>
      </w:r>
      <w:r>
        <w:t xml:space="preserve">+0.123,</w:t>
      </w:r>
      <w:r>
        <w:t xml:space="preserve"> </w:t>
      </w:r>
      <m:oMath>
        <m:r>
          <w:rPr>
            <w:sz w:val="22"/>
          </w:rPr>
          <m:t>p</m:t>
        </m:r>
      </m:oMath>
      <w:r>
        <w:t xml:space="preserve"> </w:t>
      </w:r>
      <w:r>
        <w:t xml:space="preserve">= 0.028) but does not survive the correction.</w:t>
      </w:r>
    </w:p>
    <w:p>
      <w:pPr>
        <w:pStyle w:val="Textoindependiente"/>
      </w:pPr>
      <w:r>
        <w:rPr>
          <w:b/>
          <w:bCs/>
        </w:rPr>
        <w:t xml:space="preserve">The analysis stops at association.</w:t>
      </w:r>
      <w:r>
        <w:t xml:space="preserve"> </w:t>
      </w:r>
      <w:r>
        <w:t xml:space="preserve">These estimates capture cross-sectional differences across 9,350 calls (484 firms) rather than causal policy interventions: modifying disclosure language does not mechanically alter capital costs or tail-risk exposure. The lowest joint-composition</w:t>
      </w:r>
      <w:r>
        <w:t xml:space="preserve"> </w:t>
      </w:r>
      <m:oMath>
        <m:r>
          <w:rPr>
            <w:sz w:val="22"/>
          </w:rPr>
          <m:t>p</m:t>
        </m:r>
      </m:oMath>
      <w:r>
        <w:t xml:space="preserve">-value across outcomes (0.001) still describes an association, not an effect estimate. The disclosure coefficients under the post-call beta</w:t>
      </w:r>
      <w:r>
        <w:t xml:space="preserve"> </w:t>
      </w:r>
      <w:r>
        <w:rPr>
          <w:i/>
          <w:iCs/>
        </w:rPr>
        <w:t xml:space="preserve">level</w:t>
      </w:r>
      <w:r>
        <w:t xml:space="preserve"> </w:t>
      </w:r>
      <w:r>
        <w:t xml:space="preserve">specification, alongside the beta</w:t>
      </w:r>
      <w:r>
        <w:t xml:space="preserve"> </w:t>
      </w:r>
      <w:r>
        <w:rPr>
          <w:i/>
          <w:iCs/>
        </w:rPr>
        <w:t xml:space="preserve">shift</w:t>
      </w:r>
      <w:r>
        <w:t xml:space="preserve"> </w:t>
      </w:r>
      <w:r>
        <w:t xml:space="preserve">used here, are reported as a robustness check against alternative windows and market-model specifications in</w:t>
      </w:r>
      <w:r>
        <w:t xml:space="preserve"> </w:t>
      </w:r>
      <w:hyperlink w:anchor="appendix-c4">
        <w:r>
          <w:rPr>
            <w:rStyle w:val="Hipervnculo"/>
          </w:rPr>
          <w:t xml:space="preserve">Appendix C.4</w:t>
        </w:r>
      </w:hyperlink>
      <w:r>
        <w:t xml:space="preserve"> </w:t>
      </w:r>
      <w:r>
        <w:t xml:space="preserve">(</w:t>
      </w:r>
      <w:hyperlink w:anchor="tbl-call-beta-paper">
        <w:r>
          <w:rPr>
            <w:rStyle w:val="Hipervnculo"/>
          </w:rPr>
          <w:t xml:space="preserve">Table 45</w:t>
        </w:r>
      </w:hyperlink>
      <w:r>
        <w:t xml:space="preserve">).</w:t>
      </w:r>
    </w:p>
    <w:bookmarkEnd w:id="78"/>
    <w:bookmarkEnd w:id="79"/>
    <w:bookmarkStart w:id="80" w:name="Xfb8683f9736baf17049e0c188b4f2f8724dfd7e"/>
    <w:p>
      <w:pPr>
        <w:pStyle w:val="Ttulo1"/>
      </w:pPr>
      <w:r>
        <w:rPr>
          <w:caps/>
          <w:smallCaps w:val="0"/>
        </w:rPr>
        <w:t xml:space="preserve">6. From Disclosure Evidence to Strategic Decisions</w:t>
      </w:r>
    </w:p>
    <w:p>
      <w:pPr>
        <w:pStyle w:val="FirstParagraph"/>
      </w:pPr>
      <w:r>
        <w:t xml:space="preserve">Six constructs measured what a firm says about AI and what it can show for it. What follows turns them into a procedure for reading one firm at a time: what to check first, what would settle the question, and who is accountable for the answer.</w:t>
      </w:r>
    </w:p>
    <w:bookmarkStart w:id="81" w:name="Xa581ec64700df892ff34e8c16c65a59a8bbeb97"/>
    <w:p>
      <w:pPr>
        <w:pStyle w:val="Ttulo2"/>
      </w:pPr>
      <w:r>
        <w:t xml:space="preserve">6.1 Developing the AI disclosure credibility framework</w:t>
      </w:r>
    </w:p>
    <w:p>
      <w:pPr>
        <w:pStyle w:val="FirstParagraph"/>
      </w:pPr>
      <w:r>
        <w:t xml:space="preserve">The six constructs were built to be read together, and read together they answer a diagnostic question: where does what a firm says stop matching what it can show? None of this settles whether a claim is true. It orders where to look first, which is the scarce decision in both disclosure review and due diligence.</w:t>
      </w:r>
    </w:p>
    <w:bookmarkStart w:id="82" w:name="from-findings-to-design"/>
    <w:p>
      <w:pPr>
        <w:pStyle w:val="Ttulo3"/>
      </w:pPr>
      <w:r>
        <w:t xml:space="preserve">6.1.1 From findings to design</w:t>
      </w:r>
    </w:p>
    <w:p>
      <w:pPr>
        <w:pStyle w:val="FirstParagraph"/>
      </w:pPr>
      <w:r>
        <w:t xml:space="preserve">Each design choice answers something the evidence showed (</w:t>
      </w:r>
      <w:hyperlink w:anchor="tbl-framework-design">
        <w:r>
          <w:rPr>
            <w:rStyle w:val="Hipervnculo"/>
          </w:rPr>
          <w:t xml:space="preserve">Table 15</w:t>
        </w:r>
      </w:hyperlink>
      <w:r>
        <w:t xml:space="preserve">). The findings motivate the choices; the effectiveness of the assembled procedure has still to be evaluated. The market and operating results play a different role here. They show that some of the distinctions the diagnosis draws are also economically informative: a firm’s accumulated distance between narrative and substance, and the posture it writes in, show up later in its systematic risk, its abnormal returns and its revenue growth. Had those outcomes all been null, the cross-venue divergence and the documentary gaps would still leave the reading worth doing for governance and due diligence. That is a reason to read disclosure closely, not a step in the procedure, which ends at the verification and leaves the valuation or the budget to the analysis that follows it.</w:t>
      </w:r>
    </w:p>
    <w:bookmarkStart w:id="83" w:name="tbl-framework-design"/>
    <w:p>
      <w:pPr>
        <w:keepNext/>
        <w:pStyle w:val="ImageCaption"/>
        <w:jc w:val="left"/>
        <w:spacing w:before="200"/>
        <w:ind w:firstLine="0" w:left="0" w:right="0"/>
      </w:pPr>
      <w:r>
        <w:t xml:space="preserve">Table 15: Empirical findings and the design choice each one motivates.</w:t>
      </w:r>
    </w:p>
    <w:tbl>
      <w:tblPr>
        <w:tblStyle w:val="Table"/>
        <w:tblW w:type="pct" w:w="5000"/>
        <w:jc w:val="center"/>
        <w:tblLayout w:type="fixed"/>
        <w:tblLook w:firstRow="1" w:lastRow="0" w:firstColumn="0" w:lastColumn="0" w:noHBand="0" w:noVBand="0" w:val="0020"/>
        <w:tblBorders>
          <w:top w:val="single" w:sz="8" w:space="0" w:color="0F172A"/>
          <w:bottom w:val="single" w:sz="8" w:space="0" w:color="0F172A"/>
          <w:left w:val="none"/>
          <w:right w:val="none"/>
          <w:insideH w:val="single" w:sz="4" w:space="0" w:color="E2E8F0"/>
          <w:insideV w:val="none"/>
        </w:tblBorders>
        <w:tblCellMar>
          <w:top w:w="26" w:type="dxa"/>
          <w:bottom w:w="26" w:type="dxa"/>
          <w:left w:w="48" w:type="dxa"/>
          <w:right w:w="48" w:type="dxa"/>
        </w:tblCellMar>
      </w:tblPr>
      <w:tblGrid>
        <w:gridCol w:w="3960"/>
        <w:gridCol w:w="3960"/>
      </w:tblGrid>
      <w:tr>
        <w:trPr>
          <w:tblHeader w:val="on"/>
          <w:cantSplit/>
          <w:tblHeader/>
        </w:trPr>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6"/>
              </w:rPr>
              <w:t xml:space="preserve">What the evidence shows</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6"/>
              </w:rPr>
              <w:t xml:space="preserve">What the framework does with it</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Postures separate communication patterns without certifying substance.</w:t>
            </w:r>
          </w:p>
        </w:tc>
        <w:tc>
          <w:tcPr/>
          <w:p>
            <w:pPr>
              <w:pStyle w:val="Compact"/>
              <w:keepNext/>
              <w:spacing w:before="8" w:after="8" w:line="240" w:lineRule="auto"/>
              <w:ind w:firstLine="0" w:left="0" w:right="0"/>
              <w:jc w:val="left"/>
              <w:jc w:val="center"/>
            </w:pPr>
            <w:r>
              <w:rPr>
                <w:rFonts w:ascii="Calibri" w:hAnsi="Calibri"/>
                <w:sz w:val="16"/>
              </w:rPr>
              <w:t xml:space="preserve">Use posture to set context and to choose the peer set, whether a firm is reading itself or reading another.</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Activity volume and documentary grounding can diverge.</w:t>
            </w:r>
          </w:p>
        </w:tc>
        <w:tc>
          <w:tcPr/>
          <w:p>
            <w:pPr>
              <w:pStyle w:val="Compact"/>
              <w:keepNext/>
              <w:spacing w:before="8" w:after="8" w:line="240" w:lineRule="auto"/>
              <w:ind w:firstLine="0" w:left="0" w:right="0"/>
              <w:jc w:val="left"/>
              <w:jc w:val="center"/>
            </w:pPr>
            <w:r>
              <w:rPr>
                <w:rFonts w:ascii="Calibri" w:hAnsi="Calibri"/>
                <w:sz w:val="16"/>
              </w:rPr>
              <w:t xml:space="preserve">Read reported activities and their grounding separately, then against narrative volume.</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Channels differ in emphasis and in detail.</w:t>
            </w:r>
          </w:p>
        </w:tc>
        <w:tc>
          <w:tcPr/>
          <w:p>
            <w:pPr>
              <w:pStyle w:val="Compact"/>
              <w:keepNext/>
              <w:spacing w:before="8" w:after="8" w:line="240" w:lineRule="auto"/>
              <w:ind w:firstLine="0" w:left="0" w:right="0"/>
              <w:jc w:val="left"/>
              <w:jc w:val="center"/>
            </w:pPr>
            <w:r>
              <w:rPr>
                <w:rFonts w:ascii="Calibri" w:hAnsi="Calibri"/>
                <w:sz w:val="16"/>
              </w:rPr>
              <w:t xml:space="preserve">Compare the scope and the support of operational claims across channels.</w:t>
            </w:r>
          </w:p>
        </w:tc>
      </w:tr>
      <w:tr>
        <w:trPr>
          <w:cantSplit/>
        </w:trPr>
        <w:tc>
          <w:tcPr/>
          <w:p>
            <w:pPr>
              <w:pStyle w:val="Compact"/>
              <w:spacing w:before="8" w:after="8" w:line="240" w:lineRule="auto"/>
              <w:ind w:firstLine="0" w:left="0" w:right="0"/>
              <w:jc w:val="left"/>
              <w:jc w:val="center"/>
            </w:pPr>
            <w:r>
              <w:rPr>
                <w:rFonts w:ascii="Calibri" w:hAnsi="Calibri"/>
                <w:sz w:val="16"/>
              </w:rPr>
              <w:t xml:space="preserve">A disclosure gap has several possible explanations.</w:t>
            </w:r>
          </w:p>
        </w:tc>
        <w:tc>
          <w:tcPr/>
          <w:p>
            <w:pPr>
              <w:pStyle w:val="Compact"/>
              <w:spacing w:before="8" w:after="8" w:line="240" w:lineRule="auto"/>
              <w:ind w:firstLine="0" w:left="0" w:right="0"/>
              <w:jc w:val="left"/>
              <w:jc w:val="center"/>
            </w:pPr>
            <w:r>
              <w:rPr>
                <w:rFonts w:ascii="Calibri" w:hAnsi="Calibri"/>
                <w:sz w:val="16"/>
              </w:rPr>
              <w:t xml:space="preserve">Verify the material claims before choosing a response.</w:t>
            </w:r>
          </w:p>
        </w:tc>
      </w:tr>
    </w:tbl>
    <w:bookmarkEnd w:id="80"/>
    <w:p/>
    <w:bookmarkEnd w:id="81"/>
    <w:bookmarkStart w:id="84" w:name="framework-stages-and-outputs"/>
    <w:p>
      <w:pPr>
        <w:pStyle w:val="Ttulo3"/>
      </w:pPr>
      <w:r>
        <w:t xml:space="preserve">6.1.2 Framework stages and outputs</w:t>
      </w:r>
    </w:p>
    <w:p>
      <w:pPr>
        <w:pStyle w:val="FirstParagraph"/>
      </w:pPr>
      <w:r>
        <w:t xml:space="preserve">A review runs in four stages, and runs the same way whether the reader sits inside the firm or outside it.</w:t>
      </w:r>
      <w:r>
        <w:t xml:space="preserve"> </w:t>
      </w:r>
      <w:r>
        <w:rPr>
          <w:b/>
          <w:bCs/>
        </w:rPr>
        <w:t xml:space="preserve">Define:</w:t>
      </w:r>
      <w:r>
        <w:t xml:space="preserve"> </w:t>
      </w:r>
      <w:r>
        <w:t xml:space="preserve">fix the firm, the reporting period, the channels to be read and the decision at stake, which may be a filing about to be signed, a claim about to be published, a position about to be taken or a supplier about to be chosen.</w:t>
      </w:r>
      <w:r>
        <w:t xml:space="preserve"> </w:t>
      </w:r>
      <w:r>
        <w:rPr>
          <w:b/>
          <w:bCs/>
        </w:rPr>
        <w:t xml:space="preserve">Diagnose:</w:t>
      </w:r>
      <w:r>
        <w:t xml:space="preserve"> </w:t>
      </w:r>
      <w:r>
        <w:t xml:space="preserve">establish posture, the alignment between narrative and substance, and the consistency of claims across channels.</w:t>
      </w:r>
      <w:r>
        <w:t xml:space="preserve"> </w:t>
      </w:r>
      <w:r>
        <w:rPr>
          <w:b/>
          <w:bCs/>
        </w:rPr>
        <w:t xml:space="preserve">Prioritize and verify:</w:t>
      </w:r>
      <w:r>
        <w:t xml:space="preserve"> </w:t>
      </w:r>
      <w:r>
        <w:t xml:space="preserve">rank the material claims, name the support each one lacks and the evidence that would settle it.</w:t>
      </w:r>
      <w:r>
        <w:t xml:space="preserve"> </w:t>
      </w:r>
      <w:r>
        <w:rPr>
          <w:b/>
          <w:bCs/>
        </w:rPr>
        <w:t xml:space="preserve">Act and monitor:</w:t>
      </w:r>
      <w:r>
        <w:t xml:space="preserve"> </w:t>
      </w:r>
      <w:r>
        <w:t xml:space="preserve">record the finding, assign a response and an owner, and set the date of the next review.</w:t>
      </w:r>
    </w:p>
    <w:p>
      <w:pPr>
        <w:pStyle w:val="Textoindependiente"/>
      </w:pPr>
      <w:r>
        <w:t xml:space="preserve">The output is a claim register, one row per material claim with its diagnosis, the verification it needs and its owner: a function inside the firm when the review is the firm’s own, an analyst or a committee when it is external. Ownership and the reporting cycle around it are set out later in this chapter.</w:t>
      </w:r>
    </w:p>
    <w:bookmarkEnd w:id="82"/>
    <w:bookmarkStart w:id="85" w:name="diagnosis-in-three-steps"/>
    <w:p>
      <w:pPr>
        <w:pStyle w:val="Ttulo3"/>
      </w:pPr>
      <w:r>
        <w:t xml:space="preserve">6.1.3 Diagnosis in three steps</w:t>
      </w:r>
    </w:p>
    <w:p>
      <w:pPr>
        <w:pStyle w:val="FirstParagraph"/>
      </w:pPr>
      <w:r>
        <w:t xml:space="preserve">The diagnosis itself asks three questions in order.</w:t>
      </w:r>
      <w:r>
        <w:t xml:space="preserve"> </w:t>
      </w:r>
      <w:r>
        <w:rPr>
          <w:b/>
          <w:bCs/>
        </w:rPr>
        <w:t xml:space="preserve">Step 1, Posture:</w:t>
      </w:r>
      <w:r>
        <w:t xml:space="preserve"> </w:t>
      </w:r>
      <w:r>
        <w:t xml:space="preserve">which communication archetype does the firm’s register resemble?</w:t>
      </w:r>
      <w:r>
        <w:t xml:space="preserve"> </w:t>
      </w:r>
      <w:r>
        <w:rPr>
          <w:b/>
          <w:bCs/>
        </w:rPr>
        <w:t xml:space="preserve">Step 2, Documentary grounding:</w:t>
      </w:r>
      <w:r>
        <w:t xml:space="preserve"> </w:t>
      </w:r>
      <w:r>
        <w:t xml:space="preserve">does that posture correspond to grounded operational substance, or only to narrative volume?</w:t>
      </w:r>
      <w:r>
        <w:t xml:space="preserve"> </w:t>
      </w:r>
      <w:r>
        <w:rPr>
          <w:b/>
          <w:bCs/>
        </w:rPr>
        <w:t xml:space="preserve">Step 3, Venue:</w:t>
      </w:r>
      <w:r>
        <w:t xml:space="preserve"> </w:t>
      </w:r>
      <w:r>
        <w:t xml:space="preserve">are the operational claims consistent between the voluntary earnings call and the statutory Form 10-K?</w:t>
      </w:r>
    </w:p>
    <w:bookmarkEnd w:id="83"/>
    <w:bookmarkStart w:id="86" w:name="application-screening-the-sp-500"/>
    <w:p>
      <w:pPr>
        <w:pStyle w:val="Ttulo3"/>
      </w:pPr>
      <w:r>
        <w:t xml:space="preserve">6.1.4 Application: screening the S&amp;P 500</w:t>
      </w:r>
    </w:p>
    <w:p>
      <w:pPr>
        <w:pStyle w:val="FirstParagraph"/>
      </w:pPr>
      <w:r>
        <w:rPr>
          <w:b/>
          <w:bCs/>
        </w:rPr>
        <w:t xml:space="preserve">The disclosure intensity and substance heuristic.</w:t>
      </w:r>
    </w:p>
    <w:p>
      <w:pPr>
        <w:pStyle w:val="Textoindependiente"/>
      </w:pPr>
      <w:r>
        <w:t xml:space="preserve">Once the posture is known from Step 1, Step 2 asks whether documented substance stands behind it. The tool is a 2×2 heuristic built on Disclosure Intensity (</w:t>
      </w:r>
      <m:oMath>
        <m:r>
          <w:rPr>
            <w:sz w:val="22"/>
          </w:rPr>
          <m:t>D</m:t>
        </m:r>
      </m:oMath>
      <w:r>
        <w:t xml:space="preserve">) and Disclosed Substance (</w:t>
      </w:r>
      <m:oMath>
        <m:r>
          <w:rPr>
            <w:sz w:val="22"/>
          </w:rPr>
          <m:t>S</m:t>
        </m:r>
      </m:oMath>
      <w:r>
        <w:t xml:space="preserve">) (</w:t>
      </w:r>
      <w:hyperlink w:anchor="tbl-screening-matrix">
        <w:r>
          <w:rPr>
            <w:rStyle w:val="Hipervnculo"/>
          </w:rPr>
          <w:t xml:space="preserve">Table 16</w:t>
        </w:r>
      </w:hyperlink>
      <w:r>
        <w:t xml:space="preserve">).</w:t>
      </w:r>
      <w:r>
        <w:t xml:space="preserve"> </w:t>
      </w:r>
      <m:oMath>
        <m:r>
          <w:rPr>
            <w:sz w:val="22"/>
          </w:rPr>
          <m:t>D</m:t>
        </m:r>
      </m:oMath>
      <w:r>
        <w:t xml:space="preserve"> </w:t>
      </w:r>
      <w:r>
        <w:t xml:space="preserve">and</w:t>
      </w:r>
      <w:r>
        <w:t xml:space="preserve"> </w:t>
      </w:r>
      <m:oMath>
        <m:r>
          <w:rPr>
            <w:sz w:val="22"/>
          </w:rPr>
          <m:t>S</m:t>
        </m:r>
      </m:oMath>
      <w:r>
        <w:t xml:space="preserve"> </w:t>
      </w:r>
      <w:r>
        <w:t xml:space="preserve">fix the quadrant, and</w:t>
      </w:r>
      <w:r>
        <w:t xml:space="preserve"> </w:t>
      </w:r>
      <m:oMath>
        <m:r>
          <w:rPr>
            <w:sz w:val="22"/>
          </w:rPr>
          <m:t>W</m:t>
        </m:r>
      </m:oMath>
      <w:r>
        <w:t xml:space="preserve"> </w:t>
      </w:r>
      <w:r>
        <w:t xml:space="preserve">only orders priority inside it;</w:t>
      </w:r>
      <w:r>
        <w:t xml:space="preserve"> </w:t>
      </w:r>
      <m:oMath>
        <m:r>
          <w:rPr>
            <w:sz w:val="22"/>
          </w:rPr>
          <m:t>W</m:t>
        </m:r>
      </m:oMath>
      <w:r>
        <w:t xml:space="preserve"> </w:t>
      </w:r>
      <w:r>
        <w:t xml:space="preserve">is not a fraud classifier. The matrix is a first screen on public disclosure and does not replace technical due diligence</w:t>
      </w:r>
      <w:r>
        <w:t xml:space="preserve"> </w:t>
      </w:r>
      <w:r>
        <w:t xml:space="preserve">(</w:t>
      </w:r>
      <w:hyperlink w:anchor="ref-simonian2025">
        <w:r>
          <w:rPr>
            <w:rStyle w:val="Hipervnculo"/>
          </w:rPr>
          <w:t xml:space="preserve">Simonian 2025</w:t>
        </w:r>
      </w:hyperlink>
      <w:r>
        <w:t xml:space="preserve">)</w:t>
      </w:r>
      <w:r>
        <w:t xml:space="preserve">. Placing a firm in a quadrant needs</w:t>
      </w:r>
      <w:r>
        <w:t xml:space="preserve"> </w:t>
      </w:r>
      <m:oMath>
        <m:r>
          <w:rPr>
            <w:sz w:val="22"/>
          </w:rPr>
          <m:t>D</m:t>
        </m:r>
      </m:oMath>
      <w:r>
        <w:t xml:space="preserve"> </w:t>
      </w:r>
      <w:r>
        <w:t xml:space="preserve">and</w:t>
      </w:r>
      <w:r>
        <w:t xml:space="preserve"> </w:t>
      </w:r>
      <m:oMath>
        <m:r>
          <w:rPr>
            <w:sz w:val="22"/>
          </w:rPr>
          <m:t>S</m:t>
        </m:r>
      </m:oMath>
      <w:r>
        <w:t xml:space="preserve"> </w:t>
      </w:r>
      <w:r>
        <w:t xml:space="preserve">for a comparison group, which the published extraction pipeline produces for any corpus it is pointed at, including a firm’s own filings, its calls, its competitors’ documents or the internal reporting an issuer already holds, at whatever level of automation its processes support. A reader without that machinery keeps the logic and loses the ranking: read a handful of sector peers and count, claim by claim, how many name a product, a provider and a measured outcome. The median split fills every one of the four cells by construction, so the screen allocates attention across the index; it does not measure how much washing exists.</w:t>
      </w:r>
    </w:p>
    <w:bookmarkStart w:id="87" w:name="tbl-screening-matrix"/>
    <w:p>
      <w:pPr>
        <w:keepNext/>
        <w:pStyle w:val="ImageCaption"/>
        <w:jc w:val="left"/>
        <w:spacing w:before="200"/>
        <w:ind w:firstLine="0" w:left="0" w:right="0"/>
      </w:pPr>
      <w:r>
        <w:t xml:space="preserve">Table 16: AI Disclosure Decision Heuristic: portfolio screening by disclosure intensity (</w:t>
      </w:r>
      <m:oMath>
        <m:r>
          <w:rPr>
            <w:sz w:val="22"/>
          </w:rPr>
          <m:t>D</m:t>
        </m:r>
      </m:oMath>
      <w:r>
        <w:t xml:space="preserve">) and substance (</w:t>
      </w:r>
      <m:oMath>
        <m:r>
          <w:rPr>
            <w:sz w:val="22"/>
          </w:rPr>
          <m:t>S</m:t>
        </m:r>
      </m:oMath>
      <w:r>
        <w:t xml:space="preserve">) across the S&amp;P 500 in the 2026 reporting season All four cells are shares of the same 465 index firms, so they add to the whole index; Deprioritize also absorbs the 21 firms that disclose no AI at all. The median cut-offs that place a firm in a cell are taken among the 444 disclosing issuers, which is a property of the cut and not of the base these shares are read against. The Reconcile screen further down has its own base, the issuers with both a call and a filing that year.</w:t>
      </w:r>
      <w:r>
        <w:t xml:space="preserve"> </w:t>
      </w:r>
      <m:oMath>
        <m:r>
          <w:rPr>
            <w:sz w:val="22"/>
          </w:rPr>
          <m:t>D</m:t>
        </m:r>
      </m:oMath>
      <w:r>
        <w:t xml:space="preserve"> </w:t>
      </w:r>
      <w:r>
        <w:t xml:space="preserve">and</w:t>
      </w:r>
      <w:r>
        <w:t xml:space="preserve"> </w:t>
      </w:r>
      <m:oMath>
        <m:r>
          <w:rPr>
            <w:sz w:val="22"/>
          </w:rPr>
          <m:t>S</m:t>
        </m:r>
      </m:oMath>
      <w:r>
        <w:t xml:space="preserve"> </w:t>
      </w:r>
      <w:r>
        <w:t xml:space="preserve">set the quadrant;</w:t>
      </w:r>
      <w:r>
        <w:t xml:space="preserve"> </w:t>
      </w:r>
      <m:oMath>
        <m:r>
          <w:rPr>
            <w:sz w:val="22"/>
          </w:rPr>
          <m:t>W</m:t>
        </m:r>
        <m:r>
          <m:rPr>
            <m:sty m:val="p"/>
          </m:rPr>
          <w:rPr>
            <w:sz w:val="22"/>
          </w:rPr>
          <m:t>=</m:t>
        </m:r>
        <m:r>
          <m:rPr>
            <m:nor/>
            <m:sty m:val="p"/>
          </m:rPr>
          <w:rPr>
            <w:sz w:val="22"/>
          </w:rPr>
          <m:t>rank</m:t>
        </m:r>
        <m:d>
          <m:dPr>
            <m:begChr m:val="("/>
            <m:sepChr m:val=""/>
            <m:endChr m:val=")"/>
            <m:grow/>
          </m:dPr>
          <m:e>
            <m:r>
              <w:rPr>
                <w:sz w:val="22"/>
              </w:rPr>
              <m:t>D</m:t>
            </m:r>
          </m:e>
        </m:d>
        <m:r>
          <m:rPr>
            <m:sty m:val="p"/>
          </m:rPr>
          <w:rPr>
            <w:sz w:val="22"/>
          </w:rPr>
          <m:t>−</m:t>
        </m:r>
        <m:r>
          <m:rPr>
            <m:nor/>
            <m:sty m:val="p"/>
          </m:rPr>
          <w:rPr>
            <w:sz w:val="22"/>
          </w:rPr>
          <m:t>rank</m:t>
        </m:r>
        <m:d>
          <m:dPr>
            <m:begChr m:val="("/>
            <m:sepChr m:val=""/>
            <m:endChr m:val=")"/>
            <m:grow/>
          </m:dPr>
          <m:e>
            <m:r>
              <w:rPr>
                <w:sz w:val="22"/>
              </w:rPr>
              <m:t>S</m:t>
            </m:r>
          </m:e>
        </m:d>
      </m:oMath>
      <w:r>
        <w:t xml:space="preserve"> </w:t>
      </w:r>
      <w:r>
        <w:t xml:space="preserve">only ranks priority within it.</w:t>
      </w:r>
    </w:p>
    <w:tbl>
      <w:tblPr>
        <w:tblStyle w:val="Table"/>
        <w:tblW w:type="pct" w:w="5000"/>
        <w:jc w:val="center"/>
        <w:tblLayout w:type="fixed"/>
        <w:tblLook w:firstRow="1" w:lastRow="0" w:firstColumn="0" w:lastColumn="0" w:noHBand="0" w:noVBand="0" w:val="0020"/>
        <w:tblBorders>
          <w:top w:val="single" w:sz="8" w:space="0" w:color="0F172A"/>
          <w:bottom w:val="single" w:sz="8" w:space="0" w:color="0F172A"/>
          <w:left w:val="none"/>
          <w:right w:val="none"/>
          <w:insideH w:val="single" w:sz="4" w:space="0" w:color="E2E8F0"/>
          <w:insideV w:val="none"/>
        </w:tblBorders>
        <w:tblCellMar>
          <w:top w:w="26" w:type="dxa"/>
          <w:bottom w:w="26" w:type="dxa"/>
          <w:left w:w="48" w:type="dxa"/>
          <w:right w:w="48" w:type="dxa"/>
        </w:tblCellMar>
      </w:tblPr>
      <w:tblGrid>
        <w:gridCol w:w="2640"/>
        <w:gridCol w:w="2640"/>
        <w:gridCol w:w="2640"/>
      </w:tblGrid>
      <w:tr>
        <w:trPr>
          <w:tblHeader w:val="on"/>
          <w:cantSplit/>
          <w:tblHeader/>
        </w:trPr>
        <w:tc>
          <w:tcPr>
            <w:shd w:fill="F1F5F9"/>
            <w:tcBorders>
              <w:bottom w:val="single" w:sz="8" w:space="0" w:color="475569"/>
            </w:tcBorders>
          </w:tcPr>
          <w:p>
            <w:pPr>
              <w:pStyle w:val="Compact"/>
              <w:keepNext/>
              <w:spacing w:before="8" w:after="8" w:line="240" w:lineRule="auto"/>
              <w:ind w:firstLine="0" w:left="0" w:right="0"/>
              <w:jc w:val="left"/>
            </w:pPr>
          </w:p>
        </w:tc>
        <w:tc>
          <w:tcPr>
            <w:shd w:fill="F1F5F9"/>
            <w:tcBorders>
              <w:bottom w:val="single" w:sz="8" w:space="0" w:color="475569"/>
            </w:tcBorders>
          </w:tcPr>
          <w:p>
            <w:pPr>
              <w:pStyle w:val="Compact"/>
              <w:keepNext/>
              <w:spacing w:before="8" w:after="8" w:line="240" w:lineRule="auto"/>
              <w:ind w:firstLine="0" w:left="0" w:right="0"/>
              <w:jc w:val="left"/>
            </w:pPr>
            <w:r>
              <w:rPr>
                <w:rFonts w:ascii="Calibri" w:hAnsi="Calibri"/>
                <w:b/>
                <w:color w:val="0F172A"/>
                <w:sz w:val="16"/>
              </w:rPr>
              <w:t xml:space="preserve">Low Disclosed Substance (</w:t>
            </w:r>
            <m:oMath>
              <m:r>
                <w:rPr>
                  <w:sz w:val="16"/>
                </w:rPr>
                <m:t>S</m:t>
              </m:r>
            </m:oMath>
            <w:r>
              <w:rPr>
                <w:rFonts w:ascii="Calibri" w:hAnsi="Calibri"/>
                <w:b/>
                <w:color w:val="0F172A"/>
                <w:sz w:val="16"/>
              </w:rPr>
              <w:t xml:space="preserve">)</w:t>
            </w:r>
          </w:p>
        </w:tc>
        <w:tc>
          <w:tcPr>
            <w:shd w:fill="F1F5F9"/>
            <w:tcBorders>
              <w:bottom w:val="single" w:sz="8" w:space="0" w:color="475569"/>
            </w:tcBorders>
          </w:tcPr>
          <w:p>
            <w:pPr>
              <w:pStyle w:val="Compact"/>
              <w:keepNext/>
              <w:spacing w:before="8" w:after="8" w:line="240" w:lineRule="auto"/>
              <w:ind w:firstLine="0" w:left="0" w:right="0"/>
              <w:jc w:val="left"/>
            </w:pPr>
            <w:r>
              <w:rPr>
                <w:rFonts w:ascii="Calibri" w:hAnsi="Calibri"/>
                <w:b/>
                <w:color w:val="0F172A"/>
                <w:sz w:val="16"/>
              </w:rPr>
              <w:t xml:space="preserve">High Disclosed Substance (</w:t>
            </w:r>
            <m:oMath>
              <m:r>
                <w:rPr>
                  <w:sz w:val="16"/>
                </w:rPr>
                <m:t>S</m:t>
              </m:r>
            </m:oMath>
            <w:r>
              <w:rPr>
                <w:rFonts w:ascii="Calibri" w:hAnsi="Calibri"/>
                <w:b/>
                <w:color w:val="0F172A"/>
                <w:sz w:val="16"/>
              </w:rPr>
              <w:t xml:space="preserve">)</w:t>
            </w:r>
          </w:p>
        </w:tc>
      </w:tr>
      <w:tr>
        <w:trPr>
          <w:cantSplit/>
        </w:trPr>
        <w:tc>
          <w:tcPr/>
          <w:p>
            <w:pPr>
              <w:pStyle w:val="Compact"/>
              <w:keepNext/>
              <w:spacing w:before="8" w:after="8" w:line="240" w:lineRule="auto"/>
              <w:ind w:firstLine="0" w:left="0" w:right="0"/>
              <w:jc w:val="left"/>
            </w:pPr>
            <w:r>
              <w:rPr>
                <w:rFonts w:ascii="Calibri" w:hAnsi="Calibri"/>
                <w:b/>
                <w:bCs/>
                <w:sz w:val="16"/>
              </w:rPr>
              <w:t xml:space="preserve">High Disclosure Intensity (</w:t>
            </w:r>
            <m:oMath>
              <m:r>
                <w:rPr>
                  <w:sz w:val="16"/>
                </w:rPr>
                <m:t>D</m:t>
              </m:r>
            </m:oMath>
            <w:r>
              <w:rPr>
                <w:rFonts w:ascii="Calibri" w:hAnsi="Calibri"/>
                <w:b/>
                <w:bCs/>
                <w:sz w:val="16"/>
              </w:rPr>
              <w:t xml:space="preserve">)</w:t>
            </w:r>
          </w:p>
        </w:tc>
        <w:tc>
          <w:tcPr/>
          <w:p>
            <w:pPr>
              <w:pStyle w:val="Compact"/>
              <w:keepNext/>
              <w:spacing w:before="8" w:after="8" w:line="240" w:lineRule="auto"/>
              <w:ind w:firstLine="0" w:left="0" w:right="0"/>
              <w:jc w:val="left"/>
            </w:pPr>
            <w:r>
              <w:rPr>
                <w:rFonts w:ascii="Calibri" w:hAnsi="Calibri"/>
                <w:b/>
                <w:bCs/>
                <w:sz w:val="16"/>
              </w:rPr>
              <w:t xml:space="preserve">INVESTIGATE</w:t>
            </w:r>
            <w:r>
              <w:rPr>
                <w:rFonts w:ascii="Calibri" w:hAnsi="Calibri"/>
                <w:sz w:val="16"/>
              </w:rPr>
              <w:t xml:space="preserve"> </w:t>
            </w:r>
            <w:r>
              <w:rPr>
                <w:rFonts w:ascii="Calibri" w:hAnsi="Calibri"/>
                <w:sz w:val="16"/>
              </w:rPr>
              <w:t xml:space="preserve">(56 firms, 12.0%)</w:t>
            </w:r>
            <w:r>
              <w:rPr>
                <w:rFonts w:ascii="Calibri" w:hAnsi="Calibri"/>
                <w:sz w:val="16"/>
              </w:rPr>
              <w:t xml:space="preserve">Audit claims and verify whether oral conference-call claims are reflected in statutory Form 10-Ks; within this quadrant, prioritize by persistent decoupling, highest first (Step 3).</w:t>
            </w:r>
          </w:p>
        </w:tc>
        <w:tc>
          <w:tcPr/>
          <w:p>
            <w:pPr>
              <w:pStyle w:val="Compact"/>
              <w:keepNext/>
              <w:spacing w:before="8" w:after="8" w:line="240" w:lineRule="auto"/>
              <w:ind w:firstLine="0" w:left="0" w:right="0"/>
              <w:jc w:val="left"/>
            </w:pPr>
            <w:r>
              <w:rPr>
                <w:rFonts w:ascii="Calibri" w:hAnsi="Calibri"/>
                <w:b/>
                <w:bCs/>
                <w:sz w:val="16"/>
              </w:rPr>
              <w:t xml:space="preserve">VALIDATE</w:t>
            </w:r>
            <w:r>
              <w:rPr>
                <w:rFonts w:ascii="Calibri" w:hAnsi="Calibri"/>
                <w:sz w:val="16"/>
              </w:rPr>
              <w:t xml:space="preserve"> </w:t>
            </w:r>
            <w:r>
              <w:rPr>
                <w:rFonts w:ascii="Calibri" w:hAnsi="Calibri"/>
                <w:sz w:val="16"/>
              </w:rPr>
              <w:t xml:space="preserve">(166 firms, 35.7%)</w:t>
            </w:r>
            <w:r>
              <w:rPr>
                <w:rFonts w:ascii="Calibri" w:hAnsi="Calibri"/>
                <w:sz w:val="16"/>
              </w:rPr>
              <w:t xml:space="preserve">Confirm documented evidence remains cross-venue consistent and operational grounding is sustained.</w:t>
            </w:r>
          </w:p>
        </w:tc>
      </w:tr>
      <w:tr>
        <w:trPr>
          <w:cantSplit/>
        </w:trPr>
        <w:tc>
          <w:tcPr/>
          <w:p>
            <w:pPr>
              <w:pStyle w:val="Compact"/>
              <w:spacing w:before="8" w:after="8" w:line="240" w:lineRule="auto"/>
              <w:ind w:firstLine="0" w:left="0" w:right="0"/>
              <w:jc w:val="left"/>
            </w:pPr>
            <w:r>
              <w:rPr>
                <w:rFonts w:ascii="Calibri" w:hAnsi="Calibri"/>
                <w:b/>
                <w:bCs/>
                <w:sz w:val="16"/>
              </w:rPr>
              <w:t xml:space="preserve">Low Disclosure Intensity (</w:t>
            </w:r>
            <m:oMath>
              <m:r>
                <w:rPr>
                  <w:sz w:val="16"/>
                </w:rPr>
                <m:t>D</m:t>
              </m:r>
            </m:oMath>
            <w:r>
              <w:rPr>
                <w:rFonts w:ascii="Calibri" w:hAnsi="Calibri"/>
                <w:b/>
                <w:bCs/>
                <w:sz w:val="16"/>
              </w:rPr>
              <w:t xml:space="preserve">)</w:t>
            </w:r>
          </w:p>
        </w:tc>
        <w:tc>
          <w:tcPr/>
          <w:p>
            <w:pPr>
              <w:pStyle w:val="Compact"/>
              <w:spacing w:before="8" w:after="8" w:line="240" w:lineRule="auto"/>
              <w:ind w:firstLine="0" w:left="0" w:right="0"/>
              <w:jc w:val="left"/>
            </w:pPr>
            <w:r>
              <w:rPr>
                <w:rFonts w:ascii="Calibri" w:hAnsi="Calibri"/>
                <w:b/>
                <w:bCs/>
                <w:sz w:val="16"/>
              </w:rPr>
              <w:t xml:space="preserve">DEPRIORITIZE</w:t>
            </w:r>
            <w:r>
              <w:rPr>
                <w:rFonts w:ascii="Calibri" w:hAnsi="Calibri"/>
                <w:sz w:val="16"/>
              </w:rPr>
              <w:t xml:space="preserve"> </w:t>
            </w:r>
            <w:r>
              <w:rPr>
                <w:rFonts w:ascii="Calibri" w:hAnsi="Calibri"/>
                <w:sz w:val="16"/>
              </w:rPr>
              <w:t xml:space="preserve">(187 firms, 40.2% of index)</w:t>
            </w:r>
            <w:r>
              <w:rPr>
                <w:rFonts w:ascii="Calibri" w:hAnsi="Calibri"/>
                <w:sz w:val="16"/>
              </w:rPr>
              <w:t xml:space="preserve">Low narrative exposure with minimal reported activity; lowers priority for dedicated AI disclosure review (not general corporate diligence) unless posture shifts.</w:t>
            </w:r>
          </w:p>
        </w:tc>
        <w:tc>
          <w:tcPr/>
          <w:p>
            <w:pPr>
              <w:pStyle w:val="Compact"/>
              <w:spacing w:before="8" w:after="8" w:line="240" w:lineRule="auto"/>
              <w:ind w:firstLine="0" w:left="0" w:right="0"/>
              <w:jc w:val="left"/>
            </w:pPr>
            <w:r>
              <w:rPr>
                <w:rFonts w:ascii="Calibri" w:hAnsi="Calibri"/>
                <w:b/>
                <w:bCs/>
                <w:sz w:val="16"/>
              </w:rPr>
              <w:t xml:space="preserve">EXPLORE</w:t>
            </w:r>
            <w:r>
              <w:rPr>
                <w:rFonts w:ascii="Calibri" w:hAnsi="Calibri"/>
                <w:sz w:val="16"/>
              </w:rPr>
              <w:t xml:space="preserve"> </w:t>
            </w:r>
            <w:r>
              <w:rPr>
                <w:rFonts w:ascii="Calibri" w:hAnsi="Calibri"/>
                <w:sz w:val="16"/>
              </w:rPr>
              <w:t xml:space="preserve">(56 firms, 12.0%)</w:t>
            </w:r>
            <w:r>
              <w:rPr>
                <w:rFonts w:ascii="Calibri" w:hAnsi="Calibri"/>
                <w:sz w:val="16"/>
              </w:rPr>
              <w:t xml:space="preserve">Investigate quiet execution: concrete, grounded operational capability deployed under minimal promotional fanfare; within this quadrant, prioritize by persistent decoupling, lowest first.</w:t>
            </w:r>
          </w:p>
        </w:tc>
      </w:tr>
    </w:tbl>
    <w:bookmarkEnd w:id="84"/>
    <w:p/>
    <w:p>
      <w:pPr>
        <w:pStyle w:val="Textoindependiente"/>
      </w:pPr>
      <w:r>
        <w:rPr>
          <w:b/>
          <w:bCs/>
        </w:rPr>
        <w:t xml:space="preserve">Ordering the triage.</w:t>
      </w:r>
    </w:p>
    <w:p>
      <w:pPr>
        <w:pStyle w:val="Textoindependiente"/>
      </w:pPr>
      <m:oMath>
        <m:r>
          <w:rPr>
            <w:sz w:val="22"/>
          </w:rPr>
          <m:t>W</m:t>
        </m:r>
      </m:oMath>
      <w:r>
        <w:t xml:space="preserve"> </w:t>
      </w:r>
      <w:r>
        <w:t xml:space="preserve">is built from the same two ranks that fix the quadrant,</w:t>
      </w:r>
      <w:r>
        <w:t xml:space="preserve"> </w:t>
      </w:r>
      <m:oMath>
        <m:r>
          <m:rPr>
            <m:nor/>
            <m:sty m:val="p"/>
          </m:rPr>
          <w:rPr>
            <w:sz w:val="22"/>
          </w:rPr>
          <m:t>rank</m:t>
        </m:r>
        <m:d>
          <m:dPr>
            <m:begChr m:val="("/>
            <m:sepChr m:val=""/>
            <m:endChr m:val=")"/>
            <m:grow/>
          </m:dPr>
          <m:e>
            <m:r>
              <w:rPr>
                <w:sz w:val="22"/>
              </w:rPr>
              <m:t>D</m:t>
            </m:r>
          </m:e>
        </m:d>
      </m:oMath>
      <w:r>
        <w:t xml:space="preserve"> </w:t>
      </w:r>
      <w:r>
        <w:t xml:space="preserve">and</w:t>
      </w:r>
      <w:r>
        <w:t xml:space="preserve"> </w:t>
      </w:r>
      <m:oMath>
        <m:r>
          <m:rPr>
            <m:nor/>
            <m:sty m:val="p"/>
          </m:rPr>
          <w:rPr>
            <w:sz w:val="22"/>
          </w:rPr>
          <m:t>rank</m:t>
        </m:r>
        <m:d>
          <m:dPr>
            <m:begChr m:val="("/>
            <m:sepChr m:val=""/>
            <m:endChr m:val=")"/>
            <m:grow/>
          </m:dPr>
          <m:e>
            <m:r>
              <w:rPr>
                <w:sz w:val="22"/>
              </w:rPr>
              <m:t>S</m:t>
            </m:r>
          </m:e>
        </m:d>
      </m:oMath>
      <w:r>
        <w:t xml:space="preserve">, so it refines the cut rather than adding an independent signal; a firm’s 2026 value of</w:t>
      </w:r>
      <w:r>
        <w:t xml:space="preserve"> </w:t>
      </w:r>
      <m:oMath>
        <m:r>
          <w:rPr>
            <w:sz w:val="22"/>
          </w:rPr>
          <m:t>W</m:t>
        </m:r>
      </m:oMath>
      <w:r>
        <w:t xml:space="preserve"> </w:t>
      </w:r>
      <w:r>
        <w:t xml:space="preserve">still carries no association with what happens to it afterward, while the mean of</w:t>
      </w:r>
      <w:r>
        <w:t xml:space="preserve"> </w:t>
      </w:r>
      <m:oMath>
        <m:r>
          <w:rPr>
            <w:sz w:val="22"/>
          </w:rPr>
          <m:t>W</m:t>
        </m:r>
      </m:oMath>
      <w:r>
        <w:t xml:space="preserve"> </w:t>
      </w:r>
      <w:r>
        <w:t xml:space="preserve">over the cycles a ticker has disclosed through 2026 does (Market Relevance chapter). The triage inside each quadrant of</w:t>
      </w:r>
      <w:r>
        <w:t xml:space="preserve"> </w:t>
      </w:r>
      <w:hyperlink w:anchor="tbl-screening-matrix">
        <w:r>
          <w:rPr>
            <w:rStyle w:val="Hipervnculo"/>
          </w:rPr>
          <w:t xml:space="preserve">Table 16</w:t>
        </w:r>
      </w:hyperlink>
      <w:r>
        <w:t xml:space="preserve"> </w:t>
      </w:r>
      <w:r>
        <w:t xml:space="preserve">is therefore ordered on that expanding mean rather than on 2026 alone, together with a persistence flag for firms whose annual</w:t>
      </w:r>
      <w:r>
        <w:t xml:space="preserve"> </w:t>
      </w:r>
      <m:oMath>
        <m:r>
          <w:rPr>
            <w:sz w:val="22"/>
          </w:rPr>
          <m:t>W</m:t>
        </m:r>
      </m:oMath>
      <w:r>
        <w:t xml:space="preserve"> </w:t>
      </w:r>
      <w:r>
        <w:t xml:space="preserve">sits above the year’s median in at least two consecutive cycles: 82% of the 56 Investigate-quadrant firms carry that flag. In the Investigate quadrant, 14 FY2026 firm-years sit above the 95th percentile of this persistent measure among 2026 disclosers; for those firms the immediate task is to read the ungrounded claims that drive the narrative volume and to look for factual backing in technical documentation or product releases.</w:t>
      </w:r>
    </w:p>
    <w:p>
      <w:pPr>
        <w:pStyle w:val="Textoindependiente"/>
      </w:pPr>
      <w:r>
        <w:t xml:space="preserve">At the other end, 225 disclosers have a negative persistent</w:t>
      </w:r>
      <w:r>
        <w:t xml:space="preserve"> </w:t>
      </w:r>
      <m:oMath>
        <m:r>
          <w:rPr>
            <w:sz w:val="22"/>
          </w:rPr>
          <m:t>W</m:t>
        </m:r>
      </m:oMath>
      <w:r>
        <w:t xml:space="preserve">, with the substance rank staying above the volume rank across cycles rather than in one year alone. A negative</w:t>
      </w:r>
      <w:r>
        <w:t xml:space="preserve"> </w:t>
      </w:r>
      <m:oMath>
        <m:r>
          <w:rPr>
            <w:sz w:val="22"/>
          </w:rPr>
          <m:t>W</m:t>
        </m:r>
      </m:oMath>
      <w:r>
        <w:t xml:space="preserve"> </w:t>
      </w:r>
      <w:r>
        <w:t xml:space="preserve">is a ranking, not a cell: these firms sit across the matrix, and only those that are also above the median on</w:t>
      </w:r>
      <w:r>
        <w:t xml:space="preserve"> </w:t>
      </w:r>
      <m:oMath>
        <m:r>
          <w:rPr>
            <w:sz w:val="22"/>
          </w:rPr>
          <m:t>S</m:t>
        </m:r>
      </m:oMath>
      <w:r>
        <w:t xml:space="preserve"> </w:t>
      </w:r>
      <w:r>
        <w:t xml:space="preserve">and below it on</w:t>
      </w:r>
      <w:r>
        <w:t xml:space="preserve"> </w:t>
      </w:r>
      <m:oMath>
        <m:r>
          <w:rPr>
            <w:sz w:val="22"/>
          </w:rPr>
          <m:t>D</m:t>
        </m:r>
      </m:oMath>
      <w:r>
        <w:t xml:space="preserve"> </w:t>
      </w:r>
      <w:r>
        <w:t xml:space="preserve">fall in Explore. What the rank flags is activity that the firm documents more than it advertises, and the work is to catalogue it. Why it is not advertised the measure cannot say: competitive reasons, an editorial choice and simple omission all look the same from outside.</w:t>
      </w:r>
    </w:p>
    <w:p>
      <w:pPr>
        <w:pStyle w:val="Textoindependiente"/>
      </w:pPr>
      <w:r>
        <w:rPr>
          <w:b/>
          <w:bCs/>
        </w:rPr>
        <w:t xml:space="preserve">Step 3, Venue.</w:t>
      </w:r>
      <w:r>
        <w:t xml:space="preserve"> </w:t>
      </w:r>
      <w:r>
        <w:t xml:space="preserve">A cross-cutting screen, Reconcile, orders the cross-venue verification among the 447 issuers that have both a 2026 earnings call and a 2026 filing. Of these, 32 show an oral-minus-filing promotional gap more than 1.5 standard deviations above the 2026 mean (</w:t>
      </w:r>
      <m:oMath>
        <m:sSub>
          <m:e>
            <m:r>
              <w:rPr>
                <w:sz w:val="22"/>
              </w:rPr>
              <m:t>Z</m:t>
            </m:r>
          </m:e>
          <m:sub>
            <m:r>
              <m:rPr>
                <m:nor/>
                <m:sty m:val="p"/>
              </m:rPr>
              <w:rPr>
                <w:sz w:val="22"/>
              </w:rPr>
              <m:t>gap</m:t>
            </m:r>
          </m:sub>
        </m:sSub>
        <m:r>
          <m:rPr>
            <m:sty m:val="p"/>
          </m:rPr>
          <w:rPr>
            <w:sz w:val="22"/>
          </w:rPr>
          <m:t>&gt;</m:t>
        </m:r>
        <m:r>
          <w:rPr>
            <w:sz w:val="22"/>
          </w:rPr>
          <m:t>1.5</m:t>
        </m:r>
      </m:oMath>
      <w:r>
        <w:t xml:space="preserve">). Those are the claims to audit across channels first: the analyst checks whether differences in promotional emphasis coincide with differences in the scope or the documentary support of the operational claims once statutory liability applies. The 1.5 standard deviation cut is an operating convention rather than a calibrated threshold, and a larger promotional gap does not by itself mean weaker support, since a call carries both more promotion and more grounding than the matching filing.</w:t>
      </w:r>
    </w:p>
    <w:p>
      <w:pPr>
        <w:pStyle w:val="Textoindependiente"/>
      </w:pPr>
      <w:r>
        <w:rPr>
          <w:b/>
          <w:bCs/>
        </w:rPr>
        <w:t xml:space="preserve">Archetype composition within the quadrants.</w:t>
      </w:r>
    </w:p>
    <w:p>
      <w:pPr>
        <w:pStyle w:val="Textoindependiente"/>
      </w:pPr>
      <w:r>
        <w:t xml:space="preserve">Step 1 does not predict Step 2’s quadrant; it sets what the rest of the review does with the firm. It fixes the peer set: 84% of Vocal Substantives land in VALIDATE (</w:t>
      </w:r>
      <w:hyperlink w:anchor="tbl-archetype-quadrant">
        <w:r>
          <w:rPr>
            <w:rStyle w:val="Hipervnculo"/>
          </w:rPr>
          <w:t xml:space="preserve">Table 17</w:t>
        </w:r>
      </w:hyperlink>
      <w:r>
        <w:t xml:space="preserve">), so a Vocal Substantive is read against other Vocal Substantives, holding register and volume constant while</w:t>
      </w:r>
      <w:r>
        <w:t xml:space="preserve"> </w:t>
      </w:r>
      <m:oMath>
        <m:r>
          <w:rPr>
            <w:sz w:val="22"/>
          </w:rPr>
          <m:t>D</m:t>
        </m:r>
      </m:oMath>
      <w:r>
        <w:t xml:space="preserve"> </w:t>
      </w:r>
      <w:r>
        <w:t xml:space="preserve">and</w:t>
      </w:r>
      <w:r>
        <w:t xml:space="preserve"> </w:t>
      </w:r>
      <m:oMath>
        <m:r>
          <w:rPr>
            <w:sz w:val="22"/>
          </w:rPr>
          <m:t>S</m:t>
        </m:r>
      </m:oMath>
      <w:r>
        <w:t xml:space="preserve"> </w:t>
      </w:r>
      <w:r>
        <w:t xml:space="preserve">do the discriminating. It sets what the register is evidence of: at equal disclosure volume, Vocal Substantives report several times as many operational activities as Governance-Led or Defensive Disclosers, so a governance-led firm writing about oversight is not itself evidence of substance, and a vocal register is not itself evidence of exaggeration. And it sets which claims to sample first: Vocal Substantives concentrate their activity in customer-facing, named deployments, which is where Step 2 should start, while Governance-Led and Defensive registers concentrate in internal process and oversight claims that Step 2 has to seek out rather than expect at the top of the narrative.</w:t>
      </w:r>
    </w:p>
    <w:bookmarkStart w:id="88" w:name="tbl-archetype-quadrant"/>
    <w:p>
      <w:pPr>
        <w:keepNext/>
        <w:pStyle w:val="ImageCaption"/>
        <w:jc w:val="left"/>
        <w:spacing w:before="200"/>
        <w:ind w:firstLine="0" w:left="0" w:right="0"/>
      </w:pPr>
      <w:r>
        <w:t xml:space="preserve">Table 17:</w:t>
      </w:r>
      <w:r>
        <w:t xml:space="preserve"> </w:t>
      </w:r>
      <w:r>
        <w:rPr>
          <w:rStyle w:val="CaptionText"/>
        </w:rPr>
        <w:t xml:space="preserve">Screening quadrant by disclosure archetype, 2026 disclosing issuers (row percentages).</w:t>
      </w:r>
    </w:p>
    <w:tbl>
      <w:tblPr>
        <w:tblStyle w:val="Table"/>
        <w:tblW w:type="auto" w:w="0"/>
        <w:jc w:val="center"/>
        <w:tblLook w:firstRow="1" w:lastRow="0" w:firstColumn="0" w:lastColumn="0" w:noHBand="0" w:noVBand="0" w:val="0020"/>
        <w:tblBorders>
          <w:top w:val="single" w:sz="8" w:space="0" w:color="0F172A"/>
          <w:bottom w:val="single" w:sz="8" w:space="0" w:color="0F172A"/>
          <w:left w:val="none"/>
          <w:right w:val="none"/>
          <w:insideH w:val="single" w:sz="4" w:space="0" w:color="E2E8F0"/>
          <w:insideV w:val="none"/>
        </w:tblBorders>
        <w:tblCellMar>
          <w:top w:w="22" w:type="dxa"/>
          <w:bottom w:w="22" w:type="dxa"/>
          <w:left w:w="40" w:type="dxa"/>
          <w:right w:w="40" w:type="dxa"/>
        </w:tblCellMar>
      </w:tblPr>
      <w:tblGrid>
        <w:gridCol w:w="1584"/>
        <w:gridCol w:w="1584"/>
        <w:gridCol w:w="1584"/>
        <w:gridCol w:w="1584"/>
        <w:gridCol w:w="1584"/>
      </w:tblGrid>
      <w:tr>
        <w:trPr>
          <w:tblHeader w:val="on"/>
          <w:cantSplit/>
          <w:tblHeader/>
        </w:trPr>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5"/>
              </w:rPr>
              <w:t xml:space="preserve">Archetype</w:t>
            </w:r>
          </w:p>
        </w:tc>
        <w:tc>
          <w:tcPr>
            <w:shd w:fill="F1F5F9"/>
            <w:tcBorders>
              <w:bottom w:val="single" w:sz="8" w:space="0" w:color="475569"/>
            </w:tcBorders>
          </w:tcPr>
          <w:p>
            <w:pPr>
              <w:pStyle w:val="Compact"/>
              <w:keepNext/>
              <w:spacing w:before="8" w:after="8" w:line="240" w:lineRule="auto"/>
              <w:ind w:firstLine="0" w:left="0" w:right="0"/>
              <w:jc w:val="right"/>
              <w:jc w:val="center"/>
            </w:pPr>
            <w:r>
              <w:rPr>
                <w:rFonts w:ascii="Calibri" w:hAnsi="Calibri"/>
                <w:b/>
                <w:color w:val="0F172A"/>
                <w:sz w:val="15"/>
              </w:rPr>
              <w:t xml:space="preserve">Investigate</w:t>
            </w:r>
          </w:p>
        </w:tc>
        <w:tc>
          <w:tcPr>
            <w:shd w:fill="F1F5F9"/>
            <w:tcBorders>
              <w:bottom w:val="single" w:sz="8" w:space="0" w:color="475569"/>
            </w:tcBorders>
          </w:tcPr>
          <w:p>
            <w:pPr>
              <w:pStyle w:val="Compact"/>
              <w:keepNext/>
              <w:spacing w:before="8" w:after="8" w:line="240" w:lineRule="auto"/>
              <w:ind w:firstLine="0" w:left="0" w:right="0"/>
              <w:jc w:val="right"/>
              <w:jc w:val="center"/>
            </w:pPr>
            <w:r>
              <w:rPr>
                <w:rFonts w:ascii="Calibri" w:hAnsi="Calibri"/>
                <w:b/>
                <w:color w:val="0F172A"/>
                <w:sz w:val="15"/>
              </w:rPr>
              <w:t xml:space="preserve">Validate</w:t>
            </w:r>
          </w:p>
        </w:tc>
        <w:tc>
          <w:tcPr>
            <w:shd w:fill="F1F5F9"/>
            <w:tcBorders>
              <w:bottom w:val="single" w:sz="8" w:space="0" w:color="475569"/>
            </w:tcBorders>
          </w:tcPr>
          <w:p>
            <w:pPr>
              <w:pStyle w:val="Compact"/>
              <w:keepNext/>
              <w:spacing w:before="8" w:after="8" w:line="240" w:lineRule="auto"/>
              <w:ind w:firstLine="0" w:left="0" w:right="0"/>
              <w:jc w:val="right"/>
              <w:jc w:val="center"/>
            </w:pPr>
            <w:r>
              <w:rPr>
                <w:rFonts w:ascii="Calibri" w:hAnsi="Calibri"/>
                <w:b/>
                <w:color w:val="0F172A"/>
                <w:sz w:val="15"/>
              </w:rPr>
              <w:t xml:space="preserve">Deprioritize</w:t>
            </w:r>
          </w:p>
        </w:tc>
        <w:tc>
          <w:tcPr>
            <w:shd w:fill="F1F5F9"/>
            <w:tcBorders>
              <w:bottom w:val="single" w:sz="8" w:space="0" w:color="475569"/>
            </w:tcBorders>
          </w:tcPr>
          <w:p>
            <w:pPr>
              <w:pStyle w:val="Compact"/>
              <w:keepNext/>
              <w:spacing w:before="8" w:after="8" w:line="240" w:lineRule="auto"/>
              <w:ind w:firstLine="0" w:left="0" w:right="0"/>
              <w:jc w:val="right"/>
              <w:jc w:val="center"/>
            </w:pPr>
            <w:r>
              <w:rPr>
                <w:rFonts w:ascii="Calibri" w:hAnsi="Calibri"/>
                <w:b/>
                <w:color w:val="0F172A"/>
                <w:sz w:val="15"/>
              </w:rPr>
              <w:t xml:space="preserve">Explore</w:t>
            </w:r>
          </w:p>
        </w:tc>
      </w:tr>
      <w:tr>
        <w:trPr>
          <w:cantSplit/>
        </w:trPr>
        <w:tc>
          <w:tcPr/>
          <w:p>
            <w:pPr>
              <w:pStyle w:val="Compact"/>
              <w:keepNext/>
              <w:spacing w:before="8" w:after="8" w:line="240" w:lineRule="auto"/>
              <w:ind w:firstLine="0" w:left="0" w:right="0"/>
              <w:jc w:val="left"/>
              <w:jc w:val="center"/>
            </w:pPr>
            <w:r>
              <w:rPr>
                <w:rFonts w:ascii="Calibri" w:hAnsi="Calibri"/>
                <w:sz w:val="15"/>
              </w:rPr>
              <w:t xml:space="preserve">Vocal Substantives (n=58)</w:t>
            </w:r>
          </w:p>
        </w:tc>
        <w:tc>
          <w:tcPr/>
          <w:p>
            <w:pPr>
              <w:pStyle w:val="Compact"/>
              <w:keepNext/>
              <w:spacing w:before="8" w:after="8" w:line="240" w:lineRule="auto"/>
              <w:ind w:firstLine="0" w:left="0" w:right="0"/>
              <w:jc w:val="right"/>
              <w:jc w:val="center"/>
            </w:pPr>
            <w:r>
              <w:rPr>
                <w:rFonts w:ascii="Calibri" w:hAnsi="Calibri"/>
                <w:sz w:val="15"/>
              </w:rPr>
              <w:t xml:space="preserve">3%</w:t>
            </w:r>
          </w:p>
        </w:tc>
        <w:tc>
          <w:tcPr/>
          <w:p>
            <w:pPr>
              <w:pStyle w:val="Compact"/>
              <w:keepNext/>
              <w:spacing w:before="8" w:after="8" w:line="240" w:lineRule="auto"/>
              <w:ind w:firstLine="0" w:left="0" w:right="0"/>
              <w:jc w:val="right"/>
              <w:jc w:val="center"/>
            </w:pPr>
            <w:r>
              <w:rPr>
                <w:rFonts w:ascii="Calibri" w:hAnsi="Calibri"/>
                <w:sz w:val="15"/>
              </w:rPr>
              <w:t xml:space="preserve">84%</w:t>
            </w:r>
          </w:p>
        </w:tc>
        <w:tc>
          <w:tcPr/>
          <w:p>
            <w:pPr>
              <w:pStyle w:val="Compact"/>
              <w:keepNext/>
              <w:spacing w:before="8" w:after="8" w:line="240" w:lineRule="auto"/>
              <w:ind w:firstLine="0" w:left="0" w:right="0"/>
              <w:jc w:val="right"/>
              <w:jc w:val="center"/>
            </w:pPr>
            <w:r>
              <w:rPr>
                <w:rFonts w:ascii="Calibri" w:hAnsi="Calibri"/>
                <w:sz w:val="15"/>
              </w:rPr>
              <w:t xml:space="preserve">5%</w:t>
            </w:r>
          </w:p>
        </w:tc>
        <w:tc>
          <w:tcPr/>
          <w:p>
            <w:pPr>
              <w:pStyle w:val="Compact"/>
              <w:keepNext/>
              <w:spacing w:before="8" w:after="8" w:line="240" w:lineRule="auto"/>
              <w:ind w:firstLine="0" w:left="0" w:right="0"/>
              <w:jc w:val="right"/>
              <w:jc w:val="center"/>
            </w:pPr>
            <w:r>
              <w:rPr>
                <w:rFonts w:ascii="Calibri" w:hAnsi="Calibri"/>
                <w:sz w:val="15"/>
              </w:rPr>
              <w:t xml:space="preserve">7%</w:t>
            </w:r>
          </w:p>
        </w:tc>
      </w:tr>
      <w:tr>
        <w:trPr>
          <w:cantSplit/>
        </w:trPr>
        <w:tc>
          <w:tcPr/>
          <w:p>
            <w:pPr>
              <w:pStyle w:val="Compact"/>
              <w:keepNext/>
              <w:spacing w:before="8" w:after="8" w:line="240" w:lineRule="auto"/>
              <w:ind w:firstLine="0" w:left="0" w:right="0"/>
              <w:jc w:val="left"/>
              <w:jc w:val="center"/>
            </w:pPr>
            <w:r>
              <w:rPr>
                <w:rFonts w:ascii="Calibri" w:hAnsi="Calibri"/>
                <w:sz w:val="15"/>
              </w:rPr>
              <w:t xml:space="preserve">Governance-Led Disclosers (n=108)</w:t>
            </w:r>
          </w:p>
        </w:tc>
        <w:tc>
          <w:tcPr/>
          <w:p>
            <w:pPr>
              <w:pStyle w:val="Compact"/>
              <w:keepNext/>
              <w:spacing w:before="8" w:after="8" w:line="240" w:lineRule="auto"/>
              <w:ind w:firstLine="0" w:left="0" w:right="0"/>
              <w:jc w:val="right"/>
              <w:jc w:val="center"/>
            </w:pPr>
            <w:r>
              <w:rPr>
                <w:rFonts w:ascii="Calibri" w:hAnsi="Calibri"/>
                <w:sz w:val="15"/>
              </w:rPr>
              <w:t xml:space="preserve">6%</w:t>
            </w:r>
          </w:p>
        </w:tc>
        <w:tc>
          <w:tcPr/>
          <w:p>
            <w:pPr>
              <w:pStyle w:val="Compact"/>
              <w:keepNext/>
              <w:spacing w:before="8" w:after="8" w:line="240" w:lineRule="auto"/>
              <w:ind w:firstLine="0" w:left="0" w:right="0"/>
              <w:jc w:val="right"/>
              <w:jc w:val="center"/>
            </w:pPr>
            <w:r>
              <w:rPr>
                <w:rFonts w:ascii="Calibri" w:hAnsi="Calibri"/>
                <w:sz w:val="15"/>
              </w:rPr>
              <w:t xml:space="preserve">44%</w:t>
            </w:r>
          </w:p>
        </w:tc>
        <w:tc>
          <w:tcPr/>
          <w:p>
            <w:pPr>
              <w:pStyle w:val="Compact"/>
              <w:keepNext/>
              <w:spacing w:before="8" w:after="8" w:line="240" w:lineRule="auto"/>
              <w:ind w:firstLine="0" w:left="0" w:right="0"/>
              <w:jc w:val="right"/>
              <w:jc w:val="center"/>
            </w:pPr>
            <w:r>
              <w:rPr>
                <w:rFonts w:ascii="Calibri" w:hAnsi="Calibri"/>
                <w:sz w:val="15"/>
              </w:rPr>
              <w:t xml:space="preserve">30%</w:t>
            </w:r>
          </w:p>
        </w:tc>
        <w:tc>
          <w:tcPr/>
          <w:p>
            <w:pPr>
              <w:pStyle w:val="Compact"/>
              <w:keepNext/>
              <w:spacing w:before="8" w:after="8" w:line="240" w:lineRule="auto"/>
              <w:ind w:firstLine="0" w:left="0" w:right="0"/>
              <w:jc w:val="right"/>
              <w:jc w:val="center"/>
            </w:pPr>
            <w:r>
              <w:rPr>
                <w:rFonts w:ascii="Calibri" w:hAnsi="Calibri"/>
                <w:sz w:val="15"/>
              </w:rPr>
              <w:t xml:space="preserve">20%</w:t>
            </w:r>
          </w:p>
        </w:tc>
      </w:tr>
      <w:tr>
        <w:trPr>
          <w:cantSplit/>
        </w:trPr>
        <w:tc>
          <w:tcPr/>
          <w:p>
            <w:pPr>
              <w:pStyle w:val="Compact"/>
              <w:keepNext/>
              <w:spacing w:before="8" w:after="8" w:line="240" w:lineRule="auto"/>
              <w:ind w:firstLine="0" w:left="0" w:right="0"/>
              <w:jc w:val="left"/>
              <w:jc w:val="center"/>
            </w:pPr>
            <w:r>
              <w:rPr>
                <w:rFonts w:ascii="Calibri" w:hAnsi="Calibri"/>
                <w:sz w:val="15"/>
              </w:rPr>
              <w:t xml:space="preserve">Defensive Disclosers (n=251)</w:t>
            </w:r>
          </w:p>
        </w:tc>
        <w:tc>
          <w:tcPr/>
          <w:p>
            <w:pPr>
              <w:pStyle w:val="Compact"/>
              <w:keepNext/>
              <w:spacing w:before="8" w:after="8" w:line="240" w:lineRule="auto"/>
              <w:ind w:firstLine="0" w:left="0" w:right="0"/>
              <w:jc w:val="right"/>
              <w:jc w:val="center"/>
            </w:pPr>
            <w:r>
              <w:rPr>
                <w:rFonts w:ascii="Calibri" w:hAnsi="Calibri"/>
                <w:sz w:val="15"/>
              </w:rPr>
              <w:t xml:space="preserve">19%</w:t>
            </w:r>
          </w:p>
        </w:tc>
        <w:tc>
          <w:tcPr/>
          <w:p>
            <w:pPr>
              <w:pStyle w:val="Compact"/>
              <w:keepNext/>
              <w:spacing w:before="8" w:after="8" w:line="240" w:lineRule="auto"/>
              <w:ind w:firstLine="0" w:left="0" w:right="0"/>
              <w:jc w:val="right"/>
              <w:jc w:val="center"/>
            </w:pPr>
            <w:r>
              <w:rPr>
                <w:rFonts w:ascii="Calibri" w:hAnsi="Calibri"/>
                <w:sz w:val="15"/>
              </w:rPr>
              <w:t xml:space="preserve">28%</w:t>
            </w:r>
          </w:p>
        </w:tc>
        <w:tc>
          <w:tcPr/>
          <w:p>
            <w:pPr>
              <w:pStyle w:val="Compact"/>
              <w:keepNext/>
              <w:spacing w:before="8" w:after="8" w:line="240" w:lineRule="auto"/>
              <w:ind w:firstLine="0" w:left="0" w:right="0"/>
              <w:jc w:val="right"/>
              <w:jc w:val="center"/>
            </w:pPr>
            <w:r>
              <w:rPr>
                <w:rFonts w:ascii="Calibri" w:hAnsi="Calibri"/>
                <w:sz w:val="15"/>
              </w:rPr>
              <w:t xml:space="preserve">43%</w:t>
            </w:r>
          </w:p>
        </w:tc>
        <w:tc>
          <w:tcPr/>
          <w:p>
            <w:pPr>
              <w:pStyle w:val="Compact"/>
              <w:keepNext/>
              <w:spacing w:before="8" w:after="8" w:line="240" w:lineRule="auto"/>
              <w:ind w:firstLine="0" w:left="0" w:right="0"/>
              <w:jc w:val="right"/>
              <w:jc w:val="center"/>
            </w:pPr>
            <w:r>
              <w:rPr>
                <w:rFonts w:ascii="Calibri" w:hAnsi="Calibri"/>
                <w:sz w:val="15"/>
              </w:rPr>
              <w:t xml:space="preserve">11%</w:t>
            </w:r>
          </w:p>
        </w:tc>
      </w:tr>
      <w:tr>
        <w:trPr>
          <w:cantSplit/>
        </w:trPr>
        <w:tc>
          <w:tcPr/>
          <w:p>
            <w:pPr>
              <w:pStyle w:val="Compact"/>
              <w:spacing w:before="8" w:after="8" w:line="240" w:lineRule="auto"/>
              <w:ind w:firstLine="0" w:left="0" w:right="0"/>
              <w:jc w:val="left"/>
              <w:jc w:val="center"/>
            </w:pPr>
            <w:r>
              <w:rPr>
                <w:rFonts w:ascii="Calibri" w:hAnsi="Calibri"/>
                <w:sz w:val="15"/>
              </w:rPr>
              <w:t xml:space="preserve">No AI (n=27)</w:t>
            </w:r>
          </w:p>
        </w:tc>
        <w:tc>
          <w:tcPr/>
          <w:p>
            <w:pPr>
              <w:pStyle w:val="Compact"/>
              <w:spacing w:before="8" w:after="8" w:line="240" w:lineRule="auto"/>
              <w:ind w:firstLine="0" w:left="0" w:right="0"/>
              <w:jc w:val="right"/>
              <w:jc w:val="center"/>
            </w:pPr>
            <w:r>
              <w:rPr>
                <w:rFonts w:ascii="Calibri" w:hAnsi="Calibri"/>
                <w:sz w:val="15"/>
              </w:rPr>
              <w:t xml:space="preserve">0%</w:t>
            </w:r>
          </w:p>
        </w:tc>
        <w:tc>
          <w:tcPr/>
          <w:p>
            <w:pPr>
              <w:pStyle w:val="Compact"/>
              <w:spacing w:before="8" w:after="8" w:line="240" w:lineRule="auto"/>
              <w:ind w:firstLine="0" w:left="0" w:right="0"/>
              <w:jc w:val="right"/>
              <w:jc w:val="center"/>
            </w:pPr>
            <w:r>
              <w:rPr>
                <w:rFonts w:ascii="Calibri" w:hAnsi="Calibri"/>
                <w:sz w:val="15"/>
              </w:rPr>
              <w:t xml:space="preserve">0%</w:t>
            </w:r>
          </w:p>
        </w:tc>
        <w:tc>
          <w:tcPr/>
          <w:p>
            <w:pPr>
              <w:pStyle w:val="Compact"/>
              <w:spacing w:before="8" w:after="8" w:line="240" w:lineRule="auto"/>
              <w:ind w:firstLine="0" w:left="0" w:right="0"/>
              <w:jc w:val="right"/>
              <w:jc w:val="center"/>
            </w:pPr>
            <w:r>
              <w:rPr>
                <w:rFonts w:ascii="Calibri" w:hAnsi="Calibri"/>
                <w:sz w:val="15"/>
              </w:rPr>
              <w:t xml:space="preserve">89%</w:t>
            </w:r>
          </w:p>
        </w:tc>
        <w:tc>
          <w:tcPr/>
          <w:p>
            <w:pPr>
              <w:pStyle w:val="Compact"/>
              <w:spacing w:before="8" w:after="8" w:line="240" w:lineRule="auto"/>
              <w:ind w:firstLine="0" w:left="0" w:right="0"/>
              <w:jc w:val="right"/>
              <w:jc w:val="center"/>
            </w:pPr>
            <w:r>
              <w:rPr>
                <w:rFonts w:ascii="Calibri" w:hAnsi="Calibri"/>
                <w:sz w:val="15"/>
              </w:rPr>
              <w:t xml:space="preserve">11%</w:t>
            </w:r>
          </w:p>
        </w:tc>
      </w:tr>
    </w:tbl>
    <w:bookmarkEnd w:id="85"/>
    <w:p>
      <w:pPr>
        <w:pStyle w:val="FigureNote"/>
        <w:ind w:firstLine="0" w:left="0" w:right="0"/>
        <w:spacing w:before="0" w:after="120"/>
      </w:pPr>
      <w:r>
        <w:rPr>
          <w:i/>
          <w:iCs/>
        </w:rPr>
        <w:t xml:space="preserve">Notes:</w:t>
      </w:r>
      <w:r>
        <w:t xml:space="preserve"> </w:t>
      </w:r>
      <w:r>
        <w:t xml:space="preserve">Rows sum to 100%; quadrants are defined by the 2026 median split on</w:t>
      </w:r>
      <w:r>
        <w:t xml:space="preserve"> </w:t>
      </w:r>
      <m:oMath>
        <m:r>
          <w:rPr>
            <w:sz w:val="22"/>
          </w:rPr>
          <m:t>D</m:t>
        </m:r>
      </m:oMath>
      <w:r>
        <w:t xml:space="preserve"> </w:t>
      </w:r>
      <w:r>
        <w:t xml:space="preserve">and</w:t>
      </w:r>
      <w:r>
        <w:t xml:space="preserve"> </w:t>
      </w:r>
      <m:oMath>
        <m:r>
          <w:rPr>
            <w:sz w:val="22"/>
          </w:rPr>
          <m:t>S</m:t>
        </m:r>
      </m:oMath>
      <w:r>
        <w:t xml:space="preserve"> </w:t>
      </w:r>
      <w:r>
        <w:t xml:space="preserve">(</w:t>
      </w:r>
      <w:hyperlink w:anchor="tbl-screening-matrix">
        <w:r>
          <w:rPr>
            <w:rStyle w:val="Hipervnculo"/>
          </w:rPr>
          <w:t xml:space="preserve">Table 16</w:t>
        </w:r>
      </w:hyperlink>
      <w:r>
        <w:t xml:space="preserve">). Archetype uses the expanding-window label, classified from cumulative disclosure through the prior year; the small</w:t>
      </w:r>
      <w:r>
        <w:t xml:space="preserve"> </w:t>
      </w:r>
      <w:r>
        <w:t xml:space="preserve">“No AI”</w:t>
      </w:r>
      <w:r>
        <w:t xml:space="preserve"> </w:t>
      </w:r>
      <w:r>
        <w:t xml:space="preserve">row reflects that one-year lag for firms that started disclosing only in 2026.</w:t>
      </w:r>
    </w:p>
    <w:p>
      <w:pPr>
        <w:pStyle w:val="Textoindependiente"/>
      </w:pPr>
      <w:r>
        <w:rPr>
          <w:b/>
          <w:bCs/>
        </w:rPr>
        <w:t xml:space="preserve">From firm to claim.</w:t>
      </w:r>
    </w:p>
    <w:p>
      <w:pPr>
        <w:pStyle w:val="Textoindependiente"/>
      </w:pPr>
      <w:r>
        <w:t xml:space="preserve">The screen ranks firms; the register needs one row per claim. Inside a flagged firm, the reader sorts the claims by what each one names, the same three anchors the grounding ladder is built on: an activity with no named product or process, no named provider and no quantified outcome is the one to list and verify first, and an activity that already carries all three is the one that can be checked cheaply, since the filing or the call already states what to confirm. This ordering is a property of the activity, not of the firm’s quadrant, so it applies the same way to a firm in Investigate and to one in Explore.</w:t>
      </w:r>
    </w:p>
    <w:bookmarkEnd w:id="86"/>
    <w:bookmarkEnd w:id="87"/>
    <w:bookmarkStart w:id="89" w:name="X4a9f31dede9e7833567ea6c1909c0f9972745f1"/>
    <w:p>
      <w:pPr>
        <w:pStyle w:val="Ttulo2"/>
      </w:pPr>
      <w:r>
        <w:t xml:space="preserve">6.2 Turn the diagnosis into a strategic response</w:t>
      </w:r>
    </w:p>
    <w:p>
      <w:pPr>
        <w:pStyle w:val="FirstParagraph"/>
      </w:pPr>
      <w:r>
        <w:t xml:space="preserve">The screen says where to look. It does not say what to do, and the same position on the matrix can call for opposite responses depending on two things the measures do not carry.</w:t>
      </w:r>
    </w:p>
    <w:p>
      <w:pPr>
        <w:pStyle w:val="Textoindependiente"/>
      </w:pPr>
      <w:r>
        <w:t xml:space="preserve">The first is how much the claim matters. A firm-wide capability that the value proposition rests on and a scheduling tool in a back office can occupy the same cell, and giving them the same scrutiny wastes the effort on the second while under-spending it on the first. Materiality has to come from outside the framework: from the business, or from the investment thesis. It can also reverse the screen’s order: a central claim in a Deprioritize firm outranks a peripheral one in Investigate.</w:t>
      </w:r>
    </w:p>
    <w:p>
      <w:pPr>
        <w:pStyle w:val="Textoindependiente"/>
      </w:pPr>
      <w:r>
        <w:t xml:space="preserve">The second is what kind of gap it is, which only becomes visible after the verification.</w:t>
      </w:r>
      <w:r>
        <w:t xml:space="preserve"> </w:t>
      </w:r>
      <w:hyperlink w:anchor="tbl-gap-response">
        <w:r>
          <w:rPr>
            <w:rStyle w:val="Hipervnculo"/>
          </w:rPr>
          <w:t xml:space="preserve">Table 18</w:t>
        </w:r>
      </w:hyperlink>
      <w:r>
        <w:t xml:space="preserve"> </w:t>
      </w:r>
      <w:r>
        <w:t xml:space="preserve">sorts the answers that verification can return.</w:t>
      </w:r>
    </w:p>
    <w:bookmarkStart w:id="90" w:name="tbl-gap-response"/>
    <w:p>
      <w:pPr>
        <w:keepNext/>
        <w:pStyle w:val="ImageCaption"/>
        <w:jc w:val="left"/>
        <w:spacing w:before="200"/>
        <w:ind w:firstLine="0" w:left="0" w:right="0"/>
      </w:pPr>
      <w:r>
        <w:t xml:space="preserve">Table 18: What the diagnosis implies once the claim has been verified.</w:t>
      </w:r>
    </w:p>
    <w:tbl>
      <w:tblPr>
        <w:tblStyle w:val="Table"/>
        <w:tblW w:type="pct" w:w="5000"/>
        <w:jc w:val="center"/>
        <w:tblLayout w:type="fixed"/>
        <w:tblLook w:firstRow="1" w:lastRow="0" w:firstColumn="0" w:lastColumn="0" w:noHBand="0" w:noVBand="0" w:val="0020"/>
        <w:tblBorders>
          <w:top w:val="single" w:sz="8" w:space="0" w:color="0F172A"/>
          <w:bottom w:val="single" w:sz="8" w:space="0" w:color="0F172A"/>
          <w:left w:val="none"/>
          <w:right w:val="none"/>
          <w:insideH w:val="single" w:sz="4" w:space="0" w:color="E2E8F0"/>
          <w:insideV w:val="none"/>
        </w:tblBorders>
        <w:tblCellMar>
          <w:top w:w="26" w:type="dxa"/>
          <w:bottom w:w="26" w:type="dxa"/>
          <w:left w:w="48" w:type="dxa"/>
          <w:right w:w="48" w:type="dxa"/>
        </w:tblCellMar>
      </w:tblPr>
      <w:tblGrid>
        <w:gridCol w:w="2640"/>
        <w:gridCol w:w="2640"/>
        <w:gridCol w:w="2640"/>
      </w:tblGrid>
      <w:tr>
        <w:trPr>
          <w:tblHeader w:val="on"/>
          <w:cantSplit/>
          <w:tblHeader/>
        </w:trPr>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6"/>
              </w:rPr>
              <w:t xml:space="preserve">What verification finds</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6"/>
              </w:rPr>
              <w:t xml:space="preserve">Manager’s response</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6"/>
              </w:rPr>
              <w:t xml:space="preserve">Investor’s response</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Execution exists, the evidence is not organised.</w:t>
            </w:r>
          </w:p>
        </w:tc>
        <w:tc>
          <w:tcPr/>
          <w:p>
            <w:pPr>
              <w:pStyle w:val="Compact"/>
              <w:keepNext/>
              <w:spacing w:before="8" w:after="8" w:line="240" w:lineRule="auto"/>
              <w:ind w:firstLine="0" w:left="0" w:right="0"/>
              <w:jc w:val="left"/>
              <w:jc w:val="center"/>
            </w:pPr>
            <w:r>
              <w:rPr>
                <w:rFonts w:ascii="Calibri" w:hAnsi="Calibri"/>
                <w:sz w:val="16"/>
              </w:rPr>
              <w:t xml:space="preserve">Fix measurement, documentation and ownership.</w:t>
            </w:r>
          </w:p>
        </w:tc>
        <w:tc>
          <w:tcPr/>
          <w:p>
            <w:pPr>
              <w:pStyle w:val="Compact"/>
              <w:keepNext/>
              <w:spacing w:before="8" w:after="8" w:line="240" w:lineRule="auto"/>
              <w:ind w:firstLine="0" w:left="0" w:right="0"/>
              <w:jc w:val="left"/>
              <w:jc w:val="center"/>
            </w:pPr>
            <w:r>
              <w:rPr>
                <w:rFonts w:ascii="Calibri" w:hAnsi="Calibri"/>
                <w:sz w:val="16"/>
              </w:rPr>
              <w:t xml:space="preserve">Ask for the backing before crediting the benefit.</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Evidence exists, the communication does not carry it.</w:t>
            </w:r>
          </w:p>
        </w:tc>
        <w:tc>
          <w:tcPr/>
          <w:p>
            <w:pPr>
              <w:pStyle w:val="Compact"/>
              <w:keepNext/>
              <w:spacing w:before="8" w:after="8" w:line="240" w:lineRule="auto"/>
              <w:ind w:firstLine="0" w:left="0" w:right="0"/>
              <w:jc w:val="left"/>
              <w:jc w:val="center"/>
            </w:pPr>
            <w:r>
              <w:rPr>
                <w:rFonts w:ascii="Calibri" w:hAnsi="Calibri"/>
                <w:sz w:val="16"/>
              </w:rPr>
              <w:t xml:space="preserve">Decide what is worth disclosing and what stays confidential.</w:t>
            </w:r>
          </w:p>
        </w:tc>
        <w:tc>
          <w:tcPr/>
          <w:p>
            <w:pPr>
              <w:pStyle w:val="Compact"/>
              <w:keepNext/>
              <w:spacing w:before="8" w:after="8" w:line="240" w:lineRule="auto"/>
              <w:ind w:firstLine="0" w:left="0" w:right="0"/>
              <w:jc w:val="left"/>
              <w:jc w:val="center"/>
            </w:pPr>
            <w:r>
              <w:rPr>
                <w:rFonts w:ascii="Calibri" w:hAnsi="Calibri"/>
                <w:sz w:val="16"/>
              </w:rPr>
              <w:t xml:space="preserve">Look into the capability, without assuming it is mispriced.</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The claim runs ahead of the execution.</w:t>
            </w:r>
          </w:p>
        </w:tc>
        <w:tc>
          <w:tcPr/>
          <w:p>
            <w:pPr>
              <w:pStyle w:val="Compact"/>
              <w:keepNext/>
              <w:spacing w:before="8" w:after="8" w:line="240" w:lineRule="auto"/>
              <w:ind w:firstLine="0" w:left="0" w:right="0"/>
              <w:jc w:val="left"/>
              <w:jc w:val="center"/>
            </w:pPr>
            <w:r>
              <w:rPr>
                <w:rFonts w:ascii="Calibri" w:hAnsi="Calibri"/>
                <w:sz w:val="16"/>
              </w:rPr>
              <w:t xml:space="preserve">Narrow the claim and separate expectation from result.</w:t>
            </w:r>
          </w:p>
        </w:tc>
        <w:tc>
          <w:tcPr/>
          <w:p>
            <w:pPr>
              <w:pStyle w:val="Compact"/>
              <w:keepNext/>
              <w:spacing w:before="8" w:after="8" w:line="240" w:lineRule="auto"/>
              <w:ind w:firstLine="0" w:left="0" w:right="0"/>
              <w:jc w:val="left"/>
              <w:jc w:val="center"/>
            </w:pPr>
            <w:r>
              <w:rPr>
                <w:rFonts w:ascii="Calibri" w:hAnsi="Calibri"/>
                <w:sz w:val="16"/>
              </w:rPr>
              <w:t xml:space="preserve">Make the assessment conditional on verifiable milestones.</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Execution exists, its economic value is unproven.</w:t>
            </w:r>
          </w:p>
        </w:tc>
        <w:tc>
          <w:tcPr/>
          <w:p>
            <w:pPr>
              <w:pStyle w:val="Compact"/>
              <w:keepNext/>
              <w:spacing w:before="8" w:after="8" w:line="240" w:lineRule="auto"/>
              <w:ind w:firstLine="0" w:left="0" w:right="0"/>
              <w:jc w:val="left"/>
              <w:jc w:val="center"/>
            </w:pPr>
            <w:r>
              <w:rPr>
                <w:rFonts w:ascii="Calibri" w:hAnsi="Calibri"/>
                <w:sz w:val="16"/>
              </w:rPr>
              <w:t xml:space="preserve">Review cost, adoption and contribution before scaling.</w:t>
            </w:r>
          </w:p>
        </w:tc>
        <w:tc>
          <w:tcPr/>
          <w:p>
            <w:pPr>
              <w:pStyle w:val="Compact"/>
              <w:keepNext/>
              <w:spacing w:before="8" w:after="8" w:line="240" w:lineRule="auto"/>
              <w:ind w:firstLine="0" w:left="0" w:right="0"/>
              <w:jc w:val="left"/>
              <w:jc w:val="center"/>
            </w:pPr>
            <w:r>
              <w:rPr>
                <w:rFonts w:ascii="Calibri" w:hAnsi="Calibri"/>
                <w:sz w:val="16"/>
              </w:rPr>
              <w:t xml:space="preserve">Keep technical capability apart from economic attractiveness.</w:t>
            </w:r>
          </w:p>
        </w:tc>
      </w:tr>
      <w:tr>
        <w:trPr>
          <w:cantSplit/>
        </w:trPr>
        <w:tc>
          <w:tcPr/>
          <w:p>
            <w:pPr>
              <w:pStyle w:val="Compact"/>
              <w:spacing w:before="8" w:after="8" w:line="240" w:lineRule="auto"/>
              <w:ind w:firstLine="0" w:left="0" w:right="0"/>
              <w:jc w:val="left"/>
              <w:jc w:val="center"/>
            </w:pPr>
            <w:r>
              <w:rPr>
                <w:rFonts w:ascii="Calibri" w:hAnsi="Calibri"/>
                <w:sz w:val="16"/>
              </w:rPr>
              <w:t xml:space="preserve">The evidence supports a material activity.</w:t>
            </w:r>
          </w:p>
        </w:tc>
        <w:tc>
          <w:tcPr/>
          <w:p>
            <w:pPr>
              <w:pStyle w:val="Compact"/>
              <w:spacing w:before="8" w:after="8" w:line="240" w:lineRule="auto"/>
              <w:ind w:firstLine="0" w:left="0" w:right="0"/>
              <w:jc w:val="left"/>
              <w:jc w:val="center"/>
            </w:pPr>
            <w:r>
              <w:rPr>
                <w:rFonts w:ascii="Calibri" w:hAnsi="Calibri"/>
                <w:sz w:val="16"/>
              </w:rPr>
              <w:t xml:space="preserve">Decide continuity or expansion on the economic case.</w:t>
            </w:r>
          </w:p>
        </w:tc>
        <w:tc>
          <w:tcPr/>
          <w:p>
            <w:pPr>
              <w:pStyle w:val="Compact"/>
              <w:spacing w:before="8" w:after="8" w:line="240" w:lineRule="auto"/>
              <w:ind w:firstLine="0" w:left="0" w:right="0"/>
              <w:jc w:val="left"/>
              <w:jc w:val="center"/>
            </w:pPr>
            <w:r>
              <w:rPr>
                <w:rFonts w:ascii="Calibri" w:hAnsi="Calibri"/>
                <w:sz w:val="16"/>
              </w:rPr>
              <w:t xml:space="preserve">Take it into the thesis and test it against the valuation.</w:t>
            </w:r>
          </w:p>
        </w:tc>
      </w:tr>
    </w:tbl>
    <w:bookmarkEnd w:id="88"/>
    <w:p/>
    <w:p>
      <w:pPr>
        <w:pStyle w:val="Textoindependiente"/>
      </w:pPr>
      <w:r>
        <w:t xml:space="preserve">What this buys is specific: before committing capital or approving a claim, a reader knows which uncertainty has to be resolved and what would resolve it. The framework does not choose the initiative to fund. Deciding what to verify first is the step that was missing.</w:t>
      </w:r>
    </w:p>
    <w:p>
      <w:pPr>
        <w:pStyle w:val="Textoindependiente"/>
      </w:pPr>
      <w:r>
        <w:t xml:space="preserve">Materiality and this sorting of responses extend how the framework is applied. Neither is an estimated result, and neither changes the six constructs. One row does rest on an estimate: over this sample and window, neither gross margin expansion nor the change in the ROIC-WACC spread moves with any of the disclosure measures, so documented activity is not by itself evidence of economic value.</w:t>
      </w:r>
    </w:p>
    <w:bookmarkEnd w:id="89"/>
    <w:bookmarkStart w:id="91" w:name="worked-decisions-corporate-examples"/>
    <w:p>
      <w:pPr>
        <w:pStyle w:val="Ttulo2"/>
      </w:pPr>
      <w:r>
        <w:t xml:space="preserve">6.3 Worked decisions: corporate examples</w:t>
      </w:r>
    </w:p>
    <w:p>
      <w:pPr>
        <w:pStyle w:val="FirstParagraph"/>
      </w:pPr>
      <w:r>
        <w:t xml:space="preserve">The three steps are applied below to contrasting firm-years from the S&amp;P 500 (</w:t>
      </w:r>
      <w:hyperlink w:anchor="tbl-firm-comparisons">
        <w:r>
          <w:rPr>
            <w:rStyle w:val="Hipervnculo"/>
          </w:rPr>
          <w:t xml:space="preserve">Table 19</w:t>
        </w:r>
      </w:hyperlink>
      <w:r>
        <w:t xml:space="preserve">). Each case shows the firm’s posture (Step 1), whether the reported activities and their documentary grounding match that posture (Step 2), and whether the operational claims stay consistent across venues (Step 3).</w:t>
      </w:r>
    </w:p>
    <w:bookmarkStart w:id="92" w:name="tbl-firm-comparisons"/>
    <w:p>
      <w:pPr>
        <w:keepNext/>
        <w:pStyle w:val="ImageCaption"/>
        <w:jc w:val="left"/>
        <w:spacing w:before="200"/>
        <w:ind w:firstLine="0" w:left="0" w:right="0"/>
      </w:pPr>
      <w:r>
        <w:t xml:space="preserve">Table 19:</w:t>
      </w:r>
      <w:r>
        <w:t xml:space="preserve"> </w:t>
      </w:r>
      <w:r>
        <w:rPr>
          <w:rStyle w:val="CaptionText"/>
        </w:rPr>
        <w:t xml:space="preserve">Illustrative peer comparisons across firm-years within Financials, Technology, and Real Estate.</w:t>
      </w:r>
    </w:p>
    <w:tbl>
      <w:tblPr>
        <w:tblStyle w:val="Table"/>
        <w:tblW w:type="auto" w:w="0"/>
        <w:jc w:val="center"/>
        <w:tblLook w:firstRow="1" w:lastRow="0" w:firstColumn="0" w:lastColumn="0" w:noHBand="0" w:noVBand="0" w:val="0020"/>
        <w:tblBorders>
          <w:top w:val="single" w:sz="8" w:space="0" w:color="0F172A"/>
          <w:bottom w:val="single" w:sz="8" w:space="0" w:color="0F172A"/>
          <w:left w:val="none"/>
          <w:right w:val="none"/>
          <w:insideH w:val="single" w:sz="4" w:space="0" w:color="E2E8F0"/>
          <w:insideV w:val="none"/>
        </w:tblBorders>
        <w:tblCellMar>
          <w:top w:w="22" w:type="dxa"/>
          <w:bottom w:w="22" w:type="dxa"/>
          <w:left w:w="40" w:type="dxa"/>
          <w:right w:w="40" w:type="dxa"/>
        </w:tblCellMar>
      </w:tblPr>
      <w:tblGrid>
        <w:gridCol w:w="1320"/>
        <w:gridCol w:w="1320"/>
        <w:gridCol w:w="1320"/>
        <w:gridCol w:w="1320"/>
        <w:gridCol w:w="1320"/>
        <w:gridCol w:w="1320"/>
      </w:tblGrid>
      <w:tr>
        <w:trPr>
          <w:tblHeader w:val="on"/>
          <w:cantSplit/>
          <w:tblHeader/>
        </w:trPr>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5"/>
              </w:rPr>
              <w:t xml:space="preserve">Dimension</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5"/>
              </w:rPr>
              <w:t xml:space="preserve">JPMorgan Chase (JPM, 2024)</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5"/>
              </w:rPr>
              <w:t xml:space="preserve">Goldman Sachs (GS, 2024)</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5"/>
              </w:rPr>
              <w:t xml:space="preserve">Microsoft (MSFT, 2024)</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5"/>
              </w:rPr>
              <w:t xml:space="preserve">Apple (AAPL, 2024)</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5"/>
              </w:rPr>
              <w:t xml:space="preserve">Welltower (WELL, 2025)</w:t>
            </w:r>
          </w:p>
        </w:tc>
      </w:tr>
      <w:tr>
        <w:trPr>
          <w:cantSplit/>
        </w:trPr>
        <w:tc>
          <w:tcPr/>
          <w:p>
            <w:pPr>
              <w:pStyle w:val="Compact"/>
              <w:keepNext/>
              <w:spacing w:before="8" w:after="8" w:line="240" w:lineRule="auto"/>
              <w:ind w:firstLine="0" w:left="0" w:right="0"/>
              <w:jc w:val="left"/>
              <w:jc w:val="center"/>
            </w:pPr>
            <w:r>
              <w:rPr>
                <w:rFonts w:ascii="Calibri" w:hAnsi="Calibri"/>
                <w:b/>
                <w:bCs/>
                <w:sz w:val="15"/>
              </w:rPr>
              <w:t xml:space="preserve">Disclosure Archetype</w:t>
            </w:r>
          </w:p>
        </w:tc>
        <w:tc>
          <w:tcPr/>
          <w:p>
            <w:pPr>
              <w:pStyle w:val="Compact"/>
              <w:keepNext/>
              <w:spacing w:before="8" w:after="8" w:line="240" w:lineRule="auto"/>
              <w:ind w:firstLine="0" w:left="0" w:right="0"/>
              <w:jc w:val="left"/>
              <w:jc w:val="center"/>
            </w:pPr>
            <w:r>
              <w:rPr>
                <w:rFonts w:ascii="Calibri" w:hAnsi="Calibri"/>
                <w:sz w:val="15"/>
              </w:rPr>
              <w:t xml:space="preserve">Governance-Led Disclosers</w:t>
            </w:r>
          </w:p>
        </w:tc>
        <w:tc>
          <w:tcPr/>
          <w:p>
            <w:pPr>
              <w:pStyle w:val="Compact"/>
              <w:keepNext/>
              <w:spacing w:before="8" w:after="8" w:line="240" w:lineRule="auto"/>
              <w:ind w:firstLine="0" w:left="0" w:right="0"/>
              <w:jc w:val="left"/>
              <w:jc w:val="center"/>
            </w:pPr>
            <w:r>
              <w:rPr>
                <w:rFonts w:ascii="Calibri" w:hAnsi="Calibri"/>
                <w:sz w:val="15"/>
              </w:rPr>
              <w:t xml:space="preserve">Defensive Disclosers</w:t>
            </w:r>
          </w:p>
        </w:tc>
        <w:tc>
          <w:tcPr/>
          <w:p>
            <w:pPr>
              <w:pStyle w:val="Compact"/>
              <w:keepNext/>
              <w:spacing w:before="8" w:after="8" w:line="240" w:lineRule="auto"/>
              <w:ind w:firstLine="0" w:left="0" w:right="0"/>
              <w:jc w:val="left"/>
              <w:jc w:val="center"/>
            </w:pPr>
            <w:r>
              <w:rPr>
                <w:rFonts w:ascii="Calibri" w:hAnsi="Calibri"/>
                <w:sz w:val="15"/>
              </w:rPr>
              <w:t xml:space="preserve">Vocal Substantives</w:t>
            </w:r>
          </w:p>
        </w:tc>
        <w:tc>
          <w:tcPr/>
          <w:p>
            <w:pPr>
              <w:pStyle w:val="Compact"/>
              <w:keepNext/>
              <w:spacing w:before="8" w:after="8" w:line="240" w:lineRule="auto"/>
              <w:ind w:firstLine="0" w:left="0" w:right="0"/>
              <w:jc w:val="left"/>
              <w:jc w:val="center"/>
            </w:pPr>
            <w:r>
              <w:rPr>
                <w:rFonts w:ascii="Calibri" w:hAnsi="Calibri"/>
                <w:sz w:val="15"/>
              </w:rPr>
              <w:t xml:space="preserve">Governance-Led Disclosers</w:t>
            </w:r>
          </w:p>
        </w:tc>
        <w:tc>
          <w:tcPr/>
          <w:p>
            <w:pPr>
              <w:pStyle w:val="Compact"/>
              <w:keepNext/>
              <w:spacing w:before="8" w:after="8" w:line="240" w:lineRule="auto"/>
              <w:ind w:firstLine="0" w:left="0" w:right="0"/>
              <w:jc w:val="left"/>
              <w:jc w:val="center"/>
            </w:pPr>
            <w:r>
              <w:rPr>
                <w:rFonts w:ascii="Calibri" w:hAnsi="Calibri"/>
                <w:sz w:val="15"/>
              </w:rPr>
              <w:t xml:space="preserve">Defensive Disclosers</w:t>
            </w:r>
          </w:p>
        </w:tc>
      </w:tr>
      <w:tr>
        <w:trPr>
          <w:cantSplit/>
        </w:trPr>
        <w:tc>
          <w:tcPr/>
          <w:p>
            <w:pPr>
              <w:pStyle w:val="Compact"/>
              <w:keepNext/>
              <w:spacing w:before="8" w:after="8" w:line="240" w:lineRule="auto"/>
              <w:ind w:firstLine="0" w:left="0" w:right="0"/>
              <w:jc w:val="left"/>
              <w:jc w:val="center"/>
            </w:pPr>
            <w:r>
              <w:rPr>
                <w:rFonts w:ascii="Calibri" w:hAnsi="Calibri"/>
                <w:b/>
                <w:bCs/>
                <w:sz w:val="15"/>
              </w:rPr>
              <w:t xml:space="preserve">Disclosure Intensity (</w:t>
            </w:r>
            <m:oMath>
              <m:r>
                <w:rPr>
                  <w:sz w:val="15"/>
                </w:rPr>
                <m:t>D</m:t>
              </m:r>
            </m:oMath>
            <w:r>
              <w:rPr>
                <w:rFonts w:ascii="Calibri" w:hAnsi="Calibri"/>
                <w:b/>
                <w:bCs/>
                <w:sz w:val="15"/>
              </w:rPr>
              <w:t xml:space="preserve">)</w:t>
            </w:r>
          </w:p>
        </w:tc>
        <w:tc>
          <w:tcPr/>
          <w:p>
            <w:pPr>
              <w:pStyle w:val="Compact"/>
              <w:keepNext/>
              <w:spacing w:before="8" w:after="8" w:line="240" w:lineRule="auto"/>
              <w:ind w:firstLine="0" w:left="0" w:right="0"/>
              <w:jc w:val="left"/>
              <w:jc w:val="center"/>
            </w:pPr>
            <w:r>
              <w:rPr>
                <w:rFonts w:ascii="Calibri" w:hAnsi="Calibri"/>
                <w:sz w:val="15"/>
              </w:rPr>
              <w:t xml:space="preserve">29th pct (0.02/1k)</w:t>
            </w:r>
          </w:p>
        </w:tc>
        <w:tc>
          <w:tcPr/>
          <w:p>
            <w:pPr>
              <w:pStyle w:val="Compact"/>
              <w:keepNext/>
              <w:spacing w:before="8" w:after="8" w:line="240" w:lineRule="auto"/>
              <w:ind w:firstLine="0" w:left="0" w:right="0"/>
              <w:jc w:val="left"/>
              <w:jc w:val="center"/>
            </w:pPr>
            <w:r>
              <w:rPr>
                <w:rFonts w:ascii="Calibri" w:hAnsi="Calibri"/>
                <w:sz w:val="15"/>
              </w:rPr>
              <w:t xml:space="preserve">59th pct (0.05/1k)</w:t>
            </w:r>
          </w:p>
        </w:tc>
        <w:tc>
          <w:tcPr/>
          <w:p>
            <w:pPr>
              <w:pStyle w:val="Compact"/>
              <w:keepNext/>
              <w:spacing w:before="8" w:after="8" w:line="240" w:lineRule="auto"/>
              <w:ind w:firstLine="0" w:left="0" w:right="0"/>
              <w:jc w:val="left"/>
              <w:jc w:val="center"/>
            </w:pPr>
            <w:r>
              <w:rPr>
                <w:rFonts w:ascii="Calibri" w:hAnsi="Calibri"/>
                <w:sz w:val="15"/>
              </w:rPr>
              <w:t xml:space="preserve">100th pct (1.86/1k)</w:t>
            </w:r>
          </w:p>
        </w:tc>
        <w:tc>
          <w:tcPr/>
          <w:p>
            <w:pPr>
              <w:pStyle w:val="Compact"/>
              <w:keepNext/>
              <w:spacing w:before="8" w:after="8" w:line="240" w:lineRule="auto"/>
              <w:ind w:firstLine="0" w:left="0" w:right="0"/>
              <w:jc w:val="left"/>
              <w:jc w:val="center"/>
            </w:pPr>
            <w:r>
              <w:rPr>
                <w:rFonts w:ascii="Calibri" w:hAnsi="Calibri"/>
                <w:sz w:val="15"/>
              </w:rPr>
              <w:t xml:space="preserve">94th pct (0.30/1k)</w:t>
            </w:r>
          </w:p>
        </w:tc>
        <w:tc>
          <w:tcPr/>
          <w:p>
            <w:pPr>
              <w:pStyle w:val="Compact"/>
              <w:keepNext/>
              <w:spacing w:before="8" w:after="8" w:line="240" w:lineRule="auto"/>
              <w:ind w:firstLine="0" w:left="0" w:right="0"/>
              <w:jc w:val="left"/>
              <w:jc w:val="center"/>
            </w:pPr>
            <w:r>
              <w:rPr>
                <w:rFonts w:ascii="Calibri" w:hAnsi="Calibri"/>
                <w:sz w:val="15"/>
              </w:rPr>
              <w:t xml:space="preserve">59th pct (0.08/1k)</w:t>
            </w:r>
          </w:p>
        </w:tc>
      </w:tr>
      <w:tr>
        <w:trPr>
          <w:cantSplit/>
        </w:trPr>
        <w:tc>
          <w:tcPr/>
          <w:p>
            <w:pPr>
              <w:pStyle w:val="Compact"/>
              <w:keepNext/>
              <w:spacing w:before="8" w:after="8" w:line="240" w:lineRule="auto"/>
              <w:ind w:firstLine="0" w:left="0" w:right="0"/>
              <w:jc w:val="left"/>
              <w:jc w:val="center"/>
            </w:pPr>
            <w:r>
              <w:rPr>
                <w:rFonts w:ascii="Calibri" w:hAnsi="Calibri"/>
                <w:b/>
                <w:bCs/>
                <w:sz w:val="15"/>
              </w:rPr>
              <w:t xml:space="preserve">Disclosed AI Activities (</w:t>
            </w:r>
            <m:oMath>
              <m:r>
                <w:rPr>
                  <w:sz w:val="15"/>
                </w:rPr>
                <m:t>A</m:t>
              </m:r>
            </m:oMath>
            <w:r>
              <w:rPr>
                <w:rFonts w:ascii="Calibri" w:hAnsi="Calibri"/>
                <w:b/>
                <w:bCs/>
                <w:sz w:val="15"/>
              </w:rPr>
              <w:t xml:space="preserve">)</w:t>
            </w:r>
          </w:p>
        </w:tc>
        <w:tc>
          <w:tcPr/>
          <w:p>
            <w:pPr>
              <w:pStyle w:val="Compact"/>
              <w:keepNext/>
              <w:spacing w:before="8" w:after="8" w:line="240" w:lineRule="auto"/>
              <w:ind w:firstLine="0" w:left="0" w:right="0"/>
              <w:jc w:val="left"/>
              <w:jc w:val="center"/>
            </w:pPr>
            <w:r>
              <w:rPr>
                <w:rFonts w:ascii="Calibri" w:hAnsi="Calibri"/>
                <w:sz w:val="15"/>
              </w:rPr>
              <w:t xml:space="preserve">99 total (53 in 10-K)</w:t>
            </w:r>
          </w:p>
        </w:tc>
        <w:tc>
          <w:tcPr/>
          <w:p>
            <w:pPr>
              <w:pStyle w:val="Compact"/>
              <w:keepNext/>
              <w:spacing w:before="8" w:after="8" w:line="240" w:lineRule="auto"/>
              <w:ind w:firstLine="0" w:left="0" w:right="0"/>
              <w:jc w:val="left"/>
              <w:jc w:val="center"/>
            </w:pPr>
            <w:r>
              <w:rPr>
                <w:rFonts w:ascii="Calibri" w:hAnsi="Calibri"/>
                <w:sz w:val="15"/>
              </w:rPr>
              <w:t xml:space="preserve">87 total (40 in 10-K)</w:t>
            </w:r>
          </w:p>
        </w:tc>
        <w:tc>
          <w:tcPr/>
          <w:p>
            <w:pPr>
              <w:pStyle w:val="Compact"/>
              <w:keepNext/>
              <w:spacing w:before="8" w:after="8" w:line="240" w:lineRule="auto"/>
              <w:ind w:firstLine="0" w:left="0" w:right="0"/>
              <w:jc w:val="left"/>
              <w:jc w:val="center"/>
            </w:pPr>
            <w:r>
              <w:rPr>
                <w:rFonts w:ascii="Calibri" w:hAnsi="Calibri"/>
                <w:sz w:val="15"/>
              </w:rPr>
              <w:t xml:space="preserve">1376 total (695 in 10-K)</w:t>
            </w:r>
          </w:p>
        </w:tc>
        <w:tc>
          <w:tcPr/>
          <w:p>
            <w:pPr>
              <w:pStyle w:val="Compact"/>
              <w:keepNext/>
              <w:spacing w:before="8" w:after="8" w:line="240" w:lineRule="auto"/>
              <w:ind w:firstLine="0" w:left="0" w:right="0"/>
              <w:jc w:val="left"/>
              <w:jc w:val="center"/>
            </w:pPr>
            <w:r>
              <w:rPr>
                <w:rFonts w:ascii="Calibri" w:hAnsi="Calibri"/>
                <w:sz w:val="15"/>
              </w:rPr>
              <w:t xml:space="preserve">236 total (43 in 10-K)</w:t>
            </w:r>
          </w:p>
        </w:tc>
        <w:tc>
          <w:tcPr/>
          <w:p>
            <w:pPr>
              <w:pStyle w:val="Compact"/>
              <w:keepNext/>
              <w:spacing w:before="8" w:after="8" w:line="240" w:lineRule="auto"/>
              <w:ind w:firstLine="0" w:left="0" w:right="0"/>
              <w:jc w:val="left"/>
              <w:jc w:val="center"/>
            </w:pPr>
            <w:r>
              <w:rPr>
                <w:rFonts w:ascii="Calibri" w:hAnsi="Calibri"/>
                <w:sz w:val="15"/>
              </w:rPr>
              <w:t xml:space="preserve">42 total (14 in 10-K)</w:t>
            </w:r>
          </w:p>
        </w:tc>
      </w:tr>
      <w:tr>
        <w:trPr>
          <w:cantSplit/>
        </w:trPr>
        <w:tc>
          <w:tcPr/>
          <w:p>
            <w:pPr>
              <w:pStyle w:val="Compact"/>
              <w:keepNext/>
              <w:spacing w:before="8" w:after="8" w:line="240" w:lineRule="auto"/>
              <w:ind w:firstLine="0" w:left="0" w:right="0"/>
              <w:jc w:val="left"/>
              <w:jc w:val="center"/>
            </w:pPr>
            <w:r>
              <w:rPr>
                <w:rFonts w:ascii="Calibri" w:hAnsi="Calibri"/>
                <w:b/>
                <w:bCs/>
                <w:sz w:val="15"/>
              </w:rPr>
              <w:t xml:space="preserve">AI Activity Grounding (</w:t>
            </w:r>
            <m:oMath>
              <m:r>
                <w:rPr>
                  <w:sz w:val="15"/>
                </w:rPr>
                <m:t>G</m:t>
              </m:r>
            </m:oMath>
            <w:r>
              <w:rPr>
                <w:rFonts w:ascii="Calibri" w:hAnsi="Calibri"/>
                <w:b/>
                <w:bCs/>
                <w:sz w:val="15"/>
              </w:rPr>
              <w:t xml:space="preserve">)</w:t>
            </w:r>
          </w:p>
        </w:tc>
        <w:tc>
          <w:tcPr/>
          <w:p>
            <w:pPr>
              <w:pStyle w:val="Compact"/>
              <w:keepNext/>
              <w:spacing w:before="8" w:after="8" w:line="240" w:lineRule="auto"/>
              <w:ind w:firstLine="0" w:left="0" w:right="0"/>
              <w:jc w:val="right"/>
              <w:jc w:val="center"/>
            </w:pPr>
            <w:r>
              <w:rPr>
                <w:rFonts w:ascii="Calibri" w:hAnsi="Calibri"/>
                <w:sz w:val="15"/>
              </w:rPr>
              <w:t xml:space="preserve">0.297</w:t>
            </w:r>
          </w:p>
        </w:tc>
        <w:tc>
          <w:tcPr/>
          <w:p>
            <w:pPr>
              <w:pStyle w:val="Compact"/>
              <w:keepNext/>
              <w:spacing w:before="8" w:after="8" w:line="240" w:lineRule="auto"/>
              <w:ind w:firstLine="0" w:left="0" w:right="0"/>
              <w:jc w:val="right"/>
              <w:jc w:val="center"/>
            </w:pPr>
            <w:r>
              <w:rPr>
                <w:rFonts w:ascii="Calibri" w:hAnsi="Calibri"/>
                <w:sz w:val="15"/>
              </w:rPr>
              <w:t xml:space="preserve">0.437</w:t>
            </w:r>
          </w:p>
        </w:tc>
        <w:tc>
          <w:tcPr/>
          <w:p>
            <w:pPr>
              <w:pStyle w:val="Compact"/>
              <w:keepNext/>
              <w:spacing w:before="8" w:after="8" w:line="240" w:lineRule="auto"/>
              <w:ind w:firstLine="0" w:left="0" w:right="0"/>
              <w:jc w:val="right"/>
              <w:jc w:val="center"/>
            </w:pPr>
            <w:r>
              <w:rPr>
                <w:rFonts w:ascii="Calibri" w:hAnsi="Calibri"/>
                <w:sz w:val="15"/>
              </w:rPr>
              <w:t xml:space="preserve">0.457</w:t>
            </w:r>
          </w:p>
        </w:tc>
        <w:tc>
          <w:tcPr/>
          <w:p>
            <w:pPr>
              <w:pStyle w:val="Compact"/>
              <w:keepNext/>
              <w:spacing w:before="8" w:after="8" w:line="240" w:lineRule="auto"/>
              <w:ind w:firstLine="0" w:left="0" w:right="0"/>
              <w:jc w:val="right"/>
              <w:jc w:val="center"/>
            </w:pPr>
            <w:r>
              <w:rPr>
                <w:rFonts w:ascii="Calibri" w:hAnsi="Calibri"/>
                <w:sz w:val="15"/>
              </w:rPr>
              <w:t xml:space="preserve">0.397</w:t>
            </w:r>
          </w:p>
        </w:tc>
        <w:tc>
          <w:tcPr/>
          <w:p>
            <w:pPr>
              <w:pStyle w:val="Compact"/>
              <w:keepNext/>
              <w:spacing w:before="8" w:after="8" w:line="240" w:lineRule="auto"/>
              <w:ind w:firstLine="0" w:left="0" w:right="0"/>
              <w:jc w:val="right"/>
              <w:jc w:val="center"/>
            </w:pPr>
            <w:r>
              <w:rPr>
                <w:rFonts w:ascii="Calibri" w:hAnsi="Calibri"/>
                <w:sz w:val="15"/>
              </w:rPr>
              <w:t xml:space="preserve">0.228</w:t>
            </w:r>
          </w:p>
        </w:tc>
      </w:tr>
      <w:tr>
        <w:trPr>
          <w:cantSplit/>
        </w:trPr>
        <w:tc>
          <w:tcPr/>
          <w:p>
            <w:pPr>
              <w:pStyle w:val="Compact"/>
              <w:keepNext/>
              <w:spacing w:before="8" w:after="8" w:line="240" w:lineRule="auto"/>
              <w:ind w:firstLine="0" w:left="0" w:right="0"/>
              <w:jc w:val="left"/>
              <w:jc w:val="center"/>
            </w:pPr>
            <w:r>
              <w:rPr>
                <w:rFonts w:ascii="Calibri" w:hAnsi="Calibri"/>
                <w:b/>
                <w:bCs/>
                <w:sz w:val="15"/>
              </w:rPr>
              <w:t xml:space="preserve">Disclosed Substance (</w:t>
            </w:r>
            <m:oMath>
              <m:r>
                <w:rPr>
                  <w:sz w:val="15"/>
                </w:rPr>
                <m:t>S</m:t>
              </m:r>
            </m:oMath>
            <w:r>
              <w:rPr>
                <w:rFonts w:ascii="Calibri" w:hAnsi="Calibri"/>
                <w:b/>
                <w:bCs/>
                <w:sz w:val="15"/>
              </w:rPr>
              <w:t xml:space="preserve">)</w:t>
            </w:r>
          </w:p>
        </w:tc>
        <w:tc>
          <w:tcPr/>
          <w:p>
            <w:pPr>
              <w:pStyle w:val="Compact"/>
              <w:keepNext/>
              <w:spacing w:before="8" w:after="8" w:line="240" w:lineRule="auto"/>
              <w:ind w:firstLine="0" w:left="0" w:right="0"/>
              <w:jc w:val="left"/>
              <w:jc w:val="center"/>
            </w:pPr>
            <w:r>
              <w:rPr>
                <w:rFonts w:ascii="Calibri" w:hAnsi="Calibri"/>
                <w:sz w:val="15"/>
              </w:rPr>
              <w:t xml:space="preserve">0.62 (64th pct)</w:t>
            </w:r>
          </w:p>
        </w:tc>
        <w:tc>
          <w:tcPr/>
          <w:p>
            <w:pPr>
              <w:pStyle w:val="Compact"/>
              <w:keepNext/>
              <w:spacing w:before="8" w:after="8" w:line="240" w:lineRule="auto"/>
              <w:ind w:firstLine="0" w:left="0" w:right="0"/>
              <w:jc w:val="left"/>
              <w:jc w:val="center"/>
            </w:pPr>
            <w:r>
              <w:rPr>
                <w:rFonts w:ascii="Calibri" w:hAnsi="Calibri"/>
                <w:sz w:val="15"/>
              </w:rPr>
              <w:t xml:space="preserve">0.70 (68th pct)</w:t>
            </w:r>
          </w:p>
        </w:tc>
        <w:tc>
          <w:tcPr/>
          <w:p>
            <w:pPr>
              <w:pStyle w:val="Compact"/>
              <w:keepNext/>
              <w:spacing w:before="8" w:after="8" w:line="240" w:lineRule="auto"/>
              <w:ind w:firstLine="0" w:left="0" w:right="0"/>
              <w:jc w:val="left"/>
              <w:jc w:val="center"/>
            </w:pPr>
            <w:r>
              <w:rPr>
                <w:rFonts w:ascii="Calibri" w:hAnsi="Calibri"/>
                <w:sz w:val="15"/>
              </w:rPr>
              <w:t xml:space="preserve">2.43 (99th pct)</w:t>
            </w:r>
          </w:p>
        </w:tc>
        <w:tc>
          <w:tcPr/>
          <w:p>
            <w:pPr>
              <w:pStyle w:val="Compact"/>
              <w:keepNext/>
              <w:spacing w:before="8" w:after="8" w:line="240" w:lineRule="auto"/>
              <w:ind w:firstLine="0" w:left="0" w:right="0"/>
              <w:jc w:val="left"/>
              <w:jc w:val="center"/>
            </w:pPr>
            <w:r>
              <w:rPr>
                <w:rFonts w:ascii="Calibri" w:hAnsi="Calibri"/>
                <w:sz w:val="15"/>
              </w:rPr>
              <w:t xml:space="preserve">0.95 (79th pct)</w:t>
            </w:r>
          </w:p>
        </w:tc>
        <w:tc>
          <w:tcPr/>
          <w:p>
            <w:pPr>
              <w:pStyle w:val="Compact"/>
              <w:keepNext/>
              <w:spacing w:before="8" w:after="8" w:line="240" w:lineRule="auto"/>
              <w:ind w:firstLine="0" w:left="0" w:right="0"/>
              <w:jc w:val="left"/>
              <w:jc w:val="center"/>
            </w:pPr>
            <w:r>
              <w:rPr>
                <w:rFonts w:ascii="Calibri" w:hAnsi="Calibri"/>
                <w:sz w:val="15"/>
              </w:rPr>
              <w:t xml:space="preserve">0.41 (44th pct)</w:t>
            </w:r>
          </w:p>
        </w:tc>
      </w:tr>
      <w:tr>
        <w:trPr>
          <w:cantSplit/>
        </w:trPr>
        <w:tc>
          <w:tcPr/>
          <w:p>
            <w:pPr>
              <w:pStyle w:val="Compact"/>
              <w:keepNext/>
              <w:spacing w:before="8" w:after="8" w:line="240" w:lineRule="auto"/>
              <w:ind w:firstLine="0" w:left="0" w:right="0"/>
              <w:jc w:val="left"/>
              <w:jc w:val="center"/>
            </w:pPr>
            <w:r>
              <w:rPr>
                <w:rFonts w:ascii="Calibri" w:hAnsi="Calibri"/>
                <w:b/>
                <w:bCs/>
                <w:sz w:val="15"/>
              </w:rPr>
              <w:t xml:space="preserve">Decoupling (</w:t>
            </w:r>
            <m:oMath>
              <m:r>
                <w:rPr>
                  <w:sz w:val="15"/>
                </w:rPr>
                <m:t>W</m:t>
              </m:r>
            </m:oMath>
            <w:r>
              <w:rPr>
                <w:rFonts w:ascii="Calibri" w:hAnsi="Calibri"/>
                <w:b/>
                <w:bCs/>
                <w:sz w:val="15"/>
              </w:rPr>
              <w:t xml:space="preserve">)</w:t>
            </w:r>
          </w:p>
        </w:tc>
        <w:tc>
          <w:tcPr/>
          <w:p>
            <w:pPr>
              <w:pStyle w:val="Compact"/>
              <w:keepNext/>
              <w:spacing w:before="8" w:after="8" w:line="240" w:lineRule="auto"/>
              <w:ind w:firstLine="0" w:left="0" w:right="0"/>
              <w:jc w:val="right"/>
              <w:jc w:val="center"/>
            </w:pPr>
            <w:r>
              <w:rPr>
                <w:rFonts w:ascii="Calibri" w:hAnsi="Calibri"/>
                <w:sz w:val="15"/>
              </w:rPr>
              <w:t xml:space="preserve">-0.344</w:t>
            </w:r>
          </w:p>
        </w:tc>
        <w:tc>
          <w:tcPr/>
          <w:p>
            <w:pPr>
              <w:pStyle w:val="Compact"/>
              <w:keepNext/>
              <w:spacing w:before="8" w:after="8" w:line="240" w:lineRule="auto"/>
              <w:ind w:firstLine="0" w:left="0" w:right="0"/>
              <w:jc w:val="right"/>
              <w:jc w:val="center"/>
            </w:pPr>
            <w:r>
              <w:rPr>
                <w:rFonts w:ascii="Calibri" w:hAnsi="Calibri"/>
                <w:sz w:val="15"/>
              </w:rPr>
              <w:t xml:space="preserve">-0.084</w:t>
            </w:r>
          </w:p>
        </w:tc>
        <w:tc>
          <w:tcPr/>
          <w:p>
            <w:pPr>
              <w:pStyle w:val="Compact"/>
              <w:keepNext/>
              <w:spacing w:before="8" w:after="8" w:line="240" w:lineRule="auto"/>
              <w:ind w:firstLine="0" w:left="0" w:right="0"/>
              <w:jc w:val="right"/>
              <w:jc w:val="center"/>
            </w:pPr>
            <w:r>
              <w:rPr>
                <w:rFonts w:ascii="Calibri" w:hAnsi="Calibri"/>
                <w:sz w:val="15"/>
              </w:rPr>
              <w:t xml:space="preserve">+0.005</w:t>
            </w:r>
          </w:p>
        </w:tc>
        <w:tc>
          <w:tcPr/>
          <w:p>
            <w:pPr>
              <w:pStyle w:val="Compact"/>
              <w:keepNext/>
              <w:spacing w:before="8" w:after="8" w:line="240" w:lineRule="auto"/>
              <w:ind w:firstLine="0" w:left="0" w:right="0"/>
              <w:jc w:val="right"/>
              <w:jc w:val="center"/>
            </w:pPr>
            <w:r>
              <w:rPr>
                <w:rFonts w:ascii="Calibri" w:hAnsi="Calibri"/>
                <w:sz w:val="15"/>
              </w:rPr>
              <w:t xml:space="preserve">+0.145</w:t>
            </w:r>
          </w:p>
        </w:tc>
        <w:tc>
          <w:tcPr/>
          <w:p>
            <w:pPr>
              <w:pStyle w:val="Compact"/>
              <w:keepNext/>
              <w:spacing w:before="8" w:after="8" w:line="240" w:lineRule="auto"/>
              <w:ind w:firstLine="0" w:left="0" w:right="0"/>
              <w:jc w:val="right"/>
              <w:jc w:val="center"/>
            </w:pPr>
            <w:r>
              <w:rPr>
                <w:rFonts w:ascii="Calibri" w:hAnsi="Calibri"/>
                <w:sz w:val="15"/>
              </w:rPr>
              <w:t xml:space="preserve">+0.142</w:t>
            </w:r>
          </w:p>
        </w:tc>
      </w:tr>
      <w:tr>
        <w:trPr>
          <w:cantSplit/>
        </w:trPr>
        <w:tc>
          <w:tcPr/>
          <w:p>
            <w:pPr>
              <w:pStyle w:val="Compact"/>
              <w:spacing w:before="8" w:after="8" w:line="240" w:lineRule="auto"/>
              <w:ind w:firstLine="0" w:left="0" w:right="0"/>
              <w:jc w:val="left"/>
              <w:jc w:val="center"/>
            </w:pPr>
            <w:r>
              <w:rPr>
                <w:rFonts w:ascii="Calibri" w:hAnsi="Calibri"/>
                <w:b/>
                <w:bCs/>
                <w:sz w:val="15"/>
              </w:rPr>
              <w:t xml:space="preserve">Next review action</w:t>
            </w:r>
          </w:p>
        </w:tc>
        <w:tc>
          <w:tcPr/>
          <w:p>
            <w:pPr>
              <w:pStyle w:val="Compact"/>
              <w:spacing w:before="8" w:after="8" w:line="240" w:lineRule="auto"/>
              <w:ind w:firstLine="0" w:left="0" w:right="0"/>
              <w:jc w:val="left"/>
              <w:jc w:val="center"/>
            </w:pPr>
            <w:r>
              <w:rPr>
                <w:rFonts w:ascii="Calibri" w:hAnsi="Calibri"/>
                <w:sz w:val="15"/>
              </w:rPr>
              <w:t xml:space="preserve">Examine whether modest narrative visibility reflects deliberate IP protection or uncommunicated internal deployment.</w:t>
            </w:r>
          </w:p>
        </w:tc>
        <w:tc>
          <w:tcPr/>
          <w:p>
            <w:pPr>
              <w:pStyle w:val="Compact"/>
              <w:spacing w:before="8" w:after="8" w:line="240" w:lineRule="auto"/>
              <w:ind w:firstLine="0" w:left="0" w:right="0"/>
              <w:jc w:val="left"/>
              <w:jc w:val="center"/>
            </w:pPr>
            <w:r>
              <w:rPr>
                <w:rFonts w:ascii="Calibri" w:hAnsi="Calibri"/>
                <w:sz w:val="15"/>
              </w:rPr>
              <w:t xml:space="preserve">Verify whether deep technical grounding in risk factors translates into deployed production systems across business units.</w:t>
            </w:r>
          </w:p>
        </w:tc>
        <w:tc>
          <w:tcPr/>
          <w:p>
            <w:pPr>
              <w:pStyle w:val="Compact"/>
              <w:spacing w:before="8" w:after="8" w:line="240" w:lineRule="auto"/>
              <w:ind w:firstLine="0" w:left="0" w:right="0"/>
              <w:jc w:val="left"/>
              <w:jc w:val="center"/>
            </w:pPr>
            <w:r>
              <w:rPr>
                <w:rFonts w:ascii="Calibri" w:hAnsi="Calibri"/>
                <w:sz w:val="15"/>
              </w:rPr>
              <w:t xml:space="preserve">Validate cross-venue alignment, then verify the material initiatives against adoption and contribution evidence.</w:t>
            </w:r>
          </w:p>
        </w:tc>
        <w:tc>
          <w:tcPr/>
          <w:p>
            <w:pPr>
              <w:pStyle w:val="Compact"/>
              <w:spacing w:before="8" w:after="8" w:line="240" w:lineRule="auto"/>
              <w:ind w:firstLine="0" w:left="0" w:right="0"/>
              <w:jc w:val="left"/>
              <w:jc w:val="center"/>
            </w:pPr>
            <w:r>
              <w:rPr>
                <w:rFonts w:ascii="Calibri" w:hAnsi="Calibri"/>
                <w:sz w:val="15"/>
              </w:rPr>
              <w:t xml:space="preserve">Review whether governance-framed privacy claims are anchored by concrete system architecture before treating them as documented.</w:t>
            </w:r>
          </w:p>
        </w:tc>
        <w:tc>
          <w:tcPr/>
          <w:p>
            <w:pPr>
              <w:pStyle w:val="Compact"/>
              <w:spacing w:before="8" w:after="8" w:line="240" w:lineRule="auto"/>
              <w:ind w:firstLine="0" w:left="0" w:right="0"/>
              <w:jc w:val="left"/>
              <w:jc w:val="center"/>
            </w:pPr>
            <w:r>
              <w:rPr>
                <w:rFonts w:ascii="Calibri" w:hAnsi="Calibri"/>
                <w:sz w:val="15"/>
              </w:rPr>
              <w:t xml:space="preserve">Reconcile oral conference-call claims against statutory 10-K disclosures to resolve cross-venue divergence.</w:t>
            </w:r>
          </w:p>
        </w:tc>
      </w:tr>
    </w:tbl>
    <w:bookmarkEnd w:id="90"/>
    <w:p>
      <w:pPr>
        <w:pStyle w:val="FigureNote"/>
        <w:ind w:firstLine="0" w:left="0" w:right="0"/>
        <w:spacing w:before="0" w:after="120"/>
      </w:pPr>
      <w:r>
        <w:rPr>
          <w:i/>
          <w:iCs/>
        </w:rPr>
        <w:t xml:space="preserve">Notes:</w:t>
      </w:r>
      <w:r>
        <w:t xml:space="preserve"> </w:t>
      </w:r>
      <w:r>
        <w:t xml:space="preserve">2024 filing year (Welltower: 2025, covering its FY2024 10-K and the cited call). Percentiles: within-year ranks across S&amp;P 500 constituents. Activity counts include both statutory 10-K filings and voluntary earnings conference calls.</w:t>
      </w:r>
    </w:p>
    <w:p>
      <w:pPr>
        <w:pStyle w:val="Textoindependiente"/>
      </w:pPr>
      <w:r>
        <w:rPr>
          <w:b/>
          <w:bCs/>
        </w:rPr>
        <w:t xml:space="preserve">Microsoft (MSFT).</w:t>
      </w:r>
      <w:r>
        <w:t xml:space="preserve"> </w:t>
      </w:r>
      <w:r>
        <w:t xml:space="preserve">The highest narrative volume in the sample sits with one of the largest disclosed activity inventories and the densest documentary grounding in the corpus (</w:t>
      </w:r>
      <w:hyperlink w:anchor="tbl-firm-comparisons">
        <w:r>
          <w:rPr>
            <w:rStyle w:val="Hipervnculo"/>
          </w:rPr>
          <w:t xml:space="preserve">Table 19</w:t>
        </w:r>
      </w:hyperlink>
      <w:r>
        <w:t xml:space="preserve">), so the gap between talk and substance is close to zero; a volume-only screen would flag Microsoft as a washing risk that the substance does not support. Dense grounding confirms documentary detail, not audited implementation or economic return, so the dilemma is which of the initiatives already carry the expectations built into the price: if the material ones come with adoption and contribution evidence, the case can proceed on them, and if the detail turns out to be descriptive only, that growth has to be reconsidered even though nothing here looks inflated.</w:t>
      </w:r>
    </w:p>
    <w:p>
      <w:pPr>
        <w:pStyle w:val="Textoindependiente"/>
      </w:pPr>
      <w:r>
        <w:rPr>
          <w:b/>
          <w:bCs/>
        </w:rPr>
        <w:t xml:space="preserve">JPMorgan Chase (JPM) and Goldman Sachs (GS).</w:t>
      </w:r>
      <w:r>
        <w:t xml:space="preserve"> </w:t>
      </w:r>
      <w:r>
        <w:t xml:space="preserve">Both rank higher on grounded activity than on narrative volume, giving a negative</w:t>
      </w:r>
      <w:r>
        <w:t xml:space="preserve"> </w:t>
      </w:r>
      <m:oMath>
        <m:r>
          <w:rPr>
            <w:sz w:val="22"/>
          </w:rPr>
          <m:t>W</m:t>
        </m:r>
      </m:oMath>
      <w:r>
        <w:t xml:space="preserve">, and both frame AI through controls rather than through products. A negative</w:t>
      </w:r>
      <w:r>
        <w:t xml:space="preserve"> </w:t>
      </w:r>
      <m:oMath>
        <m:r>
          <w:rPr>
            <w:sz w:val="22"/>
          </w:rPr>
          <m:t>W</m:t>
        </m:r>
      </m:oMath>
      <w:r>
        <w:t xml:space="preserve"> </w:t>
      </w:r>
      <w:r>
        <w:t xml:space="preserve">only places them relative to peers; it does not establish that either firm holds capability it is hiding, and the measure cannot tell whether the quiet disclosure is a competitive choice, a regulatory habit in their sector, or simply unmanaged. The dilemma for an investor comparing them against a louder peer is to ask what is being built that the disclosure does not describe, and treat the answer, not the rank, as the evidence; for a board, it is whether the silence is deliberate, and if it is not, whether it costs anything.</w:t>
      </w:r>
    </w:p>
    <w:p>
      <w:pPr>
        <w:pStyle w:val="Textoindependiente"/>
      </w:pPr>
      <w:r>
        <w:rPr>
          <w:b/>
          <w:bCs/>
        </w:rPr>
        <w:t xml:space="preserve">Apple (AAPL).</w:t>
      </w:r>
      <w:r>
        <w:t xml:space="preserve"> </w:t>
      </w:r>
      <w:r>
        <w:t xml:space="preserve">A governance-oriented posture combines 94th-percentile narrative presence with a positive gap: the privacy framing carries the AI discussion further than the disclosed activity behind it, since a governance commitment and a deployed capability are different claims. The dilemma is whether the capabilities that reach users are described anywhere in the filings, and at what maturity; if the review finds commitments without deployment detail, the disclosure needs the scope and maturity of its strategic claims made explicit, while the alternative, that the capability exists but is simply not filed, needs evidence from outside the filings that cannot be settled here.</w:t>
      </w:r>
    </w:p>
    <w:p>
      <w:pPr>
        <w:pStyle w:val="Textoindependiente"/>
      </w:pPr>
      <w:r>
        <w:rPr>
          <w:b/>
          <w:bCs/>
        </w:rPr>
        <w:t xml:space="preserve">Welltower (WELL).</w:t>
      </w:r>
      <w:r>
        <w:t xml:space="preserve"> </w:t>
      </w:r>
      <w:r>
        <w:t xml:space="preserve">The clearest cross-venue divergence in the sample: the earnings call ran well ahead of the statutory 10-K, and the firm received a direct SEC comment letter (</w:t>
      </w:r>
      <w:hyperlink w:anchor="appendix-d1">
        <w:r>
          <w:rPr>
            <w:rStyle w:val="Hipervnculo"/>
          </w:rPr>
          <w:t xml:space="preserve">Appendix D.1</w:t>
        </w:r>
      </w:hyperlink>
      <w:r>
        <w:t xml:space="preserve">). A difference in detail between two venues is not by itself an inconsistency, since the venues carry different liability and different audiences; what has to be resolved is whether the scope claimed on the call is supported in the filing. The practical answer is to reconcile the prepared remarks against the filing language before the call, which is where the discrepancy was available to anyone reading both, and for a reviewer who finds scope in one venue and not the other to raise it with management rather than draw a conclusion from the gap alone.</w:t>
      </w:r>
    </w:p>
    <w:bookmarkEnd w:id="91"/>
    <w:bookmarkStart w:id="93" w:name="Xb8d86265826c71b87201d458a1eeeaa58f84f7c"/>
    <w:p>
      <w:pPr>
        <w:pStyle w:val="Ttulo2"/>
      </w:pPr>
      <w:r>
        <w:t xml:space="preserve">6.4 Embed the framework in a management and investment process</w:t>
      </w:r>
    </w:p>
    <w:p>
      <w:pPr>
        <w:pStyle w:val="FirstParagraph"/>
      </w:pPr>
      <w:r>
        <w:t xml:space="preserve">For an issuer, disclosure governance means keeping the external communication in line with the role AI really plays inside the business. Where AI is a core differentiator, that means keeping the evidence dense and reporting milestones that can be falsified. Where it is peripheral, it means resisting promotional inflation, which costs credibility with investors long before it attracts a comment letter. Whatever the posture, the draft remarks for a call are worth reconciling with the signed Form 10-K before they are delivered.</w:t>
      </w:r>
    </w:p>
    <w:p>
      <w:pPr>
        <w:pStyle w:val="Textoindependiente"/>
      </w:pPr>
      <w:hyperlink w:anchor="tbl-checklist">
        <w:r>
          <w:rPr>
            <w:rStyle w:val="Hipervnculo"/>
          </w:rPr>
          <w:t xml:space="preserve">Table 20</w:t>
        </w:r>
      </w:hyperlink>
      <w:r>
        <w:t xml:space="preserve"> </w:t>
      </w:r>
      <w:r>
        <w:t xml:space="preserve">turns these rules into five due-diligence standards, for issuers drafting disclosure and for investors reading it. Each dimension already has an institutional or technical antecedent, most directly the named owners, risk-based prioritization and continuous evaluation that AI risk-management guidance sets out</w:t>
      </w:r>
      <w:r>
        <w:t xml:space="preserve"> </w:t>
      </w:r>
      <w:r>
        <w:t xml:space="preserve">(</w:t>
      </w:r>
      <w:hyperlink w:anchor="ref-nist2023">
        <w:r>
          <w:rPr>
            <w:rStyle w:val="Hipervnculo"/>
          </w:rPr>
          <w:t xml:space="preserve">National Institute of Standards and Technology 2023</w:t>
        </w:r>
      </w:hyperlink>
      <w:r>
        <w:t xml:space="preserve">)</w:t>
      </w:r>
      <w:r>
        <w:t xml:space="preserve">; assembling them into one framework tied to the disclosure posture measured here is this thesis’s own contribution.</w:t>
      </w:r>
    </w:p>
    <w:bookmarkStart w:id="94" w:name="tbl-checklist"/>
    <w:p>
      <w:pPr>
        <w:keepNext/>
        <w:pStyle w:val="ImageCaption"/>
        <w:jc w:val="left"/>
        <w:spacing w:before="200"/>
        <w:ind w:firstLine="0" w:left="0" w:right="0"/>
      </w:pPr>
      <w:r>
        <w:t xml:space="preserve">Table 20: The AI Disclosure Credibility Checklist: operational guidance for corporate issuers and investment due diligence.</w:t>
      </w:r>
    </w:p>
    <w:tbl>
      <w:tblPr>
        <w:tblStyle w:val="Table"/>
        <w:tblW w:type="pct" w:w="5000"/>
        <w:jc w:val="center"/>
        <w:tblLayout w:type="fixed"/>
        <w:tblLook w:firstRow="1" w:lastRow="0" w:firstColumn="0" w:lastColumn="0" w:noHBand="0" w:noVBand="0" w:val="0020"/>
        <w:tblBorders>
          <w:top w:val="single" w:sz="8" w:space="0" w:color="0F172A"/>
          <w:bottom w:val="single" w:sz="8" w:space="0" w:color="0F172A"/>
          <w:left w:val="none"/>
          <w:right w:val="none"/>
          <w:insideH w:val="single" w:sz="4" w:space="0" w:color="E2E8F0"/>
          <w:insideV w:val="none"/>
        </w:tblBorders>
        <w:tblCellMar>
          <w:top w:w="26" w:type="dxa"/>
          <w:bottom w:w="26" w:type="dxa"/>
          <w:left w:w="48" w:type="dxa"/>
          <w:right w:w="48" w:type="dxa"/>
        </w:tblCellMar>
      </w:tblPr>
      <w:tblGrid>
        <w:gridCol w:w="2640"/>
        <w:gridCol w:w="2640"/>
        <w:gridCol w:w="2640"/>
      </w:tblGrid>
      <w:tr>
        <w:trPr>
          <w:tblHeader w:val="on"/>
          <w:cantSplit/>
          <w:tblHeader/>
        </w:trPr>
        <w:tc>
          <w:tcPr>
            <w:shd w:fill="F1F5F9"/>
            <w:tcBorders>
              <w:bottom w:val="single" w:sz="8" w:space="0" w:color="475569"/>
            </w:tcBorders>
          </w:tcPr>
          <w:p>
            <w:pPr>
              <w:pStyle w:val="Compact"/>
              <w:keepNext/>
              <w:spacing w:before="8" w:after="8" w:line="240" w:lineRule="auto"/>
              <w:ind w:firstLine="0" w:left="0" w:right="0"/>
              <w:jc w:val="left"/>
            </w:pPr>
            <w:r>
              <w:rPr>
                <w:rFonts w:ascii="Calibri" w:hAnsi="Calibri"/>
                <w:b/>
                <w:color w:val="0F172A"/>
                <w:sz w:val="16"/>
              </w:rPr>
              <w:t xml:space="preserve">Dimension</w:t>
            </w:r>
          </w:p>
        </w:tc>
        <w:tc>
          <w:tcPr>
            <w:shd w:fill="F1F5F9"/>
            <w:tcBorders>
              <w:bottom w:val="single" w:sz="8" w:space="0" w:color="475569"/>
            </w:tcBorders>
          </w:tcPr>
          <w:p>
            <w:pPr>
              <w:pStyle w:val="Compact"/>
              <w:keepNext/>
              <w:spacing w:before="8" w:after="8" w:line="240" w:lineRule="auto"/>
              <w:ind w:firstLine="0" w:left="0" w:right="0"/>
              <w:jc w:val="left"/>
            </w:pPr>
            <w:r>
              <w:rPr>
                <w:rFonts w:ascii="Calibri" w:hAnsi="Calibri"/>
                <w:b/>
                <w:color w:val="0F172A"/>
                <w:sz w:val="16"/>
              </w:rPr>
              <w:t xml:space="preserve">Issuer Implementation Guidance</w:t>
            </w:r>
          </w:p>
        </w:tc>
        <w:tc>
          <w:tcPr>
            <w:shd w:fill="F1F5F9"/>
            <w:tcBorders>
              <w:bottom w:val="single" w:sz="8" w:space="0" w:color="475569"/>
            </w:tcBorders>
          </w:tcPr>
          <w:p>
            <w:pPr>
              <w:pStyle w:val="Compact"/>
              <w:keepNext/>
              <w:spacing w:before="8" w:after="8" w:line="240" w:lineRule="auto"/>
              <w:ind w:firstLine="0" w:left="0" w:right="0"/>
              <w:jc w:val="left"/>
            </w:pPr>
            <w:r>
              <w:rPr>
                <w:rFonts w:ascii="Calibri" w:hAnsi="Calibri"/>
                <w:b/>
                <w:color w:val="0F172A"/>
                <w:sz w:val="16"/>
              </w:rPr>
              <w:t xml:space="preserve">Investor / Due Diligence Read</w:t>
            </w:r>
          </w:p>
        </w:tc>
      </w:tr>
      <w:tr>
        <w:trPr>
          <w:cantSplit/>
        </w:trPr>
        <w:tc>
          <w:tcPr/>
          <w:p>
            <w:pPr>
              <w:pStyle w:val="Compact"/>
              <w:keepNext/>
              <w:spacing w:before="8" w:after="8" w:line="240" w:lineRule="auto"/>
              <w:ind w:firstLine="0" w:left="0" w:right="0"/>
              <w:jc w:val="left"/>
            </w:pPr>
            <w:r>
              <w:rPr>
                <w:rFonts w:ascii="Calibri" w:hAnsi="Calibri"/>
                <w:b/>
                <w:bCs/>
                <w:sz w:val="16"/>
              </w:rPr>
              <w:t xml:space="preserve">0. Communication Posture</w:t>
            </w:r>
          </w:p>
        </w:tc>
        <w:tc>
          <w:tcPr/>
          <w:p>
            <w:pPr>
              <w:pStyle w:val="Compact"/>
              <w:keepNext/>
              <w:spacing w:before="8" w:after="8" w:line="240" w:lineRule="auto"/>
              <w:ind w:firstLine="0" w:left="0" w:right="0"/>
              <w:jc w:val="left"/>
            </w:pPr>
            <w:r>
              <w:rPr>
                <w:rFonts w:ascii="Calibri" w:hAnsi="Calibri"/>
                <w:sz w:val="16"/>
              </w:rPr>
              <w:t xml:space="preserve">Identify which of the three archetypes (Vocal Substantive, Governance-Led, Defensive Discloser) the firm’s register resembles, and calibrate the rest of this checklist to it.</w:t>
            </w:r>
          </w:p>
        </w:tc>
        <w:tc>
          <w:tcPr/>
          <w:p>
            <w:pPr>
              <w:pStyle w:val="Compact"/>
              <w:keepNext/>
              <w:spacing w:before="8" w:after="8" w:line="240" w:lineRule="auto"/>
              <w:ind w:firstLine="0" w:left="0" w:right="0"/>
              <w:jc w:val="left"/>
            </w:pPr>
            <w:r>
              <w:rPr>
                <w:rFonts w:ascii="Calibri" w:hAnsi="Calibri"/>
                <w:sz w:val="16"/>
              </w:rPr>
              <w:t xml:space="preserve">Posture is a prior on style, not on grounding: a Vocal register raises the number of claims to check, it does not certify any of them.</w:t>
            </w:r>
          </w:p>
        </w:tc>
      </w:tr>
      <w:tr>
        <w:trPr>
          <w:cantSplit/>
        </w:trPr>
        <w:tc>
          <w:tcPr/>
          <w:p>
            <w:pPr>
              <w:pStyle w:val="Compact"/>
              <w:keepNext/>
              <w:spacing w:before="8" w:after="8" w:line="240" w:lineRule="auto"/>
              <w:ind w:firstLine="0" w:left="0" w:right="0"/>
              <w:jc w:val="left"/>
            </w:pPr>
            <w:r>
              <w:rPr>
                <w:rFonts w:ascii="Calibri" w:hAnsi="Calibri"/>
                <w:b/>
                <w:bCs/>
                <w:sz w:val="16"/>
              </w:rPr>
              <w:t xml:space="preserve">1. Activity &amp; Maturity</w:t>
            </w:r>
          </w:p>
        </w:tc>
        <w:tc>
          <w:tcPr/>
          <w:p>
            <w:pPr>
              <w:pStyle w:val="Compact"/>
              <w:keepNext/>
              <w:spacing w:before="8" w:after="8" w:line="240" w:lineRule="auto"/>
              <w:ind w:firstLine="0" w:left="0" w:right="0"/>
              <w:jc w:val="left"/>
            </w:pPr>
            <w:r>
              <w:rPr>
                <w:rFonts w:ascii="Calibri" w:hAnsi="Calibri"/>
                <w:sz w:val="16"/>
              </w:rPr>
              <w:t xml:space="preserve">Distinguish exploratory pilots from deployed or scaled production workflows; specify the operational function.</w:t>
            </w:r>
          </w:p>
        </w:tc>
        <w:tc>
          <w:tcPr/>
          <w:p>
            <w:pPr>
              <w:pStyle w:val="Compact"/>
              <w:keepNext/>
              <w:spacing w:before="8" w:after="8" w:line="240" w:lineRule="auto"/>
              <w:ind w:firstLine="0" w:left="0" w:right="0"/>
              <w:jc w:val="left"/>
            </w:pPr>
            <w:r>
              <w:rPr>
                <w:rFonts w:ascii="Calibri" w:hAnsi="Calibri"/>
                <w:sz w:val="16"/>
              </w:rPr>
              <w:t xml:space="preserve">Discount unanchored</w:t>
            </w:r>
            <w:r>
              <w:rPr>
                <w:rFonts w:ascii="Calibri" w:hAnsi="Calibri"/>
                <w:sz w:val="16"/>
              </w:rPr>
              <w:t xml:space="preserve"> </w:t>
            </w:r>
            <w:r>
              <w:rPr>
                <w:rFonts w:ascii="Calibri" w:hAnsi="Calibri"/>
                <w:sz w:val="16"/>
              </w:rPr>
              <w:t xml:space="preserve">“exploring”</w:t>
            </w:r>
            <w:r>
              <w:rPr>
                <w:rFonts w:ascii="Calibri" w:hAnsi="Calibri"/>
                <w:sz w:val="16"/>
              </w:rPr>
              <w:t xml:space="preserve"> </w:t>
            </w:r>
            <w:r>
              <w:rPr>
                <w:rFonts w:ascii="Calibri" w:hAnsi="Calibri"/>
                <w:sz w:val="16"/>
              </w:rPr>
              <w:t xml:space="preserve">statements; verify whether deployment has reached production scale.</w:t>
            </w:r>
          </w:p>
        </w:tc>
      </w:tr>
      <w:tr>
        <w:trPr>
          <w:cantSplit/>
        </w:trPr>
        <w:tc>
          <w:tcPr/>
          <w:p>
            <w:pPr>
              <w:pStyle w:val="Compact"/>
              <w:keepNext/>
              <w:spacing w:before="8" w:after="8" w:line="240" w:lineRule="auto"/>
              <w:ind w:firstLine="0" w:left="0" w:right="0"/>
              <w:jc w:val="left"/>
            </w:pPr>
            <w:r>
              <w:rPr>
                <w:rFonts w:ascii="Calibri" w:hAnsi="Calibri"/>
                <w:b/>
                <w:bCs/>
                <w:sz w:val="16"/>
              </w:rPr>
              <w:t xml:space="preserve">2. Evidentiary Grounding</w:t>
            </w:r>
          </w:p>
        </w:tc>
        <w:tc>
          <w:tcPr/>
          <w:p>
            <w:pPr>
              <w:pStyle w:val="Compact"/>
              <w:keepNext/>
              <w:spacing w:before="8" w:after="8" w:line="240" w:lineRule="auto"/>
              <w:ind w:firstLine="0" w:left="0" w:right="0"/>
              <w:jc w:val="left"/>
            </w:pPr>
            <w:r>
              <w:rPr>
                <w:rFonts w:ascii="Calibri" w:hAnsi="Calibri"/>
                <w:sz w:val="16"/>
              </w:rPr>
              <w:t xml:space="preserve">Anchor claims with named products, proprietary tools, and quantified operational metrics (costs, latency, revenue).</w:t>
            </w:r>
          </w:p>
        </w:tc>
        <w:tc>
          <w:tcPr/>
          <w:p>
            <w:pPr>
              <w:pStyle w:val="Compact"/>
              <w:keepNext/>
              <w:spacing w:before="8" w:after="8" w:line="240" w:lineRule="auto"/>
              <w:ind w:firstLine="0" w:left="0" w:right="0"/>
              <w:jc w:val="left"/>
            </w:pPr>
            <w:r>
              <w:rPr>
                <w:rFonts w:ascii="Calibri" w:hAnsi="Calibri"/>
                <w:sz w:val="16"/>
              </w:rPr>
              <w:t xml:space="preserve">Look for falsifiable metrics; generic buzzwords warrant additional verification rather than being taken as execution.</w:t>
            </w:r>
          </w:p>
        </w:tc>
      </w:tr>
      <w:tr>
        <w:trPr>
          <w:cantSplit/>
        </w:trPr>
        <w:tc>
          <w:tcPr/>
          <w:p>
            <w:pPr>
              <w:pStyle w:val="Compact"/>
              <w:keepNext/>
              <w:spacing w:before="8" w:after="8" w:line="240" w:lineRule="auto"/>
              <w:ind w:firstLine="0" w:left="0" w:right="0"/>
              <w:jc w:val="left"/>
            </w:pPr>
            <w:r>
              <w:rPr>
                <w:rFonts w:ascii="Calibri" w:hAnsi="Calibri"/>
                <w:b/>
                <w:bCs/>
                <w:sz w:val="16"/>
              </w:rPr>
              <w:t xml:space="preserve">3. Technology Provenance</w:t>
            </w:r>
          </w:p>
        </w:tc>
        <w:tc>
          <w:tcPr/>
          <w:p>
            <w:pPr>
              <w:pStyle w:val="Compact"/>
              <w:keepNext/>
              <w:spacing w:before="8" w:after="8" w:line="240" w:lineRule="auto"/>
              <w:ind w:firstLine="0" w:left="0" w:right="0"/>
              <w:jc w:val="left"/>
            </w:pPr>
            <w:r>
              <w:rPr>
                <w:rFonts w:ascii="Calibri" w:hAnsi="Calibri"/>
                <w:sz w:val="16"/>
              </w:rPr>
              <w:t xml:space="preserve">Disclose solution origin: in-house proprietary, commercial vendor licensed, or co-developed partnership.</w:t>
            </w:r>
          </w:p>
        </w:tc>
        <w:tc>
          <w:tcPr/>
          <w:p>
            <w:pPr>
              <w:pStyle w:val="Compact"/>
              <w:keepNext/>
              <w:spacing w:before="8" w:after="8" w:line="240" w:lineRule="auto"/>
              <w:ind w:firstLine="0" w:left="0" w:right="0"/>
              <w:jc w:val="left"/>
            </w:pPr>
            <w:r>
              <w:rPr>
                <w:rFonts w:ascii="Calibri" w:hAnsi="Calibri"/>
                <w:sz w:val="16"/>
              </w:rPr>
              <w:t xml:space="preserve">Check vendor dependence; unstated provenance concentrates in the least grounded corporate claims.</w:t>
            </w:r>
          </w:p>
        </w:tc>
      </w:tr>
      <w:tr>
        <w:trPr>
          <w:cantSplit/>
        </w:trPr>
        <w:tc>
          <w:tcPr/>
          <w:p>
            <w:pPr>
              <w:pStyle w:val="Compact"/>
              <w:keepNext/>
              <w:spacing w:before="8" w:after="8" w:line="240" w:lineRule="auto"/>
              <w:ind w:firstLine="0" w:left="0" w:right="0"/>
              <w:jc w:val="left"/>
            </w:pPr>
            <w:r>
              <w:rPr>
                <w:rFonts w:ascii="Calibri" w:hAnsi="Calibri"/>
                <w:b/>
                <w:bCs/>
                <w:sz w:val="16"/>
              </w:rPr>
              <w:t xml:space="preserve">4. Cross-Venue Consistency</w:t>
            </w:r>
          </w:p>
        </w:tc>
        <w:tc>
          <w:tcPr/>
          <w:p>
            <w:pPr>
              <w:pStyle w:val="Compact"/>
              <w:keepNext/>
              <w:spacing w:before="8" w:after="8" w:line="240" w:lineRule="auto"/>
              <w:ind w:firstLine="0" w:left="0" w:right="0"/>
              <w:jc w:val="left"/>
            </w:pPr>
            <w:r>
              <w:rPr>
                <w:rFonts w:ascii="Calibri" w:hAnsi="Calibri"/>
                <w:sz w:val="16"/>
              </w:rPr>
              <w:t xml:space="preserve">Reconcile voluntary conference-call remarks against signed Form 10-K filings under statutory legal liability.</w:t>
            </w:r>
          </w:p>
        </w:tc>
        <w:tc>
          <w:tcPr/>
          <w:p>
            <w:pPr>
              <w:pStyle w:val="Compact"/>
              <w:keepNext/>
              <w:spacing w:before="8" w:after="8" w:line="240" w:lineRule="auto"/>
              <w:ind w:firstLine="0" w:left="0" w:right="0"/>
              <w:jc w:val="left"/>
            </w:pPr>
            <w:r>
              <w:rPr>
                <w:rFonts w:ascii="Calibri" w:hAnsi="Calibri"/>
                <w:sz w:val="16"/>
              </w:rPr>
              <w:t xml:space="preserve">Scrutinize promotional claims that carry less evidence in the 10-K than on the call; the divergence is a diligence flag worth raising with management.</w:t>
            </w:r>
          </w:p>
        </w:tc>
      </w:tr>
      <w:tr>
        <w:trPr>
          <w:cantSplit/>
        </w:trPr>
        <w:tc>
          <w:tcPr/>
          <w:p>
            <w:pPr>
              <w:pStyle w:val="Compact"/>
              <w:spacing w:before="8" w:after="8" w:line="240" w:lineRule="auto"/>
              <w:ind w:firstLine="0" w:left="0" w:right="0"/>
              <w:jc w:val="left"/>
            </w:pPr>
            <w:r>
              <w:rPr>
                <w:rFonts w:ascii="Calibri" w:hAnsi="Calibri"/>
                <w:b/>
                <w:bCs/>
                <w:sz w:val="16"/>
              </w:rPr>
              <w:t xml:space="preserve">5. Supervision &amp; Governance</w:t>
            </w:r>
          </w:p>
        </w:tc>
        <w:tc>
          <w:tcPr/>
          <w:p>
            <w:pPr>
              <w:pStyle w:val="Compact"/>
              <w:spacing w:before="8" w:after="8" w:line="240" w:lineRule="auto"/>
              <w:ind w:firstLine="0" w:left="0" w:right="0"/>
              <w:jc w:val="left"/>
            </w:pPr>
            <w:r>
              <w:rPr>
                <w:rFonts w:ascii="Calibri" w:hAnsi="Calibri"/>
                <w:sz w:val="16"/>
              </w:rPr>
              <w:t xml:space="preserve">Institutionalize board and audit committee oversight of AI risk in proxy statements (DEF 14A) and Item 10; define accountable owners and supervisory scope.</w:t>
            </w:r>
          </w:p>
        </w:tc>
        <w:tc>
          <w:tcPr/>
          <w:p>
            <w:pPr>
              <w:pStyle w:val="Compact"/>
              <w:spacing w:before="8" w:after="8" w:line="240" w:lineRule="auto"/>
              <w:ind w:firstLine="0" w:left="0" w:right="0"/>
              <w:jc w:val="left"/>
            </w:pPr>
            <w:r>
              <w:rPr>
                <w:rFonts w:ascii="Calibri" w:hAnsi="Calibri"/>
                <w:sz w:val="16"/>
              </w:rPr>
              <w:t xml:space="preserve">Are accountable owners, supervisory controls, and governance scope clearly identified?</w:t>
            </w:r>
          </w:p>
        </w:tc>
      </w:tr>
    </w:tbl>
    <w:bookmarkEnd w:id="92"/>
    <w:p/>
    <w:p>
      <w:pPr>
        <w:pStyle w:val="Textoindependiente"/>
      </w:pPr>
      <w:r>
        <w:t xml:space="preserve">Each line of the checklist puts a diagnostic question next to the action it implies. Behind it sits the artefact that makes the review repeatable: a register of the material claims, close in spirit to a supplier’s declaration of conformity for an AI service</w:t>
      </w:r>
      <w:r>
        <w:t xml:space="preserve"> </w:t>
      </w:r>
      <w:r>
        <w:t xml:space="preserve">(</w:t>
      </w:r>
      <w:hyperlink w:anchor="ref-arnold2019">
        <w:r>
          <w:rPr>
            <w:rStyle w:val="Hipervnculo"/>
          </w:rPr>
          <w:t xml:space="preserve">Arnold et al. 2019</w:t>
        </w:r>
      </w:hyperlink>
      <w:r>
        <w:t xml:space="preserve">)</w:t>
      </w:r>
      <w:r>
        <w:t xml:space="preserve">, holding for each one the claim, its source and date, the initiative it refers to, the maturity of that initiative, the evidence available, the limitations of that evidence akin to a model card’s declared intended use and evaluation limits</w:t>
      </w:r>
      <w:r>
        <w:t xml:space="preserve"> </w:t>
      </w:r>
      <w:r>
        <w:t xml:space="preserve">(</w:t>
      </w:r>
      <w:hyperlink w:anchor="ref-mitchell2019">
        <w:r>
          <w:rPr>
            <w:rStyle w:val="Hipervnculo"/>
          </w:rPr>
          <w:t xml:space="preserve">Mitchell et al. 2019</w:t>
        </w:r>
      </w:hyperlink>
      <w:r>
        <w:t xml:space="preserve">)</w:t>
      </w:r>
      <w:r>
        <w:t xml:space="preserve">, an accountable owner and the date of the next review. That register is what makes the review repeatable.</w:t>
      </w:r>
    </w:p>
    <w:p>
      <w:pPr>
        <w:pStyle w:val="Textoindependiente"/>
      </w:pPr>
      <w:r>
        <w:t xml:space="preserve">The two sides run the same register differently (</w:t>
      </w:r>
      <w:hyperlink w:anchor="tbl-process-roles">
        <w:r>
          <w:rPr>
            <w:rStyle w:val="Hipervnculo"/>
          </w:rPr>
          <w:t xml:space="preserve">Table 21</w:t>
        </w:r>
      </w:hyperlink>
      <w:r>
        <w:t xml:space="preserve">).</w:t>
      </w:r>
    </w:p>
    <w:bookmarkStart w:id="95" w:name="tbl-process-roles"/>
    <w:p>
      <w:pPr>
        <w:keepNext/>
        <w:pStyle w:val="ImageCaption"/>
        <w:jc w:val="left"/>
        <w:spacing w:before="200"/>
        <w:ind w:firstLine="0" w:left="0" w:right="0"/>
      </w:pPr>
      <w:r>
        <w:t xml:space="preserve">Table 21: The same register, from either side of the market.</w:t>
      </w:r>
    </w:p>
    <w:tbl>
      <w:tblPr>
        <w:tblStyle w:val="Table"/>
        <w:tblW w:type="pct" w:w="5000"/>
        <w:jc w:val="center"/>
        <w:tblLayout w:type="fixed"/>
        <w:tblLook w:firstRow="1" w:lastRow="0" w:firstColumn="0" w:lastColumn="0" w:noHBand="0" w:noVBand="0" w:val="0020"/>
        <w:tblBorders>
          <w:top w:val="single" w:sz="8" w:space="0" w:color="0F172A"/>
          <w:bottom w:val="single" w:sz="8" w:space="0" w:color="0F172A"/>
          <w:left w:val="none"/>
          <w:right w:val="none"/>
          <w:insideH w:val="single" w:sz="4" w:space="0" w:color="E2E8F0"/>
          <w:insideV w:val="none"/>
        </w:tblBorders>
        <w:tblCellMar>
          <w:top w:w="26" w:type="dxa"/>
          <w:bottom w:w="26" w:type="dxa"/>
          <w:left w:w="48" w:type="dxa"/>
          <w:right w:w="48" w:type="dxa"/>
        </w:tblCellMar>
      </w:tblPr>
      <w:tblGrid>
        <w:gridCol w:w="1980"/>
        <w:gridCol w:w="1980"/>
        <w:gridCol w:w="1980"/>
        <w:gridCol w:w="1980"/>
      </w:tblGrid>
      <w:tr>
        <w:trPr>
          <w:tblHeader w:val="on"/>
          <w:cantSplit/>
          <w:tblHeader/>
        </w:trPr>
        <w:tc>
          <w:tcPr>
            <w:shd w:fill="F1F5F9"/>
            <w:tcBorders>
              <w:bottom w:val="single" w:sz="8" w:space="0" w:color="475569"/>
            </w:tcBorders>
          </w:tcPr>
          <w:p>
            <w:pPr>
              <w:pStyle w:val="Compact"/>
              <w:keepNext/>
              <w:spacing w:before="8" w:after="8" w:line="240" w:lineRule="auto"/>
              <w:ind w:firstLine="0" w:left="0" w:right="0"/>
              <w:jc w:val="left"/>
            </w:pP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6"/>
              </w:rPr>
              <w:t xml:space="preserve">Input</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6"/>
              </w:rPr>
              <w:t xml:space="preserve">Work</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6"/>
              </w:rPr>
              <w:t xml:space="preserve">Output</w:t>
            </w:r>
          </w:p>
        </w:tc>
      </w:tr>
      <w:tr>
        <w:trPr>
          <w:cantSplit/>
        </w:trPr>
        <w:tc>
          <w:tcPr/>
          <w:p>
            <w:pPr>
              <w:pStyle w:val="Compact"/>
              <w:keepNext/>
              <w:spacing w:before="8" w:after="8" w:line="240" w:lineRule="auto"/>
              <w:ind w:firstLine="0" w:left="0" w:right="0"/>
              <w:jc w:val="left"/>
              <w:jc w:val="center"/>
            </w:pPr>
            <w:r>
              <w:rPr>
                <w:rFonts w:ascii="Calibri" w:hAnsi="Calibri"/>
                <w:b/>
                <w:bCs/>
                <w:sz w:val="16"/>
              </w:rPr>
              <w:t xml:space="preserve">Management and board</w:t>
            </w:r>
          </w:p>
        </w:tc>
        <w:tc>
          <w:tcPr/>
          <w:p>
            <w:pPr>
              <w:pStyle w:val="Compact"/>
              <w:keepNext/>
              <w:spacing w:before="8" w:after="8" w:line="240" w:lineRule="auto"/>
              <w:ind w:firstLine="0" w:left="0" w:right="0"/>
              <w:jc w:val="left"/>
              <w:jc w:val="center"/>
            </w:pPr>
            <w:r>
              <w:rPr>
                <w:rFonts w:ascii="Calibri" w:hAnsi="Calibri"/>
                <w:sz w:val="16"/>
              </w:rPr>
              <w:t xml:space="preserve">Internal inventory of initiatives; drafts of what is about to be communicated.</w:t>
            </w:r>
          </w:p>
        </w:tc>
        <w:tc>
          <w:tcPr/>
          <w:p>
            <w:pPr>
              <w:pStyle w:val="Compact"/>
              <w:keepNext/>
              <w:spacing w:before="8" w:after="8" w:line="240" w:lineRule="auto"/>
              <w:ind w:firstLine="0" w:left="0" w:right="0"/>
              <w:jc w:val="left"/>
              <w:jc w:val="center"/>
            </w:pPr>
            <w:r>
              <w:rPr>
                <w:rFonts w:ascii="Calibri" w:hAnsi="Calibri"/>
                <w:sz w:val="16"/>
              </w:rPr>
              <w:t xml:space="preserve">Test each claim against execution, evidence and business priority.</w:t>
            </w:r>
          </w:p>
        </w:tc>
        <w:tc>
          <w:tcPr/>
          <w:p>
            <w:pPr>
              <w:pStyle w:val="Compact"/>
              <w:keepNext/>
              <w:spacing w:before="8" w:after="8" w:line="240" w:lineRule="auto"/>
              <w:ind w:firstLine="0" w:left="0" w:right="0"/>
              <w:jc w:val="left"/>
              <w:jc w:val="center"/>
            </w:pPr>
            <w:r>
              <w:rPr>
                <w:rFonts w:ascii="Calibri" w:hAnsi="Calibri"/>
                <w:sz w:val="16"/>
              </w:rPr>
              <w:t xml:space="preserve">Corrections, measurement gaps to close, and the decisions that need review before the claim goes out.</w:t>
            </w:r>
          </w:p>
        </w:tc>
      </w:tr>
      <w:tr>
        <w:trPr>
          <w:cantSplit/>
        </w:trPr>
        <w:tc>
          <w:tcPr/>
          <w:p>
            <w:pPr>
              <w:pStyle w:val="Compact"/>
              <w:spacing w:before="8" w:after="8" w:line="240" w:lineRule="auto"/>
              <w:ind w:firstLine="0" w:left="0" w:right="0"/>
              <w:jc w:val="left"/>
              <w:jc w:val="center"/>
            </w:pPr>
            <w:r>
              <w:rPr>
                <w:rFonts w:ascii="Calibri" w:hAnsi="Calibri"/>
                <w:b/>
                <w:bCs/>
                <w:sz w:val="16"/>
              </w:rPr>
              <w:t xml:space="preserve">Investor and analyst</w:t>
            </w:r>
          </w:p>
        </w:tc>
        <w:tc>
          <w:tcPr/>
          <w:p>
            <w:pPr>
              <w:pStyle w:val="Compact"/>
              <w:spacing w:before="8" w:after="8" w:line="240" w:lineRule="auto"/>
              <w:ind w:firstLine="0" w:left="0" w:right="0"/>
              <w:jc w:val="left"/>
              <w:jc w:val="center"/>
            </w:pPr>
            <w:r>
              <w:rPr>
                <w:rFonts w:ascii="Calibri" w:hAnsi="Calibri"/>
                <w:sz w:val="16"/>
              </w:rPr>
              <w:t xml:space="preserve">Public filings and calls, plus whatever access the relationship allows.</w:t>
            </w:r>
          </w:p>
        </w:tc>
        <w:tc>
          <w:tcPr/>
          <w:p>
            <w:pPr>
              <w:pStyle w:val="Compact"/>
              <w:spacing w:before="8" w:after="8" w:line="240" w:lineRule="auto"/>
              <w:ind w:firstLine="0" w:left="0" w:right="0"/>
              <w:jc w:val="left"/>
              <w:jc w:val="center"/>
            </w:pPr>
            <w:r>
              <w:rPr>
                <w:rFonts w:ascii="Calibri" w:hAnsi="Calibri"/>
                <w:sz w:val="16"/>
              </w:rPr>
              <w:t xml:space="preserve">Rank the claims by materiality, put the questions, verify the answers.</w:t>
            </w:r>
          </w:p>
        </w:tc>
        <w:tc>
          <w:tcPr/>
          <w:p>
            <w:pPr>
              <w:pStyle w:val="Compact"/>
              <w:spacing w:before="8" w:after="8" w:line="240" w:lineRule="auto"/>
              <w:ind w:firstLine="0" w:left="0" w:right="0"/>
              <w:jc w:val="left"/>
              <w:jc w:val="center"/>
            </w:pPr>
            <w:r>
              <w:rPr>
                <w:rFonts w:ascii="Calibri" w:hAnsi="Calibri"/>
                <w:sz w:val="16"/>
              </w:rPr>
              <w:t xml:space="preserve">Assumptions confirmed, still open, or dropped from the thesis.</w:t>
            </w:r>
          </w:p>
        </w:tc>
      </w:tr>
    </w:tbl>
    <w:bookmarkEnd w:id="93"/>
    <w:p/>
    <w:p>
      <w:pPr>
        <w:pStyle w:val="Textoindependiente"/>
      </w:pPr>
      <w:r>
        <w:t xml:space="preserve">The register needs owners, or it is written once. In a listed issuer, communications or investor relations coordinates it, the owner of each initiative confirms the facts, and finance validates any economic metric that appears in a claim; it is reviewed before a significant publication and whenever something material changes. In a startup those roles collapse onto the founders, which is workable as long as the confirming step stays separate from the drafting one.</w:t>
      </w:r>
    </w:p>
    <w:p>
      <w:pPr>
        <w:pStyle w:val="Textoindependiente"/>
      </w:pPr>
      <w:r>
        <w:t xml:space="preserve">Two rules keep the register honest. First,</w:t>
      </w:r>
      <w:r>
        <w:t xml:space="preserve"> </w:t>
      </w:r>
      <m:oMath>
        <m:r>
          <w:rPr>
            <w:sz w:val="22"/>
          </w:rPr>
          <m:t>W</m:t>
        </m:r>
      </m:oMath>
      <w:r>
        <w:t xml:space="preserve"> </w:t>
      </w:r>
      <w:r>
        <w:t xml:space="preserve">is a relative position and not a performance target: a firm can improve its rank because peers got noisier, so internal progress has to be tracked against evidence and stated commitments rather than against the ranking. Second, the framework organises documentary uncertainty and stops there. The decision itself still needs the economic, technical and strategic analysis that this framework does not perform.</w:t>
      </w:r>
    </w:p>
    <w:bookmarkEnd w:id="94"/>
    <w:bookmarkStart w:id="96" w:name="X69c30f41f2fe1044d17e66ba6f0e4ebe9167bbb"/>
    <w:p>
      <w:pPr>
        <w:pStyle w:val="Ttulo2"/>
      </w:pPr>
      <w:r>
        <w:t xml:space="preserve">6.5 Adapt the framework to private companies and early-stage ventures</w:t>
      </w:r>
    </w:p>
    <w:p>
      <w:pPr>
        <w:pStyle w:val="FirstParagraph"/>
      </w:pPr>
      <w:r>
        <w:t xml:space="preserve">Everything estimated here comes from the S&amp;P 500, where filings are mandatory, standardised and comparable. None of that holds for a private company, and less of it holds for a startup. What transfers is the logic of separating a claim from its evidence and reading one channel against another. What does not transfer is the calibration: the percentiles, the archetypes and the financial associations were fitted on a large-cap public universe and do not carry over.</w:t>
      </w:r>
    </w:p>
    <w:p>
      <w:pPr>
        <w:pStyle w:val="Textoindependiente"/>
      </w:pPr>
      <w:hyperlink w:anchor="tbl-private-adaptation">
        <w:r>
          <w:rPr>
            <w:rStyle w:val="Hipervnculo"/>
          </w:rPr>
          <w:t xml:space="preserve">Table 22</w:t>
        </w:r>
      </w:hyperlink>
      <w:r>
        <w:t xml:space="preserve"> </w:t>
      </w:r>
      <w:r>
        <w:t xml:space="preserve">sets out what changes.</w:t>
      </w:r>
    </w:p>
    <w:bookmarkStart w:id="97" w:name="tbl-private-adaptation"/>
    <w:p>
      <w:pPr>
        <w:keepNext/>
        <w:pStyle w:val="ImageCaption"/>
        <w:jc w:val="left"/>
        <w:spacing w:before="200"/>
        <w:ind w:firstLine="0" w:left="0" w:right="0"/>
      </w:pPr>
      <w:r>
        <w:t xml:space="preserve">Table 22: What transfers to private and early-stage settings, and what has to be replaced.</w:t>
      </w:r>
    </w:p>
    <w:tbl>
      <w:tblPr>
        <w:tblStyle w:val="Table"/>
        <w:tblW w:type="pct" w:w="5000"/>
        <w:jc w:val="center"/>
        <w:tblLayout w:type="fixed"/>
        <w:tblLook w:firstRow="1" w:lastRow="0" w:firstColumn="0" w:lastColumn="0" w:noHBand="0" w:noVBand="0" w:val="0020"/>
        <w:tblBorders>
          <w:top w:val="single" w:sz="8" w:space="0" w:color="0F172A"/>
          <w:bottom w:val="single" w:sz="8" w:space="0" w:color="0F172A"/>
          <w:left w:val="none"/>
          <w:right w:val="none"/>
          <w:insideH w:val="single" w:sz="4" w:space="0" w:color="E2E8F0"/>
          <w:insideV w:val="none"/>
        </w:tblBorders>
        <w:tblCellMar>
          <w:top w:w="26" w:type="dxa"/>
          <w:bottom w:w="26" w:type="dxa"/>
          <w:left w:w="48" w:type="dxa"/>
          <w:right w:w="48" w:type="dxa"/>
        </w:tblCellMar>
      </w:tblPr>
      <w:tblGrid>
        <w:gridCol w:w="2640"/>
        <w:gridCol w:w="2640"/>
        <w:gridCol w:w="2640"/>
      </w:tblGrid>
      <w:tr>
        <w:trPr>
          <w:tblHeader w:val="on"/>
          <w:cantSplit/>
          <w:tblHeader/>
        </w:trPr>
        <w:tc>
          <w:tcPr>
            <w:shd w:fill="F1F5F9"/>
            <w:tcBorders>
              <w:bottom w:val="single" w:sz="8" w:space="0" w:color="475569"/>
            </w:tcBorders>
          </w:tcPr>
          <w:p>
            <w:pPr>
              <w:pStyle w:val="Compact"/>
              <w:keepNext/>
              <w:spacing w:before="8" w:after="8" w:line="240" w:lineRule="auto"/>
              <w:ind w:firstLine="0" w:left="0" w:right="0"/>
              <w:jc w:val="left"/>
            </w:pP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6"/>
              </w:rPr>
              <w:t xml:space="preserve">Established private company</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6"/>
              </w:rPr>
              <w:t xml:space="preserve">Early-stage venture</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Sources</w:t>
            </w:r>
          </w:p>
        </w:tc>
        <w:tc>
          <w:tcPr/>
          <w:p>
            <w:pPr>
              <w:pStyle w:val="Compact"/>
              <w:keepNext/>
              <w:spacing w:before="8" w:after="8" w:line="240" w:lineRule="auto"/>
              <w:ind w:firstLine="0" w:left="0" w:right="0"/>
              <w:jc w:val="left"/>
              <w:jc w:val="center"/>
            </w:pPr>
            <w:r>
              <w:rPr>
                <w:rFonts w:ascii="Calibri" w:hAnsi="Calibri"/>
                <w:sz w:val="16"/>
              </w:rPr>
              <w:t xml:space="preserve">Partner and board reporting, commercial proposals, the website, the data room.</w:t>
            </w:r>
          </w:p>
        </w:tc>
        <w:tc>
          <w:tcPr/>
          <w:p>
            <w:pPr>
              <w:pStyle w:val="Compact"/>
              <w:keepNext/>
              <w:spacing w:before="8" w:after="8" w:line="240" w:lineRule="auto"/>
              <w:ind w:firstLine="0" w:left="0" w:right="0"/>
              <w:jc w:val="left"/>
              <w:jc w:val="center"/>
            </w:pPr>
            <w:r>
              <w:rPr>
                <w:rFonts w:ascii="Calibri" w:hAnsi="Calibri"/>
                <w:sz w:val="16"/>
              </w:rPr>
              <w:t xml:space="preserve">Pitch deck, demo, pilots, contracts, investor updates.</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Reading across channels</w:t>
            </w:r>
          </w:p>
        </w:tc>
        <w:tc>
          <w:tcPr/>
          <w:p>
            <w:pPr>
              <w:pStyle w:val="Compact"/>
              <w:keepNext/>
              <w:spacing w:before="8" w:after="8" w:line="240" w:lineRule="auto"/>
              <w:ind w:firstLine="0" w:left="0" w:right="0"/>
              <w:jc w:val="left"/>
              <w:jc w:val="center"/>
            </w:pPr>
            <w:r>
              <w:rPr>
                <w:rFonts w:ascii="Calibri" w:hAnsi="Calibri"/>
                <w:sz w:val="16"/>
              </w:rPr>
              <w:t xml:space="preserve">External promises against internal reporting and contractual commitments.</w:t>
            </w:r>
          </w:p>
        </w:tc>
        <w:tc>
          <w:tcPr/>
          <w:p>
            <w:pPr>
              <w:pStyle w:val="Compact"/>
              <w:keepNext/>
              <w:spacing w:before="8" w:after="8" w:line="240" w:lineRule="auto"/>
              <w:ind w:firstLine="0" w:left="0" w:right="0"/>
              <w:jc w:val="left"/>
              <w:jc w:val="center"/>
            </w:pPr>
            <w:r>
              <w:rPr>
                <w:rFonts w:ascii="Calibri" w:hAnsi="Calibri"/>
                <w:sz w:val="16"/>
              </w:rPr>
              <w:t xml:space="preserve">Commercial promise against demonstrated capability and the conditions of the trial.</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Relevant evidence</w:t>
            </w:r>
          </w:p>
        </w:tc>
        <w:tc>
          <w:tcPr/>
          <w:p>
            <w:pPr>
              <w:pStyle w:val="Compact"/>
              <w:keepNext/>
              <w:spacing w:before="8" w:after="8" w:line="240" w:lineRule="auto"/>
              <w:ind w:firstLine="0" w:left="0" w:right="0"/>
              <w:jc w:val="left"/>
              <w:jc w:val="center"/>
            </w:pPr>
            <w:r>
              <w:rPr>
                <w:rFonts w:ascii="Calibri" w:hAnsi="Calibri"/>
                <w:sz w:val="16"/>
              </w:rPr>
              <w:t xml:space="preserve">Deployment, usage, results, cost, controls.</w:t>
            </w:r>
          </w:p>
        </w:tc>
        <w:tc>
          <w:tcPr/>
          <w:p>
            <w:pPr>
              <w:pStyle w:val="Compact"/>
              <w:keepNext/>
              <w:spacing w:before="8" w:after="8" w:line="240" w:lineRule="auto"/>
              <w:ind w:firstLine="0" w:left="0" w:right="0"/>
              <w:jc w:val="left"/>
              <w:jc w:val="center"/>
            </w:pPr>
            <w:r>
              <w:rPr>
                <w:rFonts w:ascii="Calibri" w:hAnsi="Calibri"/>
                <w:sz w:val="16"/>
              </w:rPr>
              <w:t xml:space="preserve">Evidence appropriate to the stage: hypothesis, prototype, pilot, commercial use.</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Benchmark</w:t>
            </w:r>
          </w:p>
        </w:tc>
        <w:tc>
          <w:tcPr/>
          <w:p>
            <w:pPr>
              <w:pStyle w:val="Compact"/>
              <w:keepNext/>
              <w:spacing w:before="8" w:after="8" w:line="240" w:lineRule="auto"/>
              <w:ind w:firstLine="0" w:left="0" w:right="0"/>
              <w:jc w:val="left"/>
              <w:jc w:val="center"/>
            </w:pPr>
            <w:r>
              <w:rPr>
                <w:rFonts w:ascii="Calibri" w:hAnsi="Calibri"/>
                <w:sz w:val="16"/>
              </w:rPr>
              <w:t xml:space="preserve">Comparable peers, where enough of them exist.</w:t>
            </w:r>
          </w:p>
        </w:tc>
        <w:tc>
          <w:tcPr/>
          <w:p>
            <w:pPr>
              <w:pStyle w:val="Compact"/>
              <w:keepNext/>
              <w:spacing w:before="8" w:after="8" w:line="240" w:lineRule="auto"/>
              <w:ind w:firstLine="0" w:left="0" w:right="0"/>
              <w:jc w:val="left"/>
              <w:jc w:val="center"/>
            </w:pPr>
            <w:r>
              <w:rPr>
                <w:rFonts w:ascii="Calibri" w:hAnsi="Calibri"/>
                <w:sz w:val="16"/>
              </w:rPr>
              <w:t xml:space="preserve">Track milestones instead; a ranking over a small heterogeneous universe means little.</w:t>
            </w:r>
          </w:p>
        </w:tc>
      </w:tr>
      <w:tr>
        <w:trPr>
          <w:cantSplit/>
        </w:trPr>
        <w:tc>
          <w:tcPr/>
          <w:p>
            <w:pPr>
              <w:pStyle w:val="Compact"/>
              <w:spacing w:before="8" w:after="8" w:line="240" w:lineRule="auto"/>
              <w:ind w:firstLine="0" w:left="0" w:right="0"/>
              <w:jc w:val="left"/>
              <w:jc w:val="center"/>
            </w:pPr>
            <w:r>
              <w:rPr>
                <w:rFonts w:ascii="Calibri" w:hAnsi="Calibri"/>
                <w:sz w:val="16"/>
              </w:rPr>
              <w:t xml:space="preserve">The decision</w:t>
            </w:r>
          </w:p>
        </w:tc>
        <w:tc>
          <w:tcPr/>
          <w:p>
            <w:pPr>
              <w:pStyle w:val="Compact"/>
              <w:spacing w:before="8" w:after="8" w:line="240" w:lineRule="auto"/>
              <w:ind w:firstLine="0" w:left="0" w:right="0"/>
              <w:jc w:val="left"/>
              <w:jc w:val="center"/>
            </w:pPr>
            <w:r>
              <w:rPr>
                <w:rFonts w:ascii="Calibri" w:hAnsi="Calibri"/>
                <w:sz w:val="16"/>
              </w:rPr>
              <w:t xml:space="preserve">Scale, document, correct, or review the initiative.</w:t>
            </w:r>
          </w:p>
        </w:tc>
        <w:tc>
          <w:tcPr/>
          <w:p>
            <w:pPr>
              <w:pStyle w:val="Compact"/>
              <w:spacing w:before="8" w:after="8" w:line="240" w:lineRule="auto"/>
              <w:ind w:firstLine="0" w:left="0" w:right="0"/>
              <w:jc w:val="left"/>
              <w:jc w:val="center"/>
            </w:pPr>
            <w:r>
              <w:rPr>
                <w:rFonts w:ascii="Calibri" w:hAnsi="Calibri"/>
                <w:sz w:val="16"/>
              </w:rPr>
              <w:t xml:space="preserve">What has to be demonstrated before widening the promise, the deployment or the investment.</w:t>
            </w:r>
          </w:p>
        </w:tc>
      </w:tr>
    </w:tbl>
    <w:bookmarkEnd w:id="95"/>
    <w:p/>
    <w:p>
      <w:pPr>
        <w:pStyle w:val="Textoindependiente"/>
      </w:pPr>
      <w:r>
        <w:t xml:space="preserve">Four things are worth stating for this setting, because the public-market intuitions mislead here. A startup can communicate credibly without profitability or deployment at scale, and holding it to a large-cap evidence standard is a category error. A demo is not production and a pilot is not sustained adoption. Building on someone else’s model does not remove a competitive advantage, so the question is what the firm itself contributes on top. And confidential evidence that has actually been verified belongs in a separate record from public grounding.</w:t>
      </w:r>
    </w:p>
    <w:p>
      <w:pPr>
        <w:pStyle w:val="Textoindependiente"/>
      </w:pPr>
      <w:r>
        <w:t xml:space="preserve">A short hypothetical shows the shape of it. A seed-stage company says its product</w:t>
      </w:r>
      <w:r>
        <w:t xml:space="preserve"> </w:t>
      </w:r>
      <w:r>
        <w:t xml:space="preserve">“uses AI to automate claims processing end to end”</w:t>
      </w:r>
      <w:r>
        <w:t xml:space="preserve">. The register asks what is deployed: one pilot with one insurer, covering the intake step, with a human reviewing every output. The claim is then narrowed to what the evidence supports, an intake automation in pilot with a named partner. The next milestone is a second pilot with the criteria stated in advance, the same discipline a randomized trial of Italian startups found improves entrepreneurial decisions</w:t>
      </w:r>
      <w:r>
        <w:t xml:space="preserve"> </w:t>
      </w:r>
      <w:r>
        <w:t xml:space="preserve">(</w:t>
      </w:r>
      <w:hyperlink w:anchor="ref-camuffo2020">
        <w:r>
          <w:rPr>
            <w:rStyle w:val="Hipervnculo"/>
          </w:rPr>
          <w:t xml:space="preserve">Camuffo et al. 2020</w:t>
        </w:r>
      </w:hyperlink>
      <w:r>
        <w:t xml:space="preserve">)</w:t>
      </w:r>
      <w:r>
        <w:t xml:space="preserve">: what quality threshold the output has to meet, what it costs to run, and how much human review it still takes.</w:t>
      </w:r>
    </w:p>
    <w:p>
      <w:pPr>
        <w:pStyle w:val="Textoindependiente"/>
      </w:pPr>
      <w:r>
        <w:t xml:space="preserve">Across the S&amp;P 500, private companies and early-stage ventures alike, the same six constructs and four stages change specific decisions on both sides of the market.</w:t>
      </w:r>
    </w:p>
    <w:bookmarkEnd w:id="96"/>
    <w:bookmarkStart w:id="98" w:name="Xb521237345dfa72b01f8c30c5d00846dcf08f75"/>
    <w:p>
      <w:pPr>
        <w:pStyle w:val="Ttulo2"/>
      </w:pPr>
      <w:r>
        <w:t xml:space="preserve">6.6 What the findings change for decision-makers</w:t>
      </w:r>
    </w:p>
    <w:p>
      <w:pPr>
        <w:pStyle w:val="FirstParagraph"/>
      </w:pPr>
      <w:r>
        <w:t xml:space="preserve">What the measurements describe is how firms communicate about AI, how far that communication runs ahead of what they document, and which of those differences show up later in market and operating outcomes. The six constructs and the four-stage procedure turn that into a way of reading a single firm: where to look first, what to verify, and what the answer changes. Attention is the scarce input in both disclosure review and due diligence, and redirecting it is what the evidence can do.</w:t>
      </w:r>
      <w:r>
        <w:t xml:space="preserve"> </w:t>
      </w:r>
      <w:hyperlink w:anchor="tbl-decision-bridge">
        <w:r>
          <w:rPr>
            <w:rStyle w:val="Hipervnculo"/>
          </w:rPr>
          <w:t xml:space="preserve">Table 23</w:t>
        </w:r>
      </w:hyperlink>
      <w:r>
        <w:t xml:space="preserve"> </w:t>
      </w:r>
      <w:r>
        <w:t xml:space="preserve">sets out each finding next to the decision it changes on either side of the market.</w:t>
      </w:r>
    </w:p>
    <w:bookmarkStart w:id="99" w:name="tbl-decision-bridge"/>
    <w:p>
      <w:pPr>
        <w:keepNext/>
        <w:pStyle w:val="ImageCaption"/>
        <w:jc w:val="left"/>
        <w:spacing w:before="200"/>
        <w:ind w:firstLine="0" w:left="0" w:right="0"/>
      </w:pPr>
      <w:r>
        <w:t xml:space="preserve">Table 23: What the findings change for the two sides of the market.</w:t>
      </w:r>
    </w:p>
    <w:tbl>
      <w:tblPr>
        <w:tblStyle w:val="Table"/>
        <w:tblW w:type="pct" w:w="5000"/>
        <w:jc w:val="center"/>
        <w:tblLayout w:type="fixed"/>
        <w:tblLook w:firstRow="1" w:lastRow="0" w:firstColumn="0" w:lastColumn="0" w:noHBand="0" w:noVBand="0" w:val="0020"/>
        <w:tblBorders>
          <w:top w:val="single" w:sz="8" w:space="0" w:color="0F172A"/>
          <w:bottom w:val="single" w:sz="8" w:space="0" w:color="0F172A"/>
          <w:left w:val="none"/>
          <w:right w:val="none"/>
          <w:insideH w:val="single" w:sz="4" w:space="0" w:color="E2E8F0"/>
          <w:insideV w:val="none"/>
        </w:tblBorders>
        <w:tblCellMar>
          <w:top w:w="26" w:type="dxa"/>
          <w:bottom w:w="26" w:type="dxa"/>
          <w:left w:w="48" w:type="dxa"/>
          <w:right w:w="48" w:type="dxa"/>
        </w:tblCellMar>
      </w:tblPr>
      <w:tblGrid>
        <w:gridCol w:w="2640"/>
        <w:gridCol w:w="2640"/>
        <w:gridCol w:w="2640"/>
      </w:tblGrid>
      <w:tr>
        <w:trPr>
          <w:tblHeader w:val="on"/>
          <w:cantSplit/>
          <w:tblHeader/>
        </w:trPr>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6"/>
              </w:rPr>
              <w:t xml:space="preserve">What the evidence establishes</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6"/>
              </w:rPr>
              <w:t xml:space="preserve">What changes for an investor</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6"/>
              </w:rPr>
              <w:t xml:space="preserve">What changes for a manager</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Mentioning AI became ordinary.</w:t>
            </w:r>
          </w:p>
        </w:tc>
        <w:tc>
          <w:tcPr/>
          <w:p>
            <w:pPr>
              <w:pStyle w:val="Compact"/>
              <w:keepNext/>
              <w:spacing w:before="8" w:after="8" w:line="240" w:lineRule="auto"/>
              <w:ind w:firstLine="0" w:left="0" w:right="0"/>
              <w:jc w:val="left"/>
              <w:jc w:val="center"/>
            </w:pPr>
            <w:r>
              <w:rPr>
                <w:rFonts w:ascii="Calibri" w:hAnsi="Calibri"/>
                <w:sz w:val="16"/>
              </w:rPr>
              <w:t xml:space="preserve">Presence separates almost nobody; a mention is not a screen.</w:t>
            </w:r>
          </w:p>
        </w:tc>
        <w:tc>
          <w:tcPr/>
          <w:p>
            <w:pPr>
              <w:pStyle w:val="Compact"/>
              <w:keepNext/>
              <w:spacing w:before="8" w:after="8" w:line="240" w:lineRule="auto"/>
              <w:ind w:firstLine="0" w:left="0" w:right="0"/>
              <w:jc w:val="left"/>
              <w:jc w:val="center"/>
            </w:pPr>
            <w:r>
              <w:rPr>
                <w:rFonts w:ascii="Calibri" w:hAnsi="Calibri"/>
                <w:sz w:val="16"/>
              </w:rPr>
              <w:t xml:space="preserve">“We do AI too”</w:t>
            </w:r>
            <w:r>
              <w:rPr>
                <w:rFonts w:ascii="Calibri" w:hAnsi="Calibri"/>
                <w:sz w:val="16"/>
              </w:rPr>
              <w:t xml:space="preserve"> </w:t>
            </w:r>
            <w:r>
              <w:rPr>
                <w:rFonts w:ascii="Calibri" w:hAnsi="Calibri"/>
                <w:sz w:val="16"/>
              </w:rPr>
              <w:t xml:space="preserve">needs a function and a backing to carry any weight.</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Posture and volume are different dimensions.</w:t>
            </w:r>
          </w:p>
        </w:tc>
        <w:tc>
          <w:tcPr/>
          <w:p>
            <w:pPr>
              <w:pStyle w:val="Compact"/>
              <w:keepNext/>
              <w:spacing w:before="8" w:after="8" w:line="240" w:lineRule="auto"/>
              <w:ind w:firstLine="0" w:left="0" w:right="0"/>
              <w:jc w:val="left"/>
              <w:jc w:val="center"/>
            </w:pPr>
            <w:r>
              <w:rPr>
                <w:rFonts w:ascii="Calibri" w:hAnsi="Calibri"/>
                <w:sz w:val="16"/>
              </w:rPr>
              <w:t xml:space="preserve">Compare firms on register and context together with volume, never on frequency alone.</w:t>
            </w:r>
          </w:p>
        </w:tc>
        <w:tc>
          <w:tcPr/>
          <w:p>
            <w:pPr>
              <w:pStyle w:val="Compact"/>
              <w:keepNext/>
              <w:spacing w:before="8" w:after="8" w:line="240" w:lineRule="auto"/>
              <w:ind w:firstLine="0" w:left="0" w:right="0"/>
              <w:jc w:val="left"/>
              <w:jc w:val="center"/>
            </w:pPr>
            <w:r>
              <w:rPr>
                <w:rFonts w:ascii="Calibri" w:hAnsi="Calibri"/>
                <w:sz w:val="16"/>
              </w:rPr>
              <w:t xml:space="preserve">Pick a register that fits the business; no archetype is the winning one.</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Disclosed activity grew while its average grounding thinned.</w:t>
            </w:r>
          </w:p>
        </w:tc>
        <w:tc>
          <w:tcPr/>
          <w:p>
            <w:pPr>
              <w:pStyle w:val="Compact"/>
              <w:keepNext/>
              <w:spacing w:before="8" w:after="8" w:line="240" w:lineRule="auto"/>
              <w:ind w:firstLine="0" w:left="0" w:right="0"/>
              <w:jc w:val="left"/>
              <w:jc w:val="center"/>
            </w:pPr>
            <w:r>
              <w:rPr>
                <w:rFonts w:ascii="Calibri" w:hAnsi="Calibri"/>
                <w:sz w:val="16"/>
              </w:rPr>
              <w:t xml:space="preserve">Check the evidence behind the material initiatives before reading breadth as maturity.</w:t>
            </w:r>
          </w:p>
        </w:tc>
        <w:tc>
          <w:tcPr/>
          <w:p>
            <w:pPr>
              <w:pStyle w:val="Compact"/>
              <w:keepNext/>
              <w:spacing w:before="8" w:after="8" w:line="240" w:lineRule="auto"/>
              <w:ind w:firstLine="0" w:left="0" w:right="0"/>
              <w:jc w:val="left"/>
              <w:jc w:val="center"/>
            </w:pPr>
            <w:r>
              <w:rPr>
                <w:rFonts w:ascii="Calibri" w:hAnsi="Calibri"/>
                <w:sz w:val="16"/>
              </w:rPr>
              <w:t xml:space="preserve">Track progress and outcomes, not the count of announced initiatives.</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Promotion and evidence coexist.</w:t>
            </w:r>
          </w:p>
        </w:tc>
        <w:tc>
          <w:tcPr/>
          <w:p>
            <w:pPr>
              <w:pStyle w:val="Compact"/>
              <w:keepNext/>
              <w:spacing w:before="8" w:after="8" w:line="240" w:lineRule="auto"/>
              <w:ind w:firstLine="0" w:left="0" w:right="0"/>
              <w:jc w:val="left"/>
              <w:jc w:val="center"/>
            </w:pPr>
            <w:r>
              <w:rPr>
                <w:rFonts w:ascii="Calibri" w:hAnsi="Calibri"/>
                <w:sz w:val="16"/>
              </w:rPr>
              <w:t xml:space="preserve">An ambitious story is not by itself a reason to walk away.</w:t>
            </w:r>
          </w:p>
        </w:tc>
        <w:tc>
          <w:tcPr/>
          <w:p>
            <w:pPr>
              <w:pStyle w:val="Compact"/>
              <w:keepNext/>
              <w:spacing w:before="8" w:after="8" w:line="240" w:lineRule="auto"/>
              <w:ind w:firstLine="0" w:left="0" w:right="0"/>
              <w:jc w:val="left"/>
              <w:jc w:val="center"/>
            </w:pPr>
            <w:r>
              <w:rPr>
                <w:rFonts w:ascii="Calibri" w:hAnsi="Calibri"/>
                <w:sz w:val="16"/>
              </w:rPr>
              <w:t xml:space="preserve">You can be ambitious and still bound the scope, the maturity and the evidence.</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The two venues carry different information.</w:t>
            </w:r>
          </w:p>
        </w:tc>
        <w:tc>
          <w:tcPr/>
          <w:p>
            <w:pPr>
              <w:pStyle w:val="Compact"/>
              <w:keepNext/>
              <w:spacing w:before="8" w:after="8" w:line="240" w:lineRule="auto"/>
              <w:ind w:firstLine="0" w:left="0" w:right="0"/>
              <w:jc w:val="left"/>
              <w:jc w:val="center"/>
            </w:pPr>
            <w:r>
              <w:rPr>
                <w:rFonts w:ascii="Calibri" w:hAnsi="Calibri"/>
                <w:sz w:val="16"/>
              </w:rPr>
              <w:t xml:space="preserve">Read them together and check the discrepancies that matter.</w:t>
            </w:r>
          </w:p>
        </w:tc>
        <w:tc>
          <w:tcPr/>
          <w:p>
            <w:pPr>
              <w:pStyle w:val="Compact"/>
              <w:keepNext/>
              <w:spacing w:before="8" w:after="8" w:line="240" w:lineRule="auto"/>
              <w:ind w:firstLine="0" w:left="0" w:right="0"/>
              <w:jc w:val="left"/>
              <w:jc w:val="center"/>
            </w:pPr>
            <w:r>
              <w:rPr>
                <w:rFonts w:ascii="Calibri" w:hAnsi="Calibri"/>
                <w:sz w:val="16"/>
              </w:rPr>
              <w:t xml:space="preserve">Keep the facts consistent even when detail and emphasis differ.</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Accumulated decoupling and disclosure volume are associated with the beta shift around the call; a single call’s decoupling is not.</w:t>
            </w:r>
          </w:p>
        </w:tc>
        <w:tc>
          <w:tcPr/>
          <w:p>
            <w:pPr>
              <w:pStyle w:val="Compact"/>
              <w:keepNext/>
              <w:spacing w:before="8" w:after="8" w:line="240" w:lineRule="auto"/>
              <w:ind w:firstLine="0" w:left="0" w:right="0"/>
              <w:jc w:val="left"/>
              <w:jc w:val="center"/>
            </w:pPr>
            <w:r>
              <w:rPr>
                <w:rFonts w:ascii="Calibri" w:hAnsi="Calibri"/>
                <w:sz w:val="16"/>
              </w:rPr>
              <w:t xml:space="preserve">Put the communication record into the risk view, without turning the score into a rule.</w:t>
            </w:r>
          </w:p>
        </w:tc>
        <w:tc>
          <w:tcPr/>
          <w:p>
            <w:pPr>
              <w:pStyle w:val="Compact"/>
              <w:keepNext/>
              <w:spacing w:before="8" w:after="8" w:line="240" w:lineRule="auto"/>
              <w:ind w:firstLine="0" w:left="0" w:right="0"/>
              <w:jc w:val="left"/>
              <w:jc w:val="center"/>
            </w:pPr>
            <w:r>
              <w:rPr>
                <w:rFonts w:ascii="Calibri" w:hAnsi="Calibri"/>
                <w:sz w:val="16"/>
              </w:rPr>
              <w:t xml:space="preserve">Follow accumulated commitments and how they resolve, not only the next release.</w:t>
            </w:r>
          </w:p>
        </w:tc>
      </w:tr>
      <w:tr>
        <w:trPr>
          <w:cantSplit/>
        </w:trPr>
        <w:tc>
          <w:tcPr/>
          <w:p>
            <w:pPr>
              <w:pStyle w:val="Compact"/>
              <w:spacing w:before="8" w:after="8" w:line="240" w:lineRule="auto"/>
              <w:ind w:firstLine="0" w:left="0" w:right="0"/>
              <w:jc w:val="left"/>
              <w:jc w:val="center"/>
            </w:pPr>
            <w:r>
              <w:rPr>
                <w:rFonts w:ascii="Calibri" w:hAnsi="Calibri"/>
                <w:sz w:val="16"/>
              </w:rPr>
              <w:t xml:space="preserve">Against the Defensive reference, a governance-weighted posture goes with a more negative beta shift, higher abnormal returns over the 61 trading days after the call and slower revenue growth; margins and the ROIC-WACC spread show no association.</w:t>
            </w:r>
          </w:p>
        </w:tc>
        <w:tc>
          <w:tcPr/>
          <w:p>
            <w:pPr>
              <w:pStyle w:val="Compact"/>
              <w:spacing w:before="8" w:after="8" w:line="240" w:lineRule="auto"/>
              <w:ind w:firstLine="0" w:left="0" w:right="0"/>
              <w:jc w:val="left"/>
              <w:jc w:val="center"/>
            </w:pPr>
            <w:r>
              <w:rPr>
                <w:rFonts w:ascii="Calibri" w:hAnsi="Calibri"/>
                <w:sz w:val="16"/>
              </w:rPr>
              <w:t xml:space="preserve">Consider the smaller beta shift alongside slower revenue growth, without treating posture as a general measure of risk.</w:t>
            </w:r>
          </w:p>
        </w:tc>
        <w:tc>
          <w:tcPr/>
          <w:p>
            <w:pPr>
              <w:pStyle w:val="Compact"/>
              <w:spacing w:before="8" w:after="8" w:line="240" w:lineRule="auto"/>
              <w:ind w:firstLine="0" w:left="0" w:right="0"/>
              <w:jc w:val="left"/>
              <w:jc w:val="center"/>
            </w:pPr>
            <w:r>
              <w:rPr>
                <w:rFonts w:ascii="Calibri" w:hAnsi="Calibri"/>
                <w:sz w:val="16"/>
              </w:rPr>
              <w:t xml:space="preserve">Justify AI spending on your own operating evidence, not on posture alone.</w:t>
            </w:r>
          </w:p>
        </w:tc>
      </w:tr>
    </w:tbl>
    <w:bookmarkEnd w:id="97"/>
    <w:p/>
    <w:bookmarkEnd w:id="98"/>
    <w:bookmarkEnd w:id="99"/>
    <w:bookmarkStart w:id="100" w:name="conclusions-1"/>
    <w:p>
      <w:pPr>
        <w:pStyle w:val="Ttulo1"/>
      </w:pPr>
      <w:r>
        <w:rPr>
          <w:caps/>
          <w:smallCaps w:val="0"/>
        </w:rPr>
        <w:t xml:space="preserve">7. Conclusions</w:t>
      </w:r>
    </w:p>
    <w:bookmarkStart w:id="101" w:name="answer-to-the-research-question"/>
    <w:p>
      <w:pPr>
        <w:pStyle w:val="Ttulo2"/>
      </w:pPr>
      <w:r>
        <w:t xml:space="preserve">7.1 Answer to the research question</w:t>
      </w:r>
    </w:p>
    <w:p>
      <w:pPr>
        <w:pStyle w:val="FirstParagraph"/>
      </w:pPr>
      <w:r>
        <w:t xml:space="preserve">There is strategic heterogeneity, and separating volume from posture from evidence is what makes it visible. Corporate AI disclosure spread across almost the whole market, from one third of S&amp;P 500 firms in 2021 to more than nine in ten by 2025–2026, while the concrete evidence behind each disclosed activity thinned over the same years: companies talk about AI more than before, and each mention carries less proof. Firms sort into three stable ways of communicating, shaped by their industry, and the style tracks what they report doing rather than only how much they say, since at equal disclosure volume some styles report several times as many concrete activities as others. Earnings calls carry more promotional language and more documentary detail than statutory filings, not at each other’s expense, the gap between talk and evidence is a stable trait of the firm rather than an accident of one year, and the one company observed under direct SEC scrutiny narrowed the gap instead of disputing it.</w:t>
      </w:r>
    </w:p>
    <w:p>
      <w:pPr>
        <w:pStyle w:val="Textoindependiente"/>
      </w:pPr>
      <w:r>
        <w:t xml:space="preserve">On the market side the answer is narrower and has to be stated with its correction attached. Six associations survive multiple-testing control, and they concentrate in how a firm’s systematic risk shifts around its own call and in what happens to its price afterward, not in the announcement itself. Accumulated decoupling and cumulative disclosure volume both go with a more positive shift in beta around the call; a posture weighted toward Governance goes with a more negative beta shift, more post-announcement drift over the following quarter, and slower revenue growth over the following year; cumulative disclosure volume also adds to that drift. Disclosed substance separates firms that differ operationally, but that separation is not what these market measures pick up, which is a statement about these specifications and this sample rather than a finding that substance does not matter to value.</w:t>
      </w:r>
    </w:p>
    <w:bookmarkEnd w:id="100"/>
    <w:bookmarkStart w:id="102" w:name="interpreting-potential-ai-washing"/>
    <w:p>
      <w:pPr>
        <w:pStyle w:val="Ttulo2"/>
      </w:pPr>
      <w:r>
        <w:t xml:space="preserve">7.2 Interpreting potential AI washing</w:t>
      </w:r>
    </w:p>
    <w:p>
      <w:pPr>
        <w:pStyle w:val="FirstParagraph"/>
      </w:pPr>
      <w:r>
        <w:t xml:space="preserve">The evidence here identifies decouplings and documentary asymmetries. It does not establish that any claim was false, and it does not reach intent.</w:t>
      </w:r>
    </w:p>
    <w:p>
      <w:pPr>
        <w:pStyle w:val="Textoindependiente"/>
      </w:pPr>
      <w:r>
        <w:t xml:space="preserve">What it does show is the shape of the phenomenon. It is continuous rather than categorical: decoupling varies in degree across firms and persists across reporting cycles, so firms sit at different points on one spectrum instead of falling into a separate class of offenders, which fits institutional pressure to adopt a shared vocabulary at least as well as it fits a group of bad actors. It is a fact about information rather than about capability, since firms disclosed proportionally less concrete evidence per activity as AI became a market-wide topic, and that says nothing about whether the underlying programs improved or worsened. And it filters by venue: earnings calls carry more quantified metrics and more named providers per thousand words, while the statutory filing keeps standardised hazard warnings and high-level strategy.</w:t>
      </w:r>
    </w:p>
    <w:p>
      <w:pPr>
        <w:pStyle w:val="Textoindependiente"/>
      </w:pPr>
      <w:r>
        <w:t xml:space="preserve">A gap of this kind is compatible with several explanations. Competitive sensitivity, editorial conventions governing statutory filings, genuine overstatement, and internal disorganisation can each produce identical measured divergence. Disentangling these mechanisms requires internal evidentiary access beyond public disclosures; the framework therefore specifies targeted verification steps rather than imputing intent.</w:t>
      </w:r>
    </w:p>
    <w:bookmarkEnd w:id="101"/>
    <w:bookmarkStart w:id="103" w:name="contributions-to-knowledge-and-practice"/>
    <w:p>
      <w:pPr>
        <w:pStyle w:val="Ttulo2"/>
      </w:pPr>
      <w:r>
        <w:t xml:space="preserve">7.3 Contributions to knowledge and practice</w:t>
      </w:r>
    </w:p>
    <w:p>
      <w:pPr>
        <w:pStyle w:val="FirstParagraph"/>
      </w:pPr>
      <w:r>
        <w:t xml:space="preserve">Three contributions, and they were not established in the same way. The first is empirical: the diffusion and thinning of grounding, the three postures and their sectoral sorting, the cross-venue asymmetry in evidence, and the market associations with the correction applied. The second is the measurement architecture behind it: six constructs that hold narrative volume, communication posture, disclosed activity and documentary grounding apart, extracted at a scale no manual reading reaches and checked against held-out labels and an external patent benchmark. Both of these were estimated.</w:t>
      </w:r>
    </w:p>
    <w:p>
      <w:pPr>
        <w:pStyle w:val="Textoindependiente"/>
      </w:pPr>
      <w:r>
        <w:t xml:space="preserve">The third is a proposed application. The process set out in Chapter 6 turns a documentary diagnosis into an order of verification and a conditional decision, and its components rest on the estimated results, but it has not yet been tested against decisions people actually took. What it offers is a way to make the review repeatable and to state, for any claim, what would settle it. Evaluating whether it improves practical decisions is the natural next study.</w:t>
      </w:r>
    </w:p>
    <w:bookmarkEnd w:id="102"/>
    <w:bookmarkStart w:id="104" w:name="X0501532de7dce58306e5774dbb831e364274393"/>
    <w:p>
      <w:pPr>
        <w:pStyle w:val="Ttulo2"/>
      </w:pPr>
      <w:r>
        <w:t xml:space="preserve">7.4 Implications for governance and capital allocation</w:t>
      </w:r>
    </w:p>
    <w:p>
      <w:pPr>
        <w:pStyle w:val="FirstParagraph"/>
      </w:pPr>
      <w:r>
        <w:t xml:space="preserve">For allocators and analysts, the practical shift is from tracking mention frequency to measuring the persistent distance between narrative intensity and verifiable operational substance, and to reading that distance together with the market’s own risk framework rather than as a rule on its own; keyword screens provide negligible cross-sectional sorting once AI vocabulary is ubiquitous.</w:t>
      </w:r>
    </w:p>
    <w:p>
      <w:pPr>
        <w:pStyle w:val="Textoindependiente"/>
      </w:pPr>
      <w:r>
        <w:t xml:space="preserve">For corporate managers and directors, ambitious claims demand explicit scope, operational maturity, and verifiable backing, since promotional communication and dense evidentiary grounding can coexist.</w:t>
      </w:r>
    </w:p>
    <w:bookmarkEnd w:id="103"/>
    <w:bookmarkStart w:id="105" w:name="limits-and-open-questions"/>
    <w:p>
      <w:pPr>
        <w:pStyle w:val="Ttulo2"/>
      </w:pPr>
      <w:r>
        <w:t xml:space="preserve">7.5 Limits and open questions</w:t>
      </w:r>
    </w:p>
    <w:p>
      <w:pPr>
        <w:pStyle w:val="FirstParagraph"/>
      </w:pPr>
      <w:r>
        <w:t xml:space="preserve">Five limits bound this evidence, and each one has a consequence for how it should be used.</w:t>
      </w:r>
    </w:p>
    <w:p>
      <w:pPr>
        <w:pStyle w:val="Compact"/>
        <w:numPr>
          <w:ilvl w:val="0"/>
          <w:numId w:val="26"/>
        </w:numPr>
      </w:pPr>
      <w:r>
        <w:rPr>
          <w:b/>
          <w:bCs/>
        </w:rPr>
        <w:t xml:space="preserve">Disclosure is not verified deployment.</w:t>
      </w:r>
      <w:r>
        <w:t xml:space="preserve"> </w:t>
      </w:r>
      <w:r>
        <w:t xml:space="preserve">Disclosed activity is what companies choose to say, not an audit of what they built, so dense grounding confirms documentary detail and not implementation. AI patents give one external check (</w:t>
      </w:r>
      <w:hyperlink w:anchor="appendix-a10">
        <w:r>
          <w:rPr>
            <w:rStyle w:val="Hipervnculo"/>
          </w:rPr>
          <w:t xml:space="preserve">Appendix A.10</w:t>
        </w:r>
      </w:hyperlink>
      <w:r>
        <w:t xml:space="preserve">), but patents track capacity rather than operational use, and the grounding criteria were fixed before the generative-AI boom, so they may undercount patterns specific to it, such as naming a third-party vendor without a proprietary product or metric.</w:t>
      </w:r>
    </w:p>
    <w:p>
      <w:pPr>
        <w:pStyle w:val="Compact"/>
        <w:numPr>
          <w:ilvl w:val="0"/>
          <w:numId w:val="26"/>
        </w:numPr>
      </w:pPr>
      <w:r>
        <w:rPr>
          <w:b/>
          <w:bCs/>
        </w:rPr>
        <w:t xml:space="preserve">The measurement has not been audited by hand.</w:t>
      </w:r>
      <w:r>
        <w:t xml:space="preserve"> </w:t>
      </w:r>
      <w:r>
        <w:t xml:space="preserve">Accuracy at every automated tier is measured against held-out labels produced by an independent language model, supported by targeted manual reading of selected paragraphs and firms during development. That reading was purposive rather than sampled, so it can show that the constructs behave as intended on chosen cases but cannot bound the error rate. An atomic validator was built for the systematic review, which presents one factual question at a time with its evidence sentences, and running it on the stratified samples already drawn is an outstanding task (</w:t>
      </w:r>
      <w:hyperlink w:anchor="appendix-a9">
        <w:r>
          <w:rPr>
            <w:rStyle w:val="Hipervnculo"/>
          </w:rPr>
          <w:t xml:space="preserve">Appendix A.9</w:t>
        </w:r>
      </w:hyperlink>
      <w:r>
        <w:t xml:space="preserve">).</w:t>
      </w:r>
    </w:p>
    <w:p>
      <w:pPr>
        <w:pStyle w:val="Compact"/>
        <w:numPr>
          <w:ilvl w:val="0"/>
          <w:numId w:val="26"/>
        </w:numPr>
      </w:pPr>
      <w:r>
        <w:rPr>
          <w:b/>
          <w:bCs/>
        </w:rPr>
        <w:t xml:space="preserve">Association is not intervention.</w:t>
      </w:r>
      <w:r>
        <w:t xml:space="preserve"> </w:t>
      </w:r>
      <w:r>
        <w:t xml:space="preserve">The market results are cross-sectional, so nothing here says that changing how a firm writes would change its beta or its valuation, and the single instance of direct regulatory scrutiny is one case rather than a test.</w:t>
      </w:r>
    </w:p>
    <w:p>
      <w:pPr>
        <w:pStyle w:val="Compact"/>
        <w:numPr>
          <w:ilvl w:val="0"/>
          <w:numId w:val="26"/>
        </w:numPr>
      </w:pPr>
      <w:r>
        <w:rPr>
          <w:b/>
          <w:bCs/>
        </w:rPr>
        <w:t xml:space="preserve">A relative rank is not an absolute improvement.</w:t>
      </w:r>
      <w:r>
        <w:t xml:space="preserve"> </w:t>
      </w:r>
      <m:oMath>
        <m:r>
          <w:rPr>
            <w:sz w:val="22"/>
          </w:rPr>
          <m:t>W</m:t>
        </m:r>
      </m:oMath>
      <w:r>
        <w:t xml:space="preserve"> </w:t>
      </w:r>
      <w:r>
        <w:t xml:space="preserve">is a within-year percentile gap, so a firm’s position can improve because its peers changed. Internal progress has to be tracked against evidence and stated commitments.</w:t>
      </w:r>
    </w:p>
    <w:p>
      <w:pPr>
        <w:pStyle w:val="Compact"/>
        <w:numPr>
          <w:ilvl w:val="0"/>
          <w:numId w:val="26"/>
        </w:numPr>
      </w:pPr>
      <w:r>
        <w:rPr>
          <w:b/>
          <w:bCs/>
        </w:rPr>
        <w:t xml:space="preserve">The S&amp;P 500 is not the whole economy.</w:t>
      </w:r>
      <w:r>
        <w:t xml:space="preserve"> </w:t>
      </w:r>
      <w:r>
        <w:t xml:space="preserve">These patterns describe large, closely watched, mandatorily reporting U.S. firms. The percentiles, the archetypes and the financial associations do not transfer to private companies or early-stage ventures, whatever the reading logic does.</w:t>
      </w:r>
    </w:p>
    <w:p>
      <w:pPr>
        <w:pStyle w:val="FirstParagraph"/>
      </w:pPr>
      <w:r>
        <w:t xml:space="preserve">These boundaries suggest four specific open questions. The first is whether these cross-sectional associations remain stable across longer historical panels, broader equity universes, and less noisy financial metrics. The second is empirical validation in private markets: constructing hand-collected panels of investor updates, pilot contracts, and commercial proposals to test the proposed venture adaptation. The third is behavioral: evaluating whether investment analysts and corporate allocators equipped with structured claim registers reach measurably different or better-calibrated judgments than those reviewing raw filings alone. The fourth is methodological: expanding company-specific event studies to isolate idiosyncratic disclosure responses to regulatory scrutiny from market-wide technological shocks.</w:t>
      </w:r>
    </w:p>
    <w:p>
      <w:r>
        <w:br w:type="page"/>
      </w:r>
    </w:p>
    <w:bookmarkEnd w:id="104"/>
    <w:bookmarkEnd w:id="105"/>
    <w:bookmarkStart w:id="106" w:name="references"/>
    <w:p>
      <w:pPr>
        <w:pStyle w:val="Ttulo1"/>
      </w:pPr>
      <w:r>
        <w:rPr>
          <w:caps/>
          <w:smallCaps w:val="0"/>
        </w:rPr>
        <w:t xml:space="preserve">References</w:t>
      </w:r>
    </w:p>
    <w:bookmarkStart w:id="107" w:name="refs"/>
    <w:bookmarkStart w:id="108" w:name="ref-anantharaman2026"/>
    <w:p>
      <w:pPr>
        <w:pStyle w:val="Bibliography"/>
      </w:pPr>
      <w:r>
        <w:t xml:space="preserve">Anantharaman, Divya, Chanyuan Parker, and Andrea M. Rozario. 2026.</w:t>
      </w:r>
      <w:r>
        <w:t xml:space="preserve"> </w:t>
      </w:r>
      <w:r>
        <w:t xml:space="preserve">“</w:t>
      </w:r>
      <w:r>
        <w:t xml:space="preserve">AI</w:t>
      </w:r>
      <w:r>
        <w:t xml:space="preserve"> </w:t>
      </w:r>
      <w:r>
        <w:t xml:space="preserve">Disclosure in Annual Reports: Evolution, Determinants, and Capital Market Participants’ Perceptions.”</w:t>
      </w:r>
      <w:r>
        <w:t xml:space="preserve"> </w:t>
      </w:r>
      <w:r>
        <w:rPr>
          <w:i/>
          <w:iCs/>
        </w:rPr>
        <w:t xml:space="preserve">Journal of Information Systems</w:t>
      </w:r>
      <w:r>
        <w:t xml:space="preserve">.</w:t>
      </w:r>
      <w:r>
        <w:t xml:space="preserve"> </w:t>
      </w:r>
      <w:hyperlink r:id="rId46">
        <w:r>
          <w:rPr>
            <w:rStyle w:val="Hipervnculo"/>
          </w:rPr>
          <w:t xml:space="preserve">https://doi.org/10.2308/ISYS-2025-056</w:t>
        </w:r>
      </w:hyperlink>
      <w:r>
        <w:t xml:space="preserve">.</w:t>
      </w:r>
    </w:p>
    <w:bookmarkEnd w:id="106"/>
    <w:bookmarkStart w:id="109" w:name="ref-arnold2019"/>
    <w:p>
      <w:pPr>
        <w:pStyle w:val="Bibliography"/>
      </w:pPr>
      <w:r>
        <w:t xml:space="preserve">Arnold, Matthew, Rachel K. E. Bellamy, Michael Hind, Stephanie Houde, Sameep Mehta, Aleksandra Mojsilović, Ravi Nair, et al. 2019.</w:t>
      </w:r>
      <w:r>
        <w:t xml:space="preserve"> </w:t>
      </w:r>
      <w:r>
        <w:t xml:space="preserve">“</w:t>
      </w:r>
      <w:r>
        <w:t xml:space="preserve">FactSheets</w:t>
      </w:r>
      <w:r>
        <w:t xml:space="preserve">: Increasing Trust in</w:t>
      </w:r>
      <w:r>
        <w:t xml:space="preserve"> </w:t>
      </w:r>
      <w:r>
        <w:t xml:space="preserve">AI</w:t>
      </w:r>
      <w:r>
        <w:t xml:space="preserve"> </w:t>
      </w:r>
      <w:r>
        <w:t xml:space="preserve">Services Through Supplier’s Declarations of Conformity.”</w:t>
      </w:r>
      <w:r>
        <w:t xml:space="preserve"> </w:t>
      </w:r>
      <w:r>
        <w:rPr>
          <w:i/>
          <w:iCs/>
        </w:rPr>
        <w:t xml:space="preserve">IBM Journal of Research and Development</w:t>
      </w:r>
      <w:r>
        <w:t xml:space="preserve"> </w:t>
      </w:r>
      <w:r>
        <w:t xml:space="preserve">63 (4/5): 6:1–13.</w:t>
      </w:r>
      <w:r>
        <w:t xml:space="preserve"> </w:t>
      </w:r>
      <w:hyperlink r:id="rId47">
        <w:r>
          <w:rPr>
            <w:rStyle w:val="Hipervnculo"/>
          </w:rPr>
          <w:t xml:space="preserve">https://doi.org/10.1147/JRD.2019.2942288</w:t>
        </w:r>
      </w:hyperlink>
      <w:r>
        <w:t xml:space="preserve">.</w:t>
      </w:r>
    </w:p>
    <w:bookmarkEnd w:id="107"/>
    <w:bookmarkStart w:id="110" w:name="ref-babina2024"/>
    <w:p>
      <w:pPr>
        <w:pStyle w:val="Bibliography"/>
      </w:pPr>
      <w:r>
        <w:t xml:space="preserve">Babina, Tania, Anastassia Fedyk, Alex He, and James Hodson. 2024.</w:t>
      </w:r>
      <w:r>
        <w:t xml:space="preserve"> </w:t>
      </w:r>
      <w:r>
        <w:t xml:space="preserve">“Artificial Intelligence, Firm Growth, and Product Innovation.”</w:t>
      </w:r>
      <w:r>
        <w:t xml:space="preserve"> </w:t>
      </w:r>
      <w:r>
        <w:rPr>
          <w:i/>
          <w:iCs/>
        </w:rPr>
        <w:t xml:space="preserve">Journal of Financial Economics</w:t>
      </w:r>
      <w:r>
        <w:t xml:space="preserve"> </w:t>
      </w:r>
      <w:r>
        <w:t xml:space="preserve">151: 103745.</w:t>
      </w:r>
      <w:r>
        <w:t xml:space="preserve"> </w:t>
      </w:r>
      <w:hyperlink r:id="rId48">
        <w:r>
          <w:rPr>
            <w:rStyle w:val="Hipervnculo"/>
          </w:rPr>
          <w:t xml:space="preserve">https://doi.org/10.1016/j.jfineco.2023.103745</w:t>
        </w:r>
      </w:hyperlink>
      <w:r>
        <w:t xml:space="preserve">.</w:t>
      </w:r>
    </w:p>
    <w:bookmarkEnd w:id="108"/>
    <w:bookmarkStart w:id="111" w:name="ref-barrios2025"/>
    <w:p>
      <w:pPr>
        <w:pStyle w:val="Bibliography"/>
      </w:pPr>
      <w:r>
        <w:t xml:space="preserve">Barrios, John Manuel, John L. Campbell, Ryan G. Johnson, and Christine Liu. 2025.</w:t>
      </w:r>
      <w:r>
        <w:t xml:space="preserve"> </w:t>
      </w:r>
      <w:r>
        <w:t xml:space="preserve">“Signals or Smoke? The Determinants and Informativeness of Corporate Artificial Intelligence (</w:t>
      </w:r>
      <w:r>
        <w:t xml:space="preserve">AI</w:t>
      </w:r>
      <w:r>
        <w:t xml:space="preserve">) Disclosures.”</w:t>
      </w:r>
      <w:r>
        <w:t xml:space="preserve"> </w:t>
      </w:r>
      <w:r>
        <w:t xml:space="preserve">Working Paper 5133107. Social Science Research Network (SSRN).</w:t>
      </w:r>
      <w:r>
        <w:t xml:space="preserve"> </w:t>
      </w:r>
      <w:hyperlink r:id="rId49">
        <w:r>
          <w:rPr>
            <w:rStyle w:val="Hipervnculo"/>
          </w:rPr>
          <w:t xml:space="preserve">https://doi.org/10.2139/ssrn.5133107</w:t>
        </w:r>
      </w:hyperlink>
      <w:r>
        <w:t xml:space="preserve">.</w:t>
      </w:r>
    </w:p>
    <w:bookmarkEnd w:id="109"/>
    <w:bookmarkStart w:id="112" w:name="ref-basnet2025"/>
    <w:p>
      <w:pPr>
        <w:pStyle w:val="Bibliography"/>
      </w:pPr>
      <w:r>
        <w:t xml:space="preserve">Basnet, Anup, Maxim Elias, Galla Salganik-Shoshan, Thomas Walker, and Yunfei Zhao. 2025.</w:t>
      </w:r>
      <w:r>
        <w:t xml:space="preserve"> </w:t>
      </w:r>
      <w:r>
        <w:t xml:space="preserve">“Analyzing the Market’s Reaction to</w:t>
      </w:r>
      <w:r>
        <w:t xml:space="preserve"> </w:t>
      </w:r>
      <w:r>
        <w:t xml:space="preserve">AI</w:t>
      </w:r>
      <w:r>
        <w:t xml:space="preserve"> </w:t>
      </w:r>
      <w:r>
        <w:t xml:space="preserve">Narratives in Corporate Filings.”</w:t>
      </w:r>
      <w:r>
        <w:t xml:space="preserve"> </w:t>
      </w:r>
      <w:r>
        <w:rPr>
          <w:i/>
          <w:iCs/>
        </w:rPr>
        <w:t xml:space="preserve">International Review of Financial Analysis</w:t>
      </w:r>
      <w:r>
        <w:t xml:space="preserve"> </w:t>
      </w:r>
      <w:r>
        <w:t xml:space="preserve">105: 104378.</w:t>
      </w:r>
      <w:r>
        <w:t xml:space="preserve"> </w:t>
      </w:r>
      <w:hyperlink r:id="rId50">
        <w:r>
          <w:rPr>
            <w:rStyle w:val="Hipervnculo"/>
          </w:rPr>
          <w:t xml:space="preserve">https://doi.org/10.1016/j.irfa.2025.104378</w:t>
        </w:r>
      </w:hyperlink>
      <w:r>
        <w:t xml:space="preserve">.</w:t>
      </w:r>
    </w:p>
    <w:bookmarkEnd w:id="110"/>
    <w:bookmarkStart w:id="113" w:name="ref-benjamini1995"/>
    <w:p>
      <w:pPr>
        <w:pStyle w:val="Bibliography"/>
      </w:pPr>
      <w:r>
        <w:t xml:space="preserve">Benjamini, Yoav, and Yosef Hochberg. 1995.</w:t>
      </w:r>
      <w:r>
        <w:t xml:space="preserve"> </w:t>
      </w:r>
      <w:r>
        <w:t xml:space="preserve">“Controlling the False Discovery Rate: A Practical and Powerful Approach to Multiple Testing.”</w:t>
      </w:r>
      <w:r>
        <w:t xml:space="preserve"> </w:t>
      </w:r>
      <w:r>
        <w:rPr>
          <w:i/>
          <w:iCs/>
        </w:rPr>
        <w:t xml:space="preserve">Journal of the Royal Statistical Society: Series B (Methodological)</w:t>
      </w:r>
      <w:r>
        <w:t xml:space="preserve"> </w:t>
      </w:r>
      <w:r>
        <w:t xml:space="preserve">57 (1): 289–300.</w:t>
      </w:r>
      <w:r>
        <w:t xml:space="preserve"> </w:t>
      </w:r>
      <w:hyperlink r:id="rId51">
        <w:r>
          <w:rPr>
            <w:rStyle w:val="Hipervnculo"/>
          </w:rPr>
          <w:t xml:space="preserve">https://doi.org/10.1111/j.2517-6161.1995.tb02031.x</w:t>
        </w:r>
      </w:hyperlink>
      <w:r>
        <w:t xml:space="preserve">.</w:t>
      </w:r>
    </w:p>
    <w:bookmarkEnd w:id="111"/>
    <w:bookmarkStart w:id="114" w:name="ref-brenner1979"/>
    <w:p>
      <w:pPr>
        <w:pStyle w:val="Bibliography"/>
      </w:pPr>
      <w:r>
        <w:t xml:space="preserve">Brenner, Menachem. 1979.</w:t>
      </w:r>
      <w:r>
        <w:t xml:space="preserve"> </w:t>
      </w:r>
      <w:r>
        <w:t xml:space="preserve">“The Sensitivity of the Efficient Market Hypothesis to Alternative Specifications of the Market Model.”</w:t>
      </w:r>
      <w:r>
        <w:t xml:space="preserve"> </w:t>
      </w:r>
      <w:r>
        <w:rPr>
          <w:i/>
          <w:iCs/>
        </w:rPr>
        <w:t xml:space="preserve">The Journal of Finance</w:t>
      </w:r>
      <w:r>
        <w:t xml:space="preserve"> </w:t>
      </w:r>
      <w:r>
        <w:t xml:space="preserve">34 (4): 915–29.</w:t>
      </w:r>
      <w:r>
        <w:t xml:space="preserve"> </w:t>
      </w:r>
      <w:hyperlink r:id="rId52">
        <w:r>
          <w:rPr>
            <w:rStyle w:val="Hipervnculo"/>
          </w:rPr>
          <w:t xml:space="preserve">https://doi.org/10.2307/2327056</w:t>
        </w:r>
      </w:hyperlink>
      <w:r>
        <w:t xml:space="preserve">.</w:t>
      </w:r>
    </w:p>
    <w:bookmarkEnd w:id="112"/>
    <w:bookmarkStart w:id="115" w:name="ref-bromley2012"/>
    <w:p>
      <w:pPr>
        <w:pStyle w:val="Bibliography"/>
      </w:pPr>
      <w:r>
        <w:t xml:space="preserve">Bromley, Patricia, and Walter W. Powell. 2012.</w:t>
      </w:r>
      <w:r>
        <w:t xml:space="preserve"> </w:t>
      </w:r>
      <w:r>
        <w:t xml:space="preserve">“From Smoke and Mirrors to Walking the Talk: Decoupling in the Contemporary World.”</w:t>
      </w:r>
      <w:r>
        <w:t xml:space="preserve"> </w:t>
      </w:r>
      <w:r>
        <w:rPr>
          <w:i/>
          <w:iCs/>
        </w:rPr>
        <w:t xml:space="preserve">Academy of Management Annals</w:t>
      </w:r>
      <w:r>
        <w:t xml:space="preserve"> </w:t>
      </w:r>
      <w:r>
        <w:t xml:space="preserve">6 (1): 483–530.</w:t>
      </w:r>
      <w:r>
        <w:t xml:space="preserve"> </w:t>
      </w:r>
      <w:hyperlink r:id="rId53">
        <w:r>
          <w:rPr>
            <w:rStyle w:val="Hipervnculo"/>
          </w:rPr>
          <w:t xml:space="preserve">https://doi.org/10.1080/19416520.2012.684462</w:t>
        </w:r>
      </w:hyperlink>
      <w:r>
        <w:t xml:space="preserve">.</w:t>
      </w:r>
    </w:p>
    <w:bookmarkEnd w:id="113"/>
    <w:bookmarkStart w:id="116" w:name="ref-brown1985"/>
    <w:p>
      <w:pPr>
        <w:pStyle w:val="Bibliography"/>
      </w:pPr>
      <w:r>
        <w:t xml:space="preserve">Brown, Stephen J., and Jerold B. Warner. 1985.</w:t>
      </w:r>
      <w:r>
        <w:t xml:space="preserve"> </w:t>
      </w:r>
      <w:r>
        <w:t xml:space="preserve">“Using Daily Stock Returns: The Case of Event Studies.”</w:t>
      </w:r>
      <w:r>
        <w:t xml:space="preserve"> </w:t>
      </w:r>
      <w:r>
        <w:rPr>
          <w:i/>
          <w:iCs/>
        </w:rPr>
        <w:t xml:space="preserve">Journal of Financial Economics</w:t>
      </w:r>
      <w:r>
        <w:t xml:space="preserve"> </w:t>
      </w:r>
      <w:r>
        <w:t xml:space="preserve">14 (1): 3–31.</w:t>
      </w:r>
      <w:r>
        <w:t xml:space="preserve"> </w:t>
      </w:r>
      <w:hyperlink r:id="rId54">
        <w:r>
          <w:rPr>
            <w:rStyle w:val="Hipervnculo"/>
          </w:rPr>
          <w:t xml:space="preserve">https://doi.org/10.1016/0304-405X(85)90042-X</w:t>
        </w:r>
      </w:hyperlink>
      <w:r>
        <w:t xml:space="preserve">.</w:t>
      </w:r>
    </w:p>
    <w:bookmarkEnd w:id="114"/>
    <w:bookmarkStart w:id="117" w:name="ref-campbell2014"/>
    <w:p>
      <w:pPr>
        <w:pStyle w:val="Bibliography"/>
      </w:pPr>
      <w:r>
        <w:t xml:space="preserve">Campbell, John L., Hsinchun Chen, Dan S. Dhaliwal, Hsiou-Wei Lu, and Logan B. Steele. 2014.</w:t>
      </w:r>
      <w:r>
        <w:t xml:space="preserve"> </w:t>
      </w:r>
      <w:r>
        <w:t xml:space="preserve">“The Information Content of Mandatory Risk Factor Disclosures in Corporate Filings.”</w:t>
      </w:r>
      <w:r>
        <w:t xml:space="preserve"> </w:t>
      </w:r>
      <w:r>
        <w:rPr>
          <w:i/>
          <w:iCs/>
        </w:rPr>
        <w:t xml:space="preserve">The Review of Financial Studies</w:t>
      </w:r>
      <w:r>
        <w:t xml:space="preserve"> </w:t>
      </w:r>
      <w:r>
        <w:t xml:space="preserve">27 (2): 396–455.</w:t>
      </w:r>
      <w:r>
        <w:t xml:space="preserve"> </w:t>
      </w:r>
      <w:hyperlink r:id="rId55">
        <w:r>
          <w:rPr>
            <w:rStyle w:val="Hipervnculo"/>
          </w:rPr>
          <w:t xml:space="preserve">https://doi.org/10.1093/rfs/hht060</w:t>
        </w:r>
      </w:hyperlink>
      <w:r>
        <w:t xml:space="preserve">.</w:t>
      </w:r>
    </w:p>
    <w:bookmarkEnd w:id="115"/>
    <w:bookmarkStart w:id="118" w:name="ref-camuffo2020"/>
    <w:p>
      <w:pPr>
        <w:pStyle w:val="Bibliography"/>
      </w:pPr>
      <w:r>
        <w:t xml:space="preserve">Camuffo, Arnaldo, Alessandro Cordova, Alfonso Gambardella, and Chiara Spina. 2020.</w:t>
      </w:r>
      <w:r>
        <w:t xml:space="preserve"> </w:t>
      </w:r>
      <w:r>
        <w:t xml:space="preserve">“A Scientific Approach to Entrepreneurial Decision Making: Evidence from a Randomized Control Trial.”</w:t>
      </w:r>
      <w:r>
        <w:t xml:space="preserve"> </w:t>
      </w:r>
      <w:r>
        <w:rPr>
          <w:i/>
          <w:iCs/>
        </w:rPr>
        <w:t xml:space="preserve">Management Science</w:t>
      </w:r>
      <w:r>
        <w:t xml:space="preserve"> </w:t>
      </w:r>
      <w:r>
        <w:t xml:space="preserve">66 (2): 564–86.</w:t>
      </w:r>
      <w:r>
        <w:t xml:space="preserve"> </w:t>
      </w:r>
      <w:hyperlink r:id="rId56">
        <w:r>
          <w:rPr>
            <w:rStyle w:val="Hipervnculo"/>
          </w:rPr>
          <w:t xml:space="preserve">https://doi.org/10.1287/mnsc.2018.3249</w:t>
        </w:r>
      </w:hyperlink>
      <w:r>
        <w:t xml:space="preserve">.</w:t>
      </w:r>
    </w:p>
    <w:bookmarkEnd w:id="116"/>
    <w:bookmarkStart w:id="119" w:name="ref-chen2024bge"/>
    <w:p>
      <w:pPr>
        <w:pStyle w:val="Bibliography"/>
      </w:pPr>
      <w:r>
        <w:t xml:space="preserve">Chen, Jianlv, Shitao Xiao, Peitian Zhang, Kun Luo, Defu Lian, and Zheng Liu. 2024.</w:t>
      </w:r>
      <w:r>
        <w:t xml:space="preserve"> </w:t>
      </w:r>
      <w:r>
        <w:t xml:space="preserve">“</w:t>
      </w:r>
      <w:r>
        <w:t xml:space="preserve">M3-Embedding</w:t>
      </w:r>
      <w:r>
        <w:t xml:space="preserve">: Multi-Linguality, Multi-Functionality, Multi-Granularity Text Embeddings Through Self-Knowledge Distillation.”</w:t>
      </w:r>
      <w:r>
        <w:t xml:space="preserve"> </w:t>
      </w:r>
      <w:r>
        <w:t xml:space="preserve">In</w:t>
      </w:r>
      <w:r>
        <w:t xml:space="preserve"> </w:t>
      </w:r>
      <w:r>
        <w:rPr>
          <w:i/>
          <w:iCs/>
        </w:rPr>
        <w:t xml:space="preserve">Findings of the Association for Computational Linguistics: ACL 2024</w:t>
      </w:r>
      <w:r>
        <w:t xml:space="preserve">.</w:t>
      </w:r>
      <w:r>
        <w:t xml:space="preserve"> </w:t>
      </w:r>
      <w:hyperlink r:id="rId57">
        <w:r>
          <w:rPr>
            <w:rStyle w:val="Hipervnculo"/>
          </w:rPr>
          <w:t xml:space="preserve">https://doi.org/10.18653/v1/2024.findings-acl.137</w:t>
        </w:r>
      </w:hyperlink>
      <w:r>
        <w:t xml:space="preserve">.</w:t>
      </w:r>
    </w:p>
    <w:bookmarkEnd w:id="117"/>
    <w:bookmarkStart w:id="120" w:name="ref-chen2001"/>
    <w:p>
      <w:pPr>
        <w:pStyle w:val="Bibliography"/>
      </w:pPr>
      <w:r>
        <w:t xml:space="preserve">Chen, Joseph, Harrison Hong, and Jeremy C. Stein. 2001.</w:t>
      </w:r>
      <w:r>
        <w:t xml:space="preserve"> </w:t>
      </w:r>
      <w:r>
        <w:t xml:space="preserve">“Forecasting Crashes: Trading Volume, Past Returns, and Conditional Skewness in Stock Prices.”</w:t>
      </w:r>
      <w:r>
        <w:t xml:space="preserve"> </w:t>
      </w:r>
      <w:r>
        <w:rPr>
          <w:i/>
          <w:iCs/>
        </w:rPr>
        <w:t xml:space="preserve">Journal of Financial Economics</w:t>
      </w:r>
      <w:r>
        <w:t xml:space="preserve"> </w:t>
      </w:r>
      <w:r>
        <w:t xml:space="preserve">61 (3): 345–81.</w:t>
      </w:r>
      <w:r>
        <w:t xml:space="preserve"> </w:t>
      </w:r>
      <w:hyperlink r:id="rId58">
        <w:r>
          <w:rPr>
            <w:rStyle w:val="Hipervnculo"/>
          </w:rPr>
          <w:t xml:space="preserve">https://doi.org/10.1016/S0304-405X(01)00066-6</w:t>
        </w:r>
      </w:hyperlink>
      <w:r>
        <w:t xml:space="preserve">.</w:t>
      </w:r>
    </w:p>
    <w:bookmarkEnd w:id="118"/>
    <w:bookmarkStart w:id="121" w:name="ref-cheng2019"/>
    <w:p>
      <w:pPr>
        <w:pStyle w:val="Bibliography"/>
      </w:pPr>
      <w:r>
        <w:t xml:space="preserve">Cheng, Si Fang, Gus De Franco, Hai Jiang, and Pengkai Lin. 2019.</w:t>
      </w:r>
      <w:r>
        <w:t xml:space="preserve"> </w:t>
      </w:r>
      <w:r>
        <w:t xml:space="preserve">“Riding the Blockchain Mania: Public Firms’ Speculative 8-k Disclosures.”</w:t>
      </w:r>
      <w:r>
        <w:t xml:space="preserve"> </w:t>
      </w:r>
      <w:r>
        <w:rPr>
          <w:i/>
          <w:iCs/>
        </w:rPr>
        <w:t xml:space="preserve">Management Science</w:t>
      </w:r>
      <w:r>
        <w:t xml:space="preserve"> </w:t>
      </w:r>
      <w:r>
        <w:t xml:space="preserve">65 (12): 5901–13.</w:t>
      </w:r>
      <w:r>
        <w:t xml:space="preserve"> </w:t>
      </w:r>
      <w:hyperlink r:id="rId59">
        <w:r>
          <w:rPr>
            <w:rStyle w:val="Hipervnculo"/>
          </w:rPr>
          <w:t xml:space="preserve">https://doi.org/10.1287/mnsc.2018.3220</w:t>
        </w:r>
      </w:hyperlink>
      <w:r>
        <w:t xml:space="preserve">.</w:t>
      </w:r>
    </w:p>
    <w:bookmarkEnd w:id="119"/>
    <w:bookmarkStart w:id="122" w:name="ref-crawford1982"/>
    <w:p>
      <w:pPr>
        <w:pStyle w:val="Bibliography"/>
      </w:pPr>
      <w:r>
        <w:t xml:space="preserve">Crawford, Vincent P., and Joel Sobel. 1982.</w:t>
      </w:r>
      <w:r>
        <w:t xml:space="preserve"> </w:t>
      </w:r>
      <w:r>
        <w:t xml:space="preserve">“Strategic Information Transmission.”</w:t>
      </w:r>
      <w:r>
        <w:t xml:space="preserve"> </w:t>
      </w:r>
      <w:r>
        <w:rPr>
          <w:i/>
          <w:iCs/>
        </w:rPr>
        <w:t xml:space="preserve">Econometrica</w:t>
      </w:r>
      <w:r>
        <w:t xml:space="preserve"> </w:t>
      </w:r>
      <w:r>
        <w:t xml:space="preserve">50 (6): 1431–51.</w:t>
      </w:r>
      <w:r>
        <w:t xml:space="preserve"> </w:t>
      </w:r>
      <w:hyperlink r:id="rId60">
        <w:r>
          <w:rPr>
            <w:rStyle w:val="Hipervnculo"/>
          </w:rPr>
          <w:t xml:space="preserve">https://doi.org/10.2307/1913390</w:t>
        </w:r>
      </w:hyperlink>
      <w:r>
        <w:t xml:space="preserve">.</w:t>
      </w:r>
    </w:p>
    <w:bookmarkEnd w:id="120"/>
    <w:bookmarkStart w:id="123" w:name="ref-crilly2012"/>
    <w:p>
      <w:pPr>
        <w:pStyle w:val="Bibliography"/>
      </w:pPr>
      <w:r>
        <w:t xml:space="preserve">Crilly, Donal, Maurizio Zollo, and Morten T. Hansen. 2012.</w:t>
      </w:r>
      <w:r>
        <w:t xml:space="preserve"> </w:t>
      </w:r>
      <w:r>
        <w:t xml:space="preserve">“Faking It or Muddling Through? Understanding Decoupling in Response to Stakeholder Pressures.”</w:t>
      </w:r>
      <w:r>
        <w:t xml:space="preserve"> </w:t>
      </w:r>
      <w:r>
        <w:rPr>
          <w:i/>
          <w:iCs/>
        </w:rPr>
        <w:t xml:space="preserve">Academy of Management Journal</w:t>
      </w:r>
      <w:r>
        <w:t xml:space="preserve"> </w:t>
      </w:r>
      <w:r>
        <w:t xml:space="preserve">55 (6): 1429–48.</w:t>
      </w:r>
      <w:r>
        <w:t xml:space="preserve"> </w:t>
      </w:r>
      <w:hyperlink r:id="rId61">
        <w:r>
          <w:rPr>
            <w:rStyle w:val="Hipervnculo"/>
          </w:rPr>
          <w:t xml:space="preserve">https://doi.org/10.5465/amj.2010.0697</w:t>
        </w:r>
      </w:hyperlink>
      <w:r>
        <w:t xml:space="preserve">.</w:t>
      </w:r>
    </w:p>
    <w:bookmarkEnd w:id="121"/>
    <w:bookmarkStart w:id="124" w:name="ref-cutler1994"/>
    <w:p>
      <w:pPr>
        <w:pStyle w:val="Bibliography"/>
      </w:pPr>
      <w:r>
        <w:t xml:space="preserve">Cutler, Adele, and Leo Breiman. 1994.</w:t>
      </w:r>
      <w:r>
        <w:t xml:space="preserve"> </w:t>
      </w:r>
      <w:r>
        <w:t xml:space="preserve">“Archetypal Analysis.”</w:t>
      </w:r>
      <w:r>
        <w:t xml:space="preserve"> </w:t>
      </w:r>
      <w:r>
        <w:rPr>
          <w:i/>
          <w:iCs/>
        </w:rPr>
        <w:t xml:space="preserve">Technometrics</w:t>
      </w:r>
      <w:r>
        <w:t xml:space="preserve"> </w:t>
      </w:r>
      <w:r>
        <w:t xml:space="preserve">36 (4): 338–47.</w:t>
      </w:r>
      <w:r>
        <w:t xml:space="preserve"> </w:t>
      </w:r>
      <w:hyperlink r:id="rId62">
        <w:r>
          <w:rPr>
            <w:rStyle w:val="Hipervnculo"/>
          </w:rPr>
          <w:t xml:space="preserve">https://doi.org/10.1080/00401706.1994.10485840</w:t>
        </w:r>
      </w:hyperlink>
      <w:r>
        <w:t xml:space="preserve">.</w:t>
      </w:r>
    </w:p>
    <w:bookmarkEnd w:id="122"/>
    <w:bookmarkStart w:id="125" w:name="ref-delmas2011"/>
    <w:p>
      <w:pPr>
        <w:pStyle w:val="Bibliography"/>
      </w:pPr>
      <w:r>
        <w:t xml:space="preserve">Delmas, Magali A., and Vanessa Cuerel Burbano. 2011.</w:t>
      </w:r>
      <w:r>
        <w:t xml:space="preserve"> </w:t>
      </w:r>
      <w:r>
        <w:t xml:space="preserve">“The Drivers of Greenwashing.”</w:t>
      </w:r>
      <w:r>
        <w:t xml:space="preserve"> </w:t>
      </w:r>
      <w:r>
        <w:rPr>
          <w:i/>
          <w:iCs/>
        </w:rPr>
        <w:t xml:space="preserve">California Management Review</w:t>
      </w:r>
      <w:r>
        <w:t xml:space="preserve"> </w:t>
      </w:r>
      <w:r>
        <w:t xml:space="preserve">54 (1): 64–87.</w:t>
      </w:r>
      <w:r>
        <w:t xml:space="preserve"> </w:t>
      </w:r>
      <w:hyperlink r:id="rId63">
        <w:r>
          <w:rPr>
            <w:rStyle w:val="Hipervnculo"/>
          </w:rPr>
          <w:t xml:space="preserve">https://doi.org/10.1525/cmr.2011.54.1.64</w:t>
        </w:r>
      </w:hyperlink>
      <w:r>
        <w:t xml:space="preserve">.</w:t>
      </w:r>
    </w:p>
    <w:bookmarkEnd w:id="123"/>
    <w:bookmarkStart w:id="126" w:name="ref-dimaggio1983"/>
    <w:p>
      <w:pPr>
        <w:pStyle w:val="Bibliography"/>
      </w:pPr>
      <w:r>
        <w:t xml:space="preserve">DiMaggio, Paul J., and Walter W. Powell. 1983.</w:t>
      </w:r>
      <w:r>
        <w:t xml:space="preserve"> </w:t>
      </w:r>
      <w:r>
        <w:t xml:space="preserve">“The Iron Cage Revisited: Institutional Isomorphism and Collective Rationality in Organizational Fields.”</w:t>
      </w:r>
      <w:r>
        <w:t xml:space="preserve"> </w:t>
      </w:r>
      <w:r>
        <w:rPr>
          <w:i/>
          <w:iCs/>
        </w:rPr>
        <w:t xml:space="preserve">American Sociological Review</w:t>
      </w:r>
      <w:r>
        <w:t xml:space="preserve"> </w:t>
      </w:r>
      <w:r>
        <w:t xml:space="preserve">48 (2): 147–60.</w:t>
      </w:r>
      <w:r>
        <w:t xml:space="preserve"> </w:t>
      </w:r>
      <w:hyperlink r:id="rId64">
        <w:r>
          <w:rPr>
            <w:rStyle w:val="Hipervnculo"/>
          </w:rPr>
          <w:t xml:space="preserve">https://doi.org/10.2307/2095101</w:t>
        </w:r>
      </w:hyperlink>
      <w:r>
        <w:t xml:space="preserve">.</w:t>
      </w:r>
    </w:p>
    <w:bookmarkEnd w:id="124"/>
    <w:bookmarkStart w:id="127" w:name="ref-dye1985"/>
    <w:p>
      <w:pPr>
        <w:pStyle w:val="Bibliography"/>
      </w:pPr>
      <w:r>
        <w:t xml:space="preserve">Dye, Ronald A. 1985.</w:t>
      </w:r>
      <w:r>
        <w:t xml:space="preserve"> </w:t>
      </w:r>
      <w:r>
        <w:t xml:space="preserve">“Disclosure of Nonproprietary Information.”</w:t>
      </w:r>
      <w:r>
        <w:t xml:space="preserve"> </w:t>
      </w:r>
      <w:r>
        <w:rPr>
          <w:i/>
          <w:iCs/>
        </w:rPr>
        <w:t xml:space="preserve">Journal of Accounting Research</w:t>
      </w:r>
      <w:r>
        <w:t xml:space="preserve"> </w:t>
      </w:r>
      <w:r>
        <w:t xml:space="preserve">23 (1): 123–45.</w:t>
      </w:r>
      <w:r>
        <w:t xml:space="preserve"> </w:t>
      </w:r>
      <w:hyperlink r:id="rId65">
        <w:r>
          <w:rPr>
            <w:rStyle w:val="Hipervnculo"/>
          </w:rPr>
          <w:t xml:space="preserve">https://doi.org/10.2307/2490910</w:t>
        </w:r>
      </w:hyperlink>
      <w:r>
        <w:t xml:space="preserve">.</w:t>
      </w:r>
    </w:p>
    <w:bookmarkEnd w:id="125"/>
    <w:bookmarkStart w:id="128" w:name="ref-efron1973"/>
    <w:p>
      <w:pPr>
        <w:pStyle w:val="Bibliography"/>
      </w:pPr>
      <w:r>
        <w:t xml:space="preserve">Efron, Bradley, and Carl N. Morris. 1973.</w:t>
      </w:r>
      <w:r>
        <w:t xml:space="preserve"> </w:t>
      </w:r>
      <w:r>
        <w:t xml:space="preserve">“Stein’s Estimation Rule and Its Competitors—an Empirical Bayes Approach.”</w:t>
      </w:r>
      <w:r>
        <w:t xml:space="preserve"> </w:t>
      </w:r>
      <w:r>
        <w:rPr>
          <w:i/>
          <w:iCs/>
        </w:rPr>
        <w:t xml:space="preserve">Journal of the American Statistical Association</w:t>
      </w:r>
      <w:r>
        <w:t xml:space="preserve"> </w:t>
      </w:r>
      <w:r>
        <w:t xml:space="preserve">68 (341): 117–30.</w:t>
      </w:r>
      <w:r>
        <w:t xml:space="preserve"> </w:t>
      </w:r>
      <w:hyperlink r:id="rId66">
        <w:r>
          <w:rPr>
            <w:rStyle w:val="Hipervnculo"/>
          </w:rPr>
          <w:t xml:space="preserve">https://doi.org/10.1080/01621459.1973.10481350</w:t>
        </w:r>
      </w:hyperlink>
      <w:r>
        <w:t xml:space="preserve">.</w:t>
      </w:r>
    </w:p>
    <w:bookmarkEnd w:id="126"/>
    <w:bookmarkStart w:id="129" w:name="ref-eisfeldt2023"/>
    <w:p>
      <w:pPr>
        <w:pStyle w:val="Bibliography"/>
      </w:pPr>
      <w:r>
        <w:t xml:space="preserve">Eisfeldt, Andrea L., Gregor Schubert, Bledi Taska, and Miao Ben Zhang. 2023.</w:t>
      </w:r>
      <w:r>
        <w:t xml:space="preserve"> </w:t>
      </w:r>
      <w:r>
        <w:t xml:space="preserve">“Generative</w:t>
      </w:r>
      <w:r>
        <w:t xml:space="preserve"> </w:t>
      </w:r>
      <w:r>
        <w:t xml:space="preserve">AI</w:t>
      </w:r>
      <w:r>
        <w:t xml:space="preserve"> </w:t>
      </w:r>
      <w:r>
        <w:t xml:space="preserve">and Firm Values.”</w:t>
      </w:r>
      <w:r>
        <w:t xml:space="preserve"> </w:t>
      </w:r>
      <w:r>
        <w:t xml:space="preserve">31222. National Bureau of Economic Research (NBER).</w:t>
      </w:r>
      <w:r>
        <w:t xml:space="preserve"> </w:t>
      </w:r>
      <w:hyperlink r:id="rId67">
        <w:r>
          <w:rPr>
            <w:rStyle w:val="Hipervnculo"/>
          </w:rPr>
          <w:t xml:space="preserve">https://doi.org/10.3386/w31222</w:t>
        </w:r>
      </w:hyperlink>
      <w:r>
        <w:t xml:space="preserve">.</w:t>
      </w:r>
    </w:p>
    <w:bookmarkEnd w:id="127"/>
    <w:bookmarkStart w:id="130" w:name="ref-elhajjar2025"/>
    <w:p>
      <w:pPr>
        <w:pStyle w:val="Bibliography"/>
      </w:pPr>
      <w:r>
        <w:t xml:space="preserve">Elhajjar, Samer, and Omar S. Itani. 2025.</w:t>
      </w:r>
      <w:r>
        <w:t xml:space="preserve"> </w:t>
      </w:r>
      <w:r>
        <w:t xml:space="preserve">“</w:t>
      </w:r>
      <w:r>
        <w:t xml:space="preserve">AI</w:t>
      </w:r>
      <w:r>
        <w:t xml:space="preserve"> </w:t>
      </w:r>
      <w:r>
        <w:t xml:space="preserve">Washing: A Conceptual Exploration.”</w:t>
      </w:r>
      <w:r>
        <w:t xml:space="preserve"> </w:t>
      </w:r>
      <w:r>
        <w:rPr>
          <w:i/>
          <w:iCs/>
        </w:rPr>
        <w:t xml:space="preserve">AMS Review</w:t>
      </w:r>
      <w:r>
        <w:t xml:space="preserve"> </w:t>
      </w:r>
      <w:r>
        <w:t xml:space="preserve">15 (3–4): 519–38.</w:t>
      </w:r>
      <w:r>
        <w:t xml:space="preserve"> </w:t>
      </w:r>
      <w:hyperlink r:id="rId68">
        <w:r>
          <w:rPr>
            <w:rStyle w:val="Hipervnculo"/>
          </w:rPr>
          <w:t xml:space="preserve">https://doi.org/10.1007/s13162-025-00323-y</w:t>
        </w:r>
      </w:hyperlink>
      <w:r>
        <w:t xml:space="preserve">.</w:t>
      </w:r>
    </w:p>
    <w:bookmarkEnd w:id="128"/>
    <w:bookmarkStart w:id="131" w:name="ref-enholm2022"/>
    <w:p>
      <w:pPr>
        <w:pStyle w:val="Bibliography"/>
      </w:pPr>
      <w:r>
        <w:t xml:space="preserve">Enholm, Ida Merete, Emmanouil Papagiannidis, Patrick Mikalef, and John Krogstie. 2022.</w:t>
      </w:r>
      <w:r>
        <w:t xml:space="preserve"> </w:t>
      </w:r>
      <w:r>
        <w:t xml:space="preserve">“Artificial Intelligence and Business Value: A Literature Review.”</w:t>
      </w:r>
      <w:r>
        <w:t xml:space="preserve"> </w:t>
      </w:r>
      <w:r>
        <w:rPr>
          <w:i/>
          <w:iCs/>
        </w:rPr>
        <w:t xml:space="preserve">Information Systems Frontiers</w:t>
      </w:r>
      <w:r>
        <w:t xml:space="preserve"> </w:t>
      </w:r>
      <w:r>
        <w:t xml:space="preserve">24 (5): 1709–34.</w:t>
      </w:r>
      <w:r>
        <w:t xml:space="preserve"> </w:t>
      </w:r>
      <w:hyperlink r:id="rId69">
        <w:r>
          <w:rPr>
            <w:rStyle w:val="Hipervnculo"/>
          </w:rPr>
          <w:t xml:space="preserve">https://doi.org/10.1007/s10796-021-10186-w</w:t>
        </w:r>
      </w:hyperlink>
      <w:r>
        <w:t xml:space="preserve">.</w:t>
      </w:r>
    </w:p>
    <w:bookmarkEnd w:id="129"/>
    <w:bookmarkStart w:id="132" w:name="ref-factset"/>
    <w:p>
      <w:pPr>
        <w:pStyle w:val="Bibliography"/>
      </w:pPr>
      <w:r>
        <w:t xml:space="preserve">FactSet Research Systems. n.d.</w:t>
      </w:r>
      <w:r>
        <w:t xml:space="preserve"> </w:t>
      </w:r>
      <w:r>
        <w:t xml:space="preserve">“</w:t>
      </w:r>
      <w:r>
        <w:t xml:space="preserve">FactSet</w:t>
      </w:r>
      <w:r>
        <w:t xml:space="preserve"> </w:t>
      </w:r>
      <w:r>
        <w:t xml:space="preserve">Fundamentals and Market Data.”</w:t>
      </w:r>
      <w:r>
        <w:t xml:space="preserve"> </w:t>
      </w:r>
      <w:r>
        <w:t xml:space="preserve">factset.com.</w:t>
      </w:r>
      <w:r>
        <w:t xml:space="preserve"> </w:t>
      </w:r>
      <w:hyperlink r:id="rId70">
        <w:r>
          <w:rPr>
            <w:rStyle w:val="Hipervnculo"/>
          </w:rPr>
          <w:t xml:space="preserve">https://www.factset.com</w:t>
        </w:r>
      </w:hyperlink>
      <w:r>
        <w:t xml:space="preserve">.</w:t>
      </w:r>
    </w:p>
    <w:bookmarkEnd w:id="130"/>
    <w:bookmarkStart w:id="133" w:name="ref-transcript_vendor_sa"/>
    <w:p>
      <w:pPr>
        <w:pStyle w:val="Bibliography"/>
      </w:pPr>
      <w:r>
        <w:t xml:space="preserve">Financial Market Archive (SA). n.d.</w:t>
      </w:r>
      <w:r>
        <w:t xml:space="preserve"> </w:t>
      </w:r>
      <w:r>
        <w:t xml:space="preserve">“Earnings Call Transcripts Directory.”</w:t>
      </w:r>
      <w:r>
        <w:t xml:space="preserve"> </w:t>
      </w:r>
      <w:r>
        <w:t xml:space="preserve">Financial web portal.</w:t>
      </w:r>
    </w:p>
    <w:bookmarkEnd w:id="131"/>
    <w:bookmarkStart w:id="134" w:name="ref-transcript_vendor_eq"/>
    <w:p>
      <w:pPr>
        <w:pStyle w:val="Bibliography"/>
      </w:pPr>
      <w:r>
        <w:t xml:space="preserve">Financial Transcript Feed (EQ). n.d.</w:t>
      </w:r>
      <w:r>
        <w:t xml:space="preserve"> </w:t>
      </w:r>
      <w:r>
        <w:t xml:space="preserve">“Earnings Call Transcripts</w:t>
      </w:r>
      <w:r>
        <w:t xml:space="preserve"> </w:t>
      </w:r>
      <w:r>
        <w:t xml:space="preserve">API</w:t>
      </w:r>
      <w:r>
        <w:t xml:space="preserve">.”</w:t>
      </w:r>
      <w:r>
        <w:t xml:space="preserve"> </w:t>
      </w:r>
      <w:r>
        <w:t xml:space="preserve">Commercial transcript API provider.</w:t>
      </w:r>
    </w:p>
    <w:bookmarkEnd w:id="132"/>
    <w:bookmarkStart w:id="135" w:name="ref-frankel1999"/>
    <w:p>
      <w:pPr>
        <w:pStyle w:val="Bibliography"/>
      </w:pPr>
      <w:r>
        <w:t xml:space="preserve">Frankel, Richard, Marilyn Johnson, and Douglas J. Skinner. 1999.</w:t>
      </w:r>
      <w:r>
        <w:t xml:space="preserve"> </w:t>
      </w:r>
      <w:r>
        <w:t xml:space="preserve">“An Empirical Examination of Conference Calls as a Voluntary Disclosure Medium.”</w:t>
      </w:r>
      <w:r>
        <w:t xml:space="preserve"> </w:t>
      </w:r>
      <w:r>
        <w:rPr>
          <w:i/>
          <w:iCs/>
        </w:rPr>
        <w:t xml:space="preserve">Journal of Accounting Research</w:t>
      </w:r>
      <w:r>
        <w:t xml:space="preserve"> </w:t>
      </w:r>
      <w:r>
        <w:t xml:space="preserve">37 (1): 133–50.</w:t>
      </w:r>
      <w:r>
        <w:t xml:space="preserve"> </w:t>
      </w:r>
      <w:hyperlink r:id="rId71">
        <w:r>
          <w:rPr>
            <w:rStyle w:val="Hipervnculo"/>
          </w:rPr>
          <w:t xml:space="preserve">https://doi.org/10.2307/2491400</w:t>
        </w:r>
      </w:hyperlink>
      <w:r>
        <w:t xml:space="preserve">.</w:t>
      </w:r>
    </w:p>
    <w:bookmarkEnd w:id="133"/>
    <w:bookmarkStart w:id="136" w:name="ref-friedman2001"/>
    <w:p>
      <w:pPr>
        <w:pStyle w:val="Bibliography"/>
      </w:pPr>
      <w:r>
        <w:t xml:space="preserve">Friedman, Jerome H. 2001.</w:t>
      </w:r>
      <w:r>
        <w:t xml:space="preserve"> </w:t>
      </w:r>
      <w:r>
        <w:t xml:space="preserve">“Greedy Function Approximation: A Gradient Boosting Machine.”</w:t>
      </w:r>
      <w:r>
        <w:t xml:space="preserve"> </w:t>
      </w:r>
      <w:r>
        <w:rPr>
          <w:i/>
          <w:iCs/>
        </w:rPr>
        <w:t xml:space="preserve">The Annals of Statistics</w:t>
      </w:r>
      <w:r>
        <w:t xml:space="preserve"> </w:t>
      </w:r>
      <w:r>
        <w:t xml:space="preserve">29 (5): 1189–1232.</w:t>
      </w:r>
      <w:r>
        <w:t xml:space="preserve"> </w:t>
      </w:r>
      <w:hyperlink r:id="rId72">
        <w:r>
          <w:rPr>
            <w:rStyle w:val="Hipervnculo"/>
          </w:rPr>
          <w:t xml:space="preserve">https://doi.org/10.1214/aos/1013203451</w:t>
        </w:r>
      </w:hyperlink>
      <w:r>
        <w:t xml:space="preserve">.</w:t>
      </w:r>
    </w:p>
    <w:bookmarkEnd w:id="134"/>
    <w:bookmarkStart w:id="137" w:name="ref-fu2021"/>
    <w:p>
      <w:pPr>
        <w:pStyle w:val="Bibliography"/>
      </w:pPr>
      <w:r>
        <w:t xml:space="preserve">Fu, Xi, Xiaoxi Wu, and Zhifang Zhang. 2021.</w:t>
      </w:r>
      <w:r>
        <w:t xml:space="preserve"> </w:t>
      </w:r>
      <w:r>
        <w:t xml:space="preserve">“The Information Role of Earnings Conference Call Tone: Evidence from Stock Price Crash Risk.”</w:t>
      </w:r>
      <w:r>
        <w:t xml:space="preserve"> </w:t>
      </w:r>
      <w:r>
        <w:rPr>
          <w:i/>
          <w:iCs/>
        </w:rPr>
        <w:t xml:space="preserve">Journal of Business Ethics</w:t>
      </w:r>
      <w:r>
        <w:t xml:space="preserve"> </w:t>
      </w:r>
      <w:r>
        <w:t xml:space="preserve">173 (3): 643–60.</w:t>
      </w:r>
      <w:r>
        <w:t xml:space="preserve"> </w:t>
      </w:r>
      <w:hyperlink r:id="rId73">
        <w:r>
          <w:rPr>
            <w:rStyle w:val="Hipervnculo"/>
          </w:rPr>
          <w:t xml:space="preserve">https://doi.org/10.1007/s10551-019-04326-1</w:t>
        </w:r>
      </w:hyperlink>
      <w:r>
        <w:t xml:space="preserve">.</w:t>
      </w:r>
    </w:p>
    <w:bookmarkEnd w:id="135"/>
    <w:bookmarkStart w:id="138" w:name="ref-gelman2014"/>
    <w:p>
      <w:pPr>
        <w:pStyle w:val="Bibliography"/>
      </w:pPr>
      <w:r>
        <w:t xml:space="preserve">Gelman, Andrew, and Eric Loken. 2014.</w:t>
      </w:r>
      <w:r>
        <w:t xml:space="preserve"> </w:t>
      </w:r>
      <w:r>
        <w:t xml:space="preserve">“The Statistical Crisis in Science: Data-Dependent Analysis—a</w:t>
      </w:r>
      <w:r>
        <w:t xml:space="preserve"> </w:t>
      </w:r>
      <w:r>
        <w:t xml:space="preserve">‘Garden of Forking Paths’</w:t>
      </w:r>
      <w:r>
        <w:t xml:space="preserve">—Explains Why Many Statistically Significant Comparisons Don’t Hold Up.”</w:t>
      </w:r>
      <w:r>
        <w:t xml:space="preserve"> </w:t>
      </w:r>
      <w:r>
        <w:rPr>
          <w:i/>
          <w:iCs/>
        </w:rPr>
        <w:t xml:space="preserve">American Scientist</w:t>
      </w:r>
      <w:r>
        <w:t xml:space="preserve"> </w:t>
      </w:r>
      <w:r>
        <w:t xml:space="preserve">102 (6): 460–65.</w:t>
      </w:r>
      <w:r>
        <w:t xml:space="preserve"> </w:t>
      </w:r>
      <w:hyperlink r:id="rId74">
        <w:r>
          <w:rPr>
            <w:rStyle w:val="Hipervnculo"/>
          </w:rPr>
          <w:t xml:space="preserve">https://doi.org/10.1511/2014.111.460</w:t>
        </w:r>
      </w:hyperlink>
      <w:r>
        <w:t xml:space="preserve">.</w:t>
      </w:r>
    </w:p>
    <w:bookmarkEnd w:id="136"/>
    <w:bookmarkStart w:id="139" w:name="ref-gensler2023"/>
    <w:p>
      <w:pPr>
        <w:pStyle w:val="Bibliography"/>
      </w:pPr>
      <w:r>
        <w:t xml:space="preserve">Gensler, Gary. 2024.</w:t>
      </w:r>
      <w:r>
        <w:t xml:space="preserve"> </w:t>
      </w:r>
      <w:r>
        <w:t xml:space="preserve">“</w:t>
      </w:r>
      <w:r>
        <w:t xml:space="preserve">AI</w:t>
      </w:r>
      <w:r>
        <w:t xml:space="preserve">, Finance, Movies, and the Law.”</w:t>
      </w:r>
      <w:r>
        <w:t xml:space="preserve"> </w:t>
      </w:r>
      <w:r>
        <w:t xml:space="preserve">Remarks before the Yale Law School, 13 February.</w:t>
      </w:r>
    </w:p>
    <w:bookmarkEnd w:id="137"/>
    <w:bookmarkStart w:id="140" w:name="ref-gentzkow2019"/>
    <w:p>
      <w:pPr>
        <w:pStyle w:val="Bibliography"/>
      </w:pPr>
      <w:r>
        <w:t xml:space="preserve">Gentzkow, Matthew, Bryan Kelly, and Matt Taddy. 2019.</w:t>
      </w:r>
      <w:r>
        <w:t xml:space="preserve"> </w:t>
      </w:r>
      <w:r>
        <w:t xml:space="preserve">“Text as Data.”</w:t>
      </w:r>
      <w:r>
        <w:t xml:space="preserve"> </w:t>
      </w:r>
      <w:r>
        <w:rPr>
          <w:i/>
          <w:iCs/>
        </w:rPr>
        <w:t xml:space="preserve">Journal of Economic Literature</w:t>
      </w:r>
      <w:r>
        <w:t xml:space="preserve"> </w:t>
      </w:r>
      <w:r>
        <w:t xml:space="preserve">57 (3): 535–74.</w:t>
      </w:r>
      <w:r>
        <w:t xml:space="preserve"> </w:t>
      </w:r>
      <w:hyperlink r:id="rId75">
        <w:r>
          <w:rPr>
            <w:rStyle w:val="Hipervnculo"/>
          </w:rPr>
          <w:t xml:space="preserve">https://doi.org/10.1257/jel.20181020</w:t>
        </w:r>
      </w:hyperlink>
      <w:r>
        <w:t xml:space="preserve">.</w:t>
      </w:r>
    </w:p>
    <w:bookmarkEnd w:id="138"/>
    <w:bookmarkStart w:id="141" w:name="ref-hennig2007"/>
    <w:p>
      <w:pPr>
        <w:pStyle w:val="Bibliography"/>
      </w:pPr>
      <w:r>
        <w:t xml:space="preserve">Hennig, Christian. 2007.</w:t>
      </w:r>
      <w:r>
        <w:t xml:space="preserve"> </w:t>
      </w:r>
      <w:r>
        <w:t xml:space="preserve">“Cluster-Wise Assessment of Cluster Stability.”</w:t>
      </w:r>
      <w:r>
        <w:t xml:space="preserve"> </w:t>
      </w:r>
      <w:r>
        <w:rPr>
          <w:i/>
          <w:iCs/>
        </w:rPr>
        <w:t xml:space="preserve">Computational Statistics &amp; Data Analysis</w:t>
      </w:r>
      <w:r>
        <w:t xml:space="preserve"> </w:t>
      </w:r>
      <w:r>
        <w:t xml:space="preserve">52 (1): 258–71.</w:t>
      </w:r>
      <w:r>
        <w:t xml:space="preserve"> </w:t>
      </w:r>
      <w:hyperlink r:id="rId76">
        <w:r>
          <w:rPr>
            <w:rStyle w:val="Hipervnculo"/>
          </w:rPr>
          <w:t xml:space="preserve">https://doi.org/10.1016/j.csda.2006.11.025</w:t>
        </w:r>
      </w:hyperlink>
      <w:r>
        <w:t xml:space="preserve">.</w:t>
      </w:r>
    </w:p>
    <w:bookmarkEnd w:id="139"/>
    <w:bookmarkStart w:id="142" w:name="ref-huang2014"/>
    <w:p>
      <w:pPr>
        <w:pStyle w:val="Bibliography"/>
      </w:pPr>
      <w:r>
        <w:t xml:space="preserve">Huang, Xuan, Siew Hong Teoh, and Yinglei Zhang. 2014.</w:t>
      </w:r>
      <w:r>
        <w:t xml:space="preserve"> </w:t>
      </w:r>
      <w:r>
        <w:t xml:space="preserve">“Tone Management.”</w:t>
      </w:r>
      <w:r>
        <w:t xml:space="preserve"> </w:t>
      </w:r>
      <w:r>
        <w:rPr>
          <w:i/>
          <w:iCs/>
        </w:rPr>
        <w:t xml:space="preserve">The Accounting Review</w:t>
      </w:r>
      <w:r>
        <w:t xml:space="preserve"> </w:t>
      </w:r>
      <w:r>
        <w:t xml:space="preserve">89 (3): 1083–113.</w:t>
      </w:r>
      <w:r>
        <w:t xml:space="preserve"> </w:t>
      </w:r>
      <w:hyperlink r:id="rId77">
        <w:r>
          <w:rPr>
            <w:rStyle w:val="Hipervnculo"/>
          </w:rPr>
          <w:t xml:space="preserve">https://doi.org/10.2308/accr-50684</w:t>
        </w:r>
      </w:hyperlink>
      <w:r>
        <w:t xml:space="preserve">.</w:t>
      </w:r>
    </w:p>
    <w:bookmarkEnd w:id="140"/>
    <w:bookmarkStart w:id="143" w:name="ref-jia2025"/>
    <w:p>
      <w:pPr>
        <w:pStyle w:val="Bibliography"/>
      </w:pPr>
      <w:r>
        <w:t xml:space="preserve">Jia, Ning, Ningzhong Li, Guang Ma, and Da Xu. 2025.</w:t>
      </w:r>
      <w:r>
        <w:t xml:space="preserve"> </w:t>
      </w:r>
      <w:r>
        <w:t xml:space="preserve">“Corporate Responses to Generative</w:t>
      </w:r>
      <w:r>
        <w:t xml:space="preserve"> </w:t>
      </w:r>
      <w:r>
        <w:t xml:space="preserve">AI</w:t>
      </w:r>
      <w:r>
        <w:t xml:space="preserve">: Early Evidence from Conference Calls.”</w:t>
      </w:r>
      <w:r>
        <w:t xml:space="preserve"> </w:t>
      </w:r>
      <w:r>
        <w:rPr>
          <w:i/>
          <w:iCs/>
        </w:rPr>
        <w:t xml:space="preserve">Review of Accounting Studies</w:t>
      </w:r>
      <w:r>
        <w:t xml:space="preserve"> </w:t>
      </w:r>
      <w:r>
        <w:t xml:space="preserve">31 (2): 649–703.</w:t>
      </w:r>
      <w:r>
        <w:t xml:space="preserve"> </w:t>
      </w:r>
      <w:hyperlink r:id="rId78">
        <w:r>
          <w:rPr>
            <w:rStyle w:val="Hipervnculo"/>
          </w:rPr>
          <w:t xml:space="preserve">https://doi.org/10.1007/s11142-025-09916-1</w:t>
        </w:r>
      </w:hyperlink>
      <w:r>
        <w:t xml:space="preserve">.</w:t>
      </w:r>
    </w:p>
    <w:bookmarkEnd w:id="141"/>
    <w:bookmarkStart w:id="144" w:name="ref-jin2006"/>
    <w:p>
      <w:pPr>
        <w:pStyle w:val="Bibliography"/>
      </w:pPr>
      <w:r>
        <w:t xml:space="preserve">Jin, Li, and Stewart C. Myers. 2006.</w:t>
      </w:r>
      <w:r>
        <w:t xml:space="preserve"> </w:t>
      </w:r>
      <w:r>
        <w:t xml:space="preserve">“</w:t>
      </w:r>
      <m:oMath>
        <m:sSup>
          <m:e>
            <m:r>
              <w:rPr>
                <w:sz w:val="22"/>
              </w:rPr>
              <m:t>R</m:t>
            </m:r>
          </m:e>
          <m:sup>
            <m:r>
              <w:rPr>
                <w:sz w:val="22"/>
              </w:rPr>
              <m:t>2</m:t>
            </m:r>
          </m:sup>
        </m:sSup>
      </m:oMath>
      <w:r>
        <w:t xml:space="preserve"> </w:t>
      </w:r>
      <w:r>
        <w:t xml:space="preserve">Around the World: New Theory and New Tests.”</w:t>
      </w:r>
      <w:r>
        <w:t xml:space="preserve"> </w:t>
      </w:r>
      <w:r>
        <w:rPr>
          <w:i/>
          <w:iCs/>
        </w:rPr>
        <w:t xml:space="preserve">Journal of Financial Economics</w:t>
      </w:r>
      <w:r>
        <w:t xml:space="preserve"> </w:t>
      </w:r>
      <w:r>
        <w:t xml:space="preserve">79 (2): 257–92.</w:t>
      </w:r>
      <w:r>
        <w:t xml:space="preserve"> </w:t>
      </w:r>
      <w:hyperlink r:id="rId79">
        <w:r>
          <w:rPr>
            <w:rStyle w:val="Hipervnculo"/>
          </w:rPr>
          <w:t xml:space="preserve">https://doi.org/10.1016/j.jfineco.2004.11.003</w:t>
        </w:r>
      </w:hyperlink>
      <w:r>
        <w:t xml:space="preserve">.</w:t>
      </w:r>
    </w:p>
    <w:bookmarkEnd w:id="142"/>
    <w:bookmarkStart w:id="145" w:name="ref-jones1991"/>
    <w:p>
      <w:pPr>
        <w:pStyle w:val="Bibliography"/>
      </w:pPr>
      <w:r>
        <w:t xml:space="preserve">Jones, Jennifer J. 1991.</w:t>
      </w:r>
      <w:r>
        <w:t xml:space="preserve"> </w:t>
      </w:r>
      <w:r>
        <w:t xml:space="preserve">“Earnings Management During Import Relief Investigations.”</w:t>
      </w:r>
      <w:r>
        <w:t xml:space="preserve"> </w:t>
      </w:r>
      <w:r>
        <w:rPr>
          <w:i/>
          <w:iCs/>
        </w:rPr>
        <w:t xml:space="preserve">Journal of Accounting Research</w:t>
      </w:r>
      <w:r>
        <w:t xml:space="preserve"> </w:t>
      </w:r>
      <w:r>
        <w:t xml:space="preserve">29 (2): 193–228.</w:t>
      </w:r>
      <w:r>
        <w:t xml:space="preserve"> </w:t>
      </w:r>
      <w:hyperlink r:id="rId80">
        <w:r>
          <w:rPr>
            <w:rStyle w:val="Hipervnculo"/>
          </w:rPr>
          <w:t xml:space="preserve">https://doi.org/10.2307/2491047</w:t>
        </w:r>
      </w:hyperlink>
      <w:r>
        <w:t xml:space="preserve">.</w:t>
      </w:r>
    </w:p>
    <w:bookmarkEnd w:id="143"/>
    <w:bookmarkStart w:id="146" w:name="ref-kim2011"/>
    <w:p>
      <w:pPr>
        <w:pStyle w:val="Bibliography"/>
      </w:pPr>
      <w:r>
        <w:t xml:space="preserve">Kim, Jeong-Bon, Yinghua Li, and Liandong Zhang. 2011.</w:t>
      </w:r>
      <w:r>
        <w:t xml:space="preserve"> </w:t>
      </w:r>
      <w:r>
        <w:t xml:space="preserve">“Corporate Tax Avoidance and Stock Price Crash Risk: Firm-Level Analysis.”</w:t>
      </w:r>
      <w:r>
        <w:t xml:space="preserve"> </w:t>
      </w:r>
      <w:r>
        <w:rPr>
          <w:i/>
          <w:iCs/>
        </w:rPr>
        <w:t xml:space="preserve">Journal of Financial Economics</w:t>
      </w:r>
      <w:r>
        <w:t xml:space="preserve"> </w:t>
      </w:r>
      <w:r>
        <w:t xml:space="preserve">100 (3): 639–62.</w:t>
      </w:r>
      <w:r>
        <w:t xml:space="preserve"> </w:t>
      </w:r>
      <w:hyperlink r:id="rId81">
        <w:r>
          <w:rPr>
            <w:rStyle w:val="Hipervnculo"/>
          </w:rPr>
          <w:t xml:space="preserve">https://doi.org/10.1016/j.jfineco.2010.07.007</w:t>
        </w:r>
      </w:hyperlink>
      <w:r>
        <w:t xml:space="preserve">.</w:t>
      </w:r>
    </w:p>
    <w:bookmarkEnd w:id="144"/>
    <w:bookmarkStart w:id="147" w:name="ref-kurry2024transcripts"/>
    <w:p>
      <w:pPr>
        <w:pStyle w:val="Bibliography"/>
      </w:pPr>
      <w:r>
        <w:t xml:space="preserve">Kurry. 2024.</w:t>
      </w:r>
      <w:r>
        <w:t xml:space="preserve"> </w:t>
      </w:r>
      <w:r>
        <w:t xml:space="preserve">“</w:t>
      </w:r>
      <w:r>
        <w:t xml:space="preserve">S&amp;P</w:t>
      </w:r>
      <w:r>
        <w:t xml:space="preserve"> </w:t>
      </w:r>
      <w:r>
        <w:t xml:space="preserve">500 Earnings Call Transcripts.”</w:t>
      </w:r>
      <w:r>
        <w:t xml:space="preserve"> </w:t>
      </w:r>
      <w:r>
        <w:t xml:space="preserve">Hugging Face Datasets.</w:t>
      </w:r>
      <w:r>
        <w:t xml:space="preserve"> </w:t>
      </w:r>
      <w:hyperlink r:id="rId82">
        <w:r>
          <w:rPr>
            <w:rStyle w:val="Hipervnculo"/>
          </w:rPr>
          <w:t xml:space="preserve">https://huggingface.co/datasets/kurry/sp500_earnings_transcripts</w:t>
        </w:r>
      </w:hyperlink>
      <w:r>
        <w:t xml:space="preserve">.</w:t>
      </w:r>
    </w:p>
    <w:bookmarkEnd w:id="145"/>
    <w:bookmarkStart w:id="148" w:name="ref-li2008"/>
    <w:p>
      <w:pPr>
        <w:pStyle w:val="Bibliography"/>
      </w:pPr>
      <w:r>
        <w:t xml:space="preserve">Li, Feng. 2008.</w:t>
      </w:r>
      <w:r>
        <w:t xml:space="preserve"> </w:t>
      </w:r>
      <w:r>
        <w:t xml:space="preserve">“Annual Report Readability, Current Earnings, and Earnings Persistence.”</w:t>
      </w:r>
      <w:r>
        <w:t xml:space="preserve"> </w:t>
      </w:r>
      <w:r>
        <w:rPr>
          <w:i/>
          <w:iCs/>
        </w:rPr>
        <w:t xml:space="preserve">Journal of Accounting and Economics</w:t>
      </w:r>
      <w:r>
        <w:t xml:space="preserve"> </w:t>
      </w:r>
      <w:r>
        <w:t xml:space="preserve">45: 221–47.</w:t>
      </w:r>
      <w:r>
        <w:t xml:space="preserve"> </w:t>
      </w:r>
      <w:hyperlink r:id="rId83">
        <w:r>
          <w:rPr>
            <w:rStyle w:val="Hipervnculo"/>
          </w:rPr>
          <w:t xml:space="preserve">https://doi.org/10.1016/j.jacceco.2008.02.003</w:t>
        </w:r>
      </w:hyperlink>
      <w:r>
        <w:t xml:space="preserve">.</w:t>
      </w:r>
    </w:p>
    <w:bookmarkEnd w:id="146"/>
    <w:bookmarkStart w:id="149" w:name="ref-loughran2011"/>
    <w:p>
      <w:pPr>
        <w:pStyle w:val="Bibliography"/>
      </w:pPr>
      <w:r>
        <w:t xml:space="preserve">Loughran, Tim, and Bill McDonald. 2011.</w:t>
      </w:r>
      <w:r>
        <w:t xml:space="preserve"> </w:t>
      </w:r>
      <w:r>
        <w:t xml:space="preserve">“When Is a Liability Not a Liability? Textual Analysis, Dictionaries, and 10-Ks.”</w:t>
      </w:r>
      <w:r>
        <w:t xml:space="preserve"> </w:t>
      </w:r>
      <w:r>
        <w:rPr>
          <w:i/>
          <w:iCs/>
        </w:rPr>
        <w:t xml:space="preserve">Journal of Finance</w:t>
      </w:r>
      <w:r>
        <w:t xml:space="preserve"> </w:t>
      </w:r>
      <w:r>
        <w:t xml:space="preserve">66 (1): 35–65.</w:t>
      </w:r>
      <w:r>
        <w:t xml:space="preserve"> </w:t>
      </w:r>
      <w:hyperlink r:id="rId84">
        <w:r>
          <w:rPr>
            <w:rStyle w:val="Hipervnculo"/>
          </w:rPr>
          <w:t xml:space="preserve">https://doi.org/10.1111/j.1540-6261.2010.01625.x</w:t>
        </w:r>
      </w:hyperlink>
      <w:r>
        <w:t xml:space="preserve">.</w:t>
      </w:r>
    </w:p>
    <w:bookmarkEnd w:id="147"/>
    <w:bookmarkStart w:id="150" w:name="ref-lyon2015"/>
    <w:p>
      <w:pPr>
        <w:pStyle w:val="Bibliography"/>
      </w:pPr>
      <w:r>
        <w:t xml:space="preserve">Lyon, Thomas P., and A. Wren Montgomery. 2015.</w:t>
      </w:r>
      <w:r>
        <w:t xml:space="preserve"> </w:t>
      </w:r>
      <w:r>
        <w:t xml:space="preserve">“The Means and End of Greenwash.”</w:t>
      </w:r>
      <w:r>
        <w:t xml:space="preserve"> </w:t>
      </w:r>
      <w:r>
        <w:rPr>
          <w:i/>
          <w:iCs/>
        </w:rPr>
        <w:t xml:space="preserve">Organization &amp; Environment</w:t>
      </w:r>
      <w:r>
        <w:t xml:space="preserve"> </w:t>
      </w:r>
      <w:r>
        <w:t xml:space="preserve">28 (2): 223–49.</w:t>
      </w:r>
      <w:r>
        <w:t xml:space="preserve"> </w:t>
      </w:r>
      <w:hyperlink r:id="rId85">
        <w:r>
          <w:rPr>
            <w:rStyle w:val="Hipervnculo"/>
          </w:rPr>
          <w:t xml:space="preserve">https://doi.org/10.1177/1086026615575332</w:t>
        </w:r>
      </w:hyperlink>
      <w:r>
        <w:t xml:space="preserve">.</w:t>
      </w:r>
    </w:p>
    <w:bookmarkEnd w:id="148"/>
    <w:bookmarkStart w:id="151" w:name="ref-mackinlay1997"/>
    <w:p>
      <w:pPr>
        <w:pStyle w:val="Bibliography"/>
      </w:pPr>
      <w:r>
        <w:t xml:space="preserve">MacKinlay, A. Craig. 1997.</w:t>
      </w:r>
      <w:r>
        <w:t xml:space="preserve"> </w:t>
      </w:r>
      <w:r>
        <w:t xml:space="preserve">“Event Studies in Economics and Finance.”</w:t>
      </w:r>
      <w:r>
        <w:t xml:space="preserve"> </w:t>
      </w:r>
      <w:r>
        <w:rPr>
          <w:i/>
          <w:iCs/>
        </w:rPr>
        <w:t xml:space="preserve">Journal of Economic Literature</w:t>
      </w:r>
      <w:r>
        <w:t xml:space="preserve"> </w:t>
      </w:r>
      <w:r>
        <w:t xml:space="preserve">35 (1): 13–39.</w:t>
      </w:r>
    </w:p>
    <w:bookmarkEnd w:id="149"/>
    <w:bookmarkStart w:id="152" w:name="ref-marquis2016"/>
    <w:p>
      <w:pPr>
        <w:pStyle w:val="Bibliography"/>
      </w:pPr>
      <w:r>
        <w:t xml:space="preserve">Marquis, Christopher, Michael W. Toffel, and Yanhua Zhou. 2016.</w:t>
      </w:r>
      <w:r>
        <w:t xml:space="preserve"> </w:t>
      </w:r>
      <w:r>
        <w:t xml:space="preserve">“Scrutiny, Norms, and Selective Disclosure: A Global Study of Greenwashing.”</w:t>
      </w:r>
      <w:r>
        <w:t xml:space="preserve"> </w:t>
      </w:r>
      <w:r>
        <w:rPr>
          <w:i/>
          <w:iCs/>
        </w:rPr>
        <w:t xml:space="preserve">Organization Science</w:t>
      </w:r>
      <w:r>
        <w:t xml:space="preserve"> </w:t>
      </w:r>
      <w:r>
        <w:t xml:space="preserve">27 (2): 483–504.</w:t>
      </w:r>
      <w:r>
        <w:t xml:space="preserve"> </w:t>
      </w:r>
      <w:hyperlink r:id="rId86">
        <w:r>
          <w:rPr>
            <w:rStyle w:val="Hipervnculo"/>
          </w:rPr>
          <w:t xml:space="preserve">https://doi.org/10.1287/orsc.2015.1039</w:t>
        </w:r>
      </w:hyperlink>
      <w:r>
        <w:t xml:space="preserve">.</w:t>
      </w:r>
    </w:p>
    <w:bookmarkEnd w:id="150"/>
    <w:bookmarkStart w:id="153" w:name="ref-matsumoto2011"/>
    <w:p>
      <w:pPr>
        <w:pStyle w:val="Bibliography"/>
      </w:pPr>
      <w:r>
        <w:t xml:space="preserve">Matsumoto, Dawn, Maarten Pronk, and Erik Roelofsen. 2011.</w:t>
      </w:r>
      <w:r>
        <w:t xml:space="preserve"> </w:t>
      </w:r>
      <w:r>
        <w:t xml:space="preserve">“What Makes Conference Calls Useful? The Information Content of Managers’ Presentations and Analysts’ Discussion Sessions.”</w:t>
      </w:r>
      <w:r>
        <w:t xml:space="preserve"> </w:t>
      </w:r>
      <w:r>
        <w:rPr>
          <w:i/>
          <w:iCs/>
        </w:rPr>
        <w:t xml:space="preserve">The Accounting Review</w:t>
      </w:r>
      <w:r>
        <w:t xml:space="preserve"> </w:t>
      </w:r>
      <w:r>
        <w:t xml:space="preserve">86 (4): 1383–1414.</w:t>
      </w:r>
      <w:r>
        <w:t xml:space="preserve"> </w:t>
      </w:r>
      <w:hyperlink r:id="rId87">
        <w:r>
          <w:rPr>
            <w:rStyle w:val="Hipervnculo"/>
          </w:rPr>
          <w:t xml:space="preserve">https://doi.org/10.2308/accr-10034</w:t>
        </w:r>
      </w:hyperlink>
      <w:r>
        <w:t xml:space="preserve">.</w:t>
      </w:r>
    </w:p>
    <w:bookmarkEnd w:id="151"/>
    <w:bookmarkStart w:id="154" w:name="ref-meyer1977"/>
    <w:p>
      <w:pPr>
        <w:pStyle w:val="Bibliography"/>
      </w:pPr>
      <w:r>
        <w:t xml:space="preserve">Meyer, John W., and Brian Rowan. 1977.</w:t>
      </w:r>
      <w:r>
        <w:t xml:space="preserve"> </w:t>
      </w:r>
      <w:r>
        <w:t xml:space="preserve">“Institutionalized Organizations: Formal Structure as Myth and Ceremony.”</w:t>
      </w:r>
      <w:r>
        <w:t xml:space="preserve"> </w:t>
      </w:r>
      <w:r>
        <w:rPr>
          <w:i/>
          <w:iCs/>
        </w:rPr>
        <w:t xml:space="preserve">American Journal of Sociology</w:t>
      </w:r>
      <w:r>
        <w:t xml:space="preserve"> </w:t>
      </w:r>
      <w:r>
        <w:t xml:space="preserve">83 (2): 340–63.</w:t>
      </w:r>
      <w:r>
        <w:t xml:space="preserve"> </w:t>
      </w:r>
      <w:hyperlink r:id="rId88">
        <w:r>
          <w:rPr>
            <w:rStyle w:val="Hipervnculo"/>
          </w:rPr>
          <w:t xml:space="preserve">https://doi.org/10.1086/226550</w:t>
        </w:r>
      </w:hyperlink>
      <w:r>
        <w:t xml:space="preserve">.</w:t>
      </w:r>
    </w:p>
    <w:bookmarkEnd w:id="152"/>
    <w:bookmarkStart w:id="155" w:name="ref-mitchell2019"/>
    <w:p>
      <w:pPr>
        <w:pStyle w:val="Bibliography"/>
      </w:pPr>
      <w:r>
        <w:t xml:space="preserve">Mitchell, Margaret, Simone Wu, Andrew Zaldivar, Parker Barnes, Lucy Vasserman, Ben Hutchinson, Elena Spitzer, Inioluwa Deborah Raji, and Timnit Gebru. 2019.</w:t>
      </w:r>
      <w:r>
        <w:t xml:space="preserve"> </w:t>
      </w:r>
      <w:r>
        <w:t xml:space="preserve">“Model Cards for Model Reporting.”</w:t>
      </w:r>
      <w:r>
        <w:t xml:space="preserve"> </w:t>
      </w:r>
      <w:r>
        <w:t xml:space="preserve">In</w:t>
      </w:r>
      <w:r>
        <w:t xml:space="preserve"> </w:t>
      </w:r>
      <w:r>
        <w:rPr>
          <w:i/>
          <w:iCs/>
        </w:rPr>
        <w:t xml:space="preserve">Proceedings of the Conference on Fairness, Accountability, and Transparency (FAT* ’19)</w:t>
      </w:r>
      <w:r>
        <w:t xml:space="preserve">, 220–29. New York, NY, USA: Association for Computing Machinery.</w:t>
      </w:r>
      <w:r>
        <w:t xml:space="preserve"> </w:t>
      </w:r>
      <w:hyperlink r:id="rId89">
        <w:r>
          <w:rPr>
            <w:rStyle w:val="Hipervnculo"/>
          </w:rPr>
          <w:t xml:space="preserve">https://doi.org/10.1145/3287560.3287596</w:t>
        </w:r>
      </w:hyperlink>
      <w:r>
        <w:t xml:space="preserve">.</w:t>
      </w:r>
    </w:p>
    <w:bookmarkEnd w:id="153"/>
    <w:bookmarkStart w:id="156" w:name="ref-nist2023"/>
    <w:p>
      <w:pPr>
        <w:pStyle w:val="Bibliography"/>
      </w:pPr>
      <w:r>
        <w:t xml:space="preserve">National Institute of Standards and Technology. 2023.</w:t>
      </w:r>
      <w:r>
        <w:t xml:space="preserve"> </w:t>
      </w:r>
      <w:r>
        <w:t xml:space="preserve">“Artificial Intelligence Risk Management Framework (</w:t>
      </w:r>
      <w:r>
        <w:t xml:space="preserve">AI RMF</w:t>
      </w:r>
      <w:r>
        <w:t xml:space="preserve"> </w:t>
      </w:r>
      <w:r>
        <w:t xml:space="preserve">1.0).”</w:t>
      </w:r>
      <w:r>
        <w:t xml:space="preserve"> </w:t>
      </w:r>
      <w:r>
        <w:t xml:space="preserve">NIST SP 100-1. U.S. Department of Commerce, National Institute of Standards; Technology.</w:t>
      </w:r>
      <w:r>
        <w:t xml:space="preserve"> </w:t>
      </w:r>
      <w:hyperlink r:id="rId90">
        <w:r>
          <w:rPr>
            <w:rStyle w:val="Hipervnculo"/>
          </w:rPr>
          <w:t xml:space="preserve">https://doi.org/10.6028/NIST.AI.100-1</w:t>
        </w:r>
      </w:hyperlink>
      <w:r>
        <w:t xml:space="preserve">.</w:t>
      </w:r>
    </w:p>
    <w:bookmarkEnd w:id="154"/>
    <w:bookmarkStart w:id="157" w:name="ref-oviedo2026data"/>
    <w:p>
      <w:pPr>
        <w:pStyle w:val="Bibliography"/>
      </w:pPr>
      <w:r>
        <w:t xml:space="preserve">Oviedo, Germán. 2026a.</w:t>
      </w:r>
      <w:r>
        <w:t xml:space="preserve"> </w:t>
      </w:r>
      <w:r>
        <w:t xml:space="preserve">“</w:t>
      </w:r>
      <w:r>
        <w:t xml:space="preserve">AI</w:t>
      </w:r>
      <w:r>
        <w:t xml:space="preserve"> </w:t>
      </w:r>
      <w:r>
        <w:t xml:space="preserve">Disclosure Analysis: Derived Datasets.”</w:t>
      </w:r>
      <w:r>
        <w:t xml:space="preserve"> </w:t>
      </w:r>
      <w:r>
        <w:t xml:space="preserve">Hugging Face Datasets.</w:t>
      </w:r>
      <w:r>
        <w:t xml:space="preserve"> </w:t>
      </w:r>
      <w:hyperlink r:id="rId91">
        <w:r>
          <w:rPr>
            <w:rStyle w:val="Hipervnculo"/>
          </w:rPr>
          <w:t xml:space="preserve">https://huggingface.co/datasets/mrbungie/ai-disclosure-analysis</w:t>
        </w:r>
      </w:hyperlink>
      <w:r>
        <w:t xml:space="preserve">.</w:t>
      </w:r>
    </w:p>
    <w:bookmarkEnd w:id="155"/>
    <w:bookmarkStart w:id="158" w:name="ref-oviedo2026models"/>
    <w:p>
      <w:pPr>
        <w:pStyle w:val="Bibliography"/>
      </w:pPr>
      <w:r>
        <w:t xml:space="preserve">———. 2026b.</w:t>
      </w:r>
      <w:r>
        <w:t xml:space="preserve"> </w:t>
      </w:r>
      <w:r>
        <w:t xml:space="preserve">“</w:t>
      </w:r>
      <w:r>
        <w:t xml:space="preserve">AI</w:t>
      </w:r>
      <w:r>
        <w:t xml:space="preserve"> </w:t>
      </w:r>
      <w:r>
        <w:t xml:space="preserve">Disclosure Analysis: Fitted Models.”</w:t>
      </w:r>
      <w:r>
        <w:t xml:space="preserve"> </w:t>
      </w:r>
      <w:r>
        <w:t xml:space="preserve">Hugging Face Models.</w:t>
      </w:r>
      <w:r>
        <w:t xml:space="preserve"> </w:t>
      </w:r>
      <w:hyperlink r:id="rId92">
        <w:r>
          <w:rPr>
            <w:rStyle w:val="Hipervnculo"/>
          </w:rPr>
          <w:t xml:space="preserve">https://huggingface.co/mrbungie/ai-disclosure-analysis</w:t>
        </w:r>
      </w:hyperlink>
      <w:r>
        <w:t xml:space="preserve">.</w:t>
      </w:r>
    </w:p>
    <w:bookmarkEnd w:id="156"/>
    <w:bookmarkStart w:id="159" w:name="ref-oviedo2026code"/>
    <w:p>
      <w:pPr>
        <w:pStyle w:val="Bibliography"/>
      </w:pPr>
      <w:r>
        <w:t xml:space="preserve">———. 2026c.</w:t>
      </w:r>
      <w:r>
        <w:t xml:space="preserve"> </w:t>
      </w:r>
      <w:r>
        <w:t xml:space="preserve">“</w:t>
      </w:r>
      <w:r>
        <w:t xml:space="preserve">AI</w:t>
      </w:r>
      <w:r>
        <w:t xml:space="preserve"> </w:t>
      </w:r>
      <w:r>
        <w:t xml:space="preserve">Disclosure Analysis: Pipeline, Extraction Prompts and Analytics.”</w:t>
      </w:r>
      <w:r>
        <w:t xml:space="preserve"> </w:t>
      </w:r>
      <w:r>
        <w:t xml:space="preserve">GitHub repository.</w:t>
      </w:r>
      <w:r>
        <w:t xml:space="preserve"> </w:t>
      </w:r>
      <w:hyperlink r:id="rId93">
        <w:r>
          <w:rPr>
            <w:rStyle w:val="Hipervnculo"/>
          </w:rPr>
          <w:t xml:space="preserve">https://github.com/mrbungie/ai_disclosure_analysis</w:t>
        </w:r>
      </w:hyperlink>
      <w:r>
        <w:t xml:space="preserve">.</w:t>
      </w:r>
    </w:p>
    <w:bookmarkEnd w:id="157"/>
    <w:bookmarkStart w:id="160" w:name="ref-rogers2011"/>
    <w:p>
      <w:pPr>
        <w:pStyle w:val="Bibliography"/>
      </w:pPr>
      <w:r>
        <w:t xml:space="preserve">Rogers, Jonathan L., Andrew Van Buskirk, and Sarah L. C. Zechman. 2011.</w:t>
      </w:r>
      <w:r>
        <w:t xml:space="preserve"> </w:t>
      </w:r>
      <w:r>
        <w:t xml:space="preserve">“Disclosure Tone and Shareholder Litigation.”</w:t>
      </w:r>
      <w:r>
        <w:t xml:space="preserve"> </w:t>
      </w:r>
      <w:r>
        <w:rPr>
          <w:i/>
          <w:iCs/>
        </w:rPr>
        <w:t xml:space="preserve">The Accounting Review</w:t>
      </w:r>
      <w:r>
        <w:t xml:space="preserve"> </w:t>
      </w:r>
      <w:r>
        <w:t xml:space="preserve">86 (6): 2155–83.</w:t>
      </w:r>
      <w:r>
        <w:t xml:space="preserve"> </w:t>
      </w:r>
      <w:hyperlink r:id="rId94">
        <w:r>
          <w:rPr>
            <w:rStyle w:val="Hipervnculo"/>
          </w:rPr>
          <w:t xml:space="preserve">https://doi.org/10.2308/accr-10137</w:t>
        </w:r>
      </w:hyperlink>
      <w:r>
        <w:t xml:space="preserve">.</w:t>
      </w:r>
    </w:p>
    <w:bookmarkEnd w:id="158"/>
    <w:bookmarkStart w:id="161" w:name="ref-seele2022"/>
    <w:p>
      <w:pPr>
        <w:pStyle w:val="Bibliography"/>
      </w:pPr>
      <w:r>
        <w:t xml:space="preserve">Seele, Peter, and Mario D. Schultz. 2022.</w:t>
      </w:r>
      <w:r>
        <w:t xml:space="preserve"> </w:t>
      </w:r>
      <w:r>
        <w:t xml:space="preserve">“From Greenwashing to Machinewashing: A Model and Future Directions Derived from Reasoning by Analogy.”</w:t>
      </w:r>
      <w:r>
        <w:t xml:space="preserve"> </w:t>
      </w:r>
      <w:r>
        <w:rPr>
          <w:i/>
          <w:iCs/>
        </w:rPr>
        <w:t xml:space="preserve">Journal of Business Ethics</w:t>
      </w:r>
      <w:r>
        <w:t xml:space="preserve"> </w:t>
      </w:r>
      <w:r>
        <w:t xml:space="preserve">178 (4): 1063–89.</w:t>
      </w:r>
      <w:r>
        <w:t xml:space="preserve"> </w:t>
      </w:r>
      <w:hyperlink r:id="rId95">
        <w:r>
          <w:rPr>
            <w:rStyle w:val="Hipervnculo"/>
          </w:rPr>
          <w:t xml:space="preserve">https://doi.org/10.1007/s10551-022-05054-9</w:t>
        </w:r>
      </w:hyperlink>
      <w:r>
        <w:t xml:space="preserve">.</w:t>
      </w:r>
    </w:p>
    <w:bookmarkEnd w:id="159"/>
    <w:bookmarkStart w:id="162" w:name="ref-simonian2025"/>
    <w:p>
      <w:pPr>
        <w:pStyle w:val="Bibliography"/>
      </w:pPr>
      <w:r>
        <w:t xml:space="preserve">Simonian, Joseph. 2025.</w:t>
      </w:r>
      <w:r>
        <w:t xml:space="preserve"> </w:t>
      </w:r>
      <w:r>
        <w:t xml:space="preserve">“</w:t>
      </w:r>
      <w:r>
        <w:t xml:space="preserve">AI</w:t>
      </w:r>
      <w:r>
        <w:t xml:space="preserve"> </w:t>
      </w:r>
      <w:r>
        <w:t xml:space="preserve">Washing: Signs, Symptoms, and Suggested Solutions for Investment Stakeholders.”</w:t>
      </w:r>
      <w:r>
        <w:t xml:space="preserve"> </w:t>
      </w:r>
      <w:r>
        <w:t xml:space="preserve">Research Report. CFA Institute.</w:t>
      </w:r>
      <w:r>
        <w:t xml:space="preserve"> </w:t>
      </w:r>
      <w:hyperlink r:id="rId96">
        <w:r>
          <w:rPr>
            <w:rStyle w:val="Hipervnculo"/>
          </w:rPr>
          <w:t xml:space="preserve">https://doi.org/10.56227/25.1.20</w:t>
        </w:r>
      </w:hyperlink>
      <w:r>
        <w:t xml:space="preserve">.</w:t>
      </w:r>
    </w:p>
    <w:bookmarkEnd w:id="160"/>
    <w:bookmarkStart w:id="163" w:name="ref-song2026"/>
    <w:p>
      <w:pPr>
        <w:pStyle w:val="Bibliography"/>
      </w:pPr>
      <w:r>
        <w:t xml:space="preserve">Song, Xiapeng, Wenxuan Hou, Zizhou Ouyang, and Fangmin Hao. 2026.</w:t>
      </w:r>
      <w:r>
        <w:t xml:space="preserve"> </w:t>
      </w:r>
      <w:r>
        <w:t xml:space="preserve">“</w:t>
      </w:r>
      <w:r>
        <w:t xml:space="preserve">AI</w:t>
      </w:r>
      <w:r>
        <w:t xml:space="preserve"> </w:t>
      </w:r>
      <w:r>
        <w:t xml:space="preserve">Washing: Strategic Disclosure and Backlash.”</w:t>
      </w:r>
      <w:r>
        <w:t xml:space="preserve"> </w:t>
      </w:r>
      <w:r>
        <w:rPr>
          <w:i/>
          <w:iCs/>
        </w:rPr>
        <w:t xml:space="preserve">Finance Research Letters</w:t>
      </w:r>
      <w:r>
        <w:t xml:space="preserve"> </w:t>
      </w:r>
      <w:r>
        <w:t xml:space="preserve">95: 109684.</w:t>
      </w:r>
      <w:r>
        <w:t xml:space="preserve"> </w:t>
      </w:r>
      <w:hyperlink r:id="rId97">
        <w:r>
          <w:rPr>
            <w:rStyle w:val="Hipervnculo"/>
          </w:rPr>
          <w:t xml:space="preserve">https://doi.org/10.1016/j.frl.2026.109684</w:t>
        </w:r>
      </w:hyperlink>
      <w:r>
        <w:t xml:space="preserve">.</w:t>
      </w:r>
    </w:p>
    <w:bookmarkEnd w:id="161"/>
    <w:bookmarkStart w:id="164" w:name="ref-spence1973"/>
    <w:p>
      <w:pPr>
        <w:pStyle w:val="Bibliography"/>
      </w:pPr>
      <w:r>
        <w:t xml:space="preserve">Spence, Michael. 1973.</w:t>
      </w:r>
      <w:r>
        <w:t xml:space="preserve"> </w:t>
      </w:r>
      <w:r>
        <w:t xml:space="preserve">“Job Market Signaling.”</w:t>
      </w:r>
      <w:r>
        <w:t xml:space="preserve"> </w:t>
      </w:r>
      <w:r>
        <w:rPr>
          <w:i/>
          <w:iCs/>
        </w:rPr>
        <w:t xml:space="preserve">Quarterly Journal of Economics</w:t>
      </w:r>
      <w:r>
        <w:t xml:space="preserve"> </w:t>
      </w:r>
      <w:r>
        <w:t xml:space="preserve">87 (3): 355–74.</w:t>
      </w:r>
      <w:r>
        <w:t xml:space="preserve"> </w:t>
      </w:r>
      <w:hyperlink r:id="rId98">
        <w:r>
          <w:rPr>
            <w:rStyle w:val="Hipervnculo"/>
          </w:rPr>
          <w:t xml:space="preserve">https://doi.org/10.2307/1882010</w:t>
        </w:r>
      </w:hyperlink>
      <w:r>
        <w:t xml:space="preserve">.</w:t>
      </w:r>
    </w:p>
    <w:bookmarkEnd w:id="162"/>
    <w:bookmarkStart w:id="165" w:name="ref-suchman1995"/>
    <w:p>
      <w:pPr>
        <w:pStyle w:val="Bibliography"/>
      </w:pPr>
      <w:r>
        <w:t xml:space="preserve">Suchman, Mark C. 1995.</w:t>
      </w:r>
      <w:r>
        <w:t xml:space="preserve"> </w:t>
      </w:r>
      <w:r>
        <w:t xml:space="preserve">“Managing Legitimacy: Strategic and Institutional Approaches.”</w:t>
      </w:r>
      <w:r>
        <w:t xml:space="preserve"> </w:t>
      </w:r>
      <w:r>
        <w:rPr>
          <w:i/>
          <w:iCs/>
        </w:rPr>
        <w:t xml:space="preserve">Academy of Management Review</w:t>
      </w:r>
      <w:r>
        <w:t xml:space="preserve"> </w:t>
      </w:r>
      <w:r>
        <w:t xml:space="preserve">20 (3): 571–610.</w:t>
      </w:r>
      <w:r>
        <w:t xml:space="preserve"> </w:t>
      </w:r>
      <w:hyperlink r:id="rId99">
        <w:r>
          <w:rPr>
            <w:rStyle w:val="Hipervnculo"/>
          </w:rPr>
          <w:t xml:space="preserve">https://doi.org/10.5465/amr.1995.9508080331</w:t>
        </w:r>
      </w:hyperlink>
      <w:r>
        <w:t xml:space="preserve">.</w:t>
      </w:r>
    </w:p>
    <w:bookmarkEnd w:id="163"/>
    <w:bookmarkStart w:id="166" w:name="ref-sec2024pressrelease"/>
    <w:p>
      <w:pPr>
        <w:pStyle w:val="Bibliography"/>
      </w:pPr>
      <w:r>
        <w:t xml:space="preserve">U.S. Securities and Exchange Commission. 2024.</w:t>
      </w:r>
      <w:r>
        <w:t xml:space="preserve"> </w:t>
      </w:r>
      <w:r>
        <w:t xml:space="preserve">“</w:t>
      </w:r>
      <w:r>
        <w:t xml:space="preserve">SEC</w:t>
      </w:r>
      <w:r>
        <w:t xml:space="preserve"> </w:t>
      </w:r>
      <w:r>
        <w:t xml:space="preserve">Charges Two Investment Advisers with Making False and Misleading Statements about Their Use of Artificial Intelligence.”</w:t>
      </w:r>
      <w:r>
        <w:t xml:space="preserve"> </w:t>
      </w:r>
      <w:r>
        <w:t xml:space="preserve">Press Release 2024-36, 18 March.</w:t>
      </w:r>
    </w:p>
    <w:bookmarkEnd w:id="164"/>
    <w:bookmarkStart w:id="167" w:name="ref-welltower2025letter"/>
    <w:p>
      <w:pPr>
        <w:pStyle w:val="Bibliography"/>
      </w:pPr>
      <w:r>
        <w:t xml:space="preserve">———. 2025.</w:t>
      </w:r>
      <w:r>
        <w:t xml:space="preserve"> </w:t>
      </w:r>
      <w:r>
        <w:t xml:space="preserve">“Comment Letter to Welltower Inc., Form 10-k for the Fiscal Year Ended December 31, 2024.”</w:t>
      </w:r>
      <w:r>
        <w:t xml:space="preserve"> </w:t>
      </w:r>
      <w:r>
        <w:t xml:space="preserve">Division of Corporation Finance, 28 April.</w:t>
      </w:r>
    </w:p>
    <w:bookmarkEnd w:id="165"/>
    <w:bookmarkStart w:id="168" w:name="ref-verrecchia1983"/>
    <w:p>
      <w:pPr>
        <w:pStyle w:val="Bibliography"/>
      </w:pPr>
      <w:r>
        <w:t xml:space="preserve">Verrecchia, Robert E. 1983.</w:t>
      </w:r>
      <w:r>
        <w:t xml:space="preserve"> </w:t>
      </w:r>
      <w:r>
        <w:t xml:space="preserve">“Discretionary Disclosure.”</w:t>
      </w:r>
      <w:r>
        <w:t xml:space="preserve"> </w:t>
      </w:r>
      <w:r>
        <w:rPr>
          <w:i/>
          <w:iCs/>
        </w:rPr>
        <w:t xml:space="preserve">Journal of Accounting and Economics</w:t>
      </w:r>
      <w:r>
        <w:t xml:space="preserve"> </w:t>
      </w:r>
      <w:r>
        <w:t xml:space="preserve">5: 179–94.</w:t>
      </w:r>
      <w:r>
        <w:t xml:space="preserve"> </w:t>
      </w:r>
      <w:hyperlink r:id="rId100">
        <w:r>
          <w:rPr>
            <w:rStyle w:val="Hipervnculo"/>
          </w:rPr>
          <w:t xml:space="preserve">https://doi.org/10.1016/0165-4101(83)90011-3</w:t>
        </w:r>
      </w:hyperlink>
      <w:r>
        <w:t xml:space="preserve">.</w:t>
      </w:r>
    </w:p>
    <w:bookmarkEnd w:id="166"/>
    <w:bookmarkStart w:id="169" w:name="ref-westphal1994"/>
    <w:p>
      <w:pPr>
        <w:pStyle w:val="Bibliography"/>
      </w:pPr>
      <w:r>
        <w:t xml:space="preserve">Westphal, James D., and Edward J. Zajac. 1994.</w:t>
      </w:r>
      <w:r>
        <w:t xml:space="preserve"> </w:t>
      </w:r>
      <w:r>
        <w:t xml:space="preserve">“Substance and Symbolism in</w:t>
      </w:r>
      <w:r>
        <w:t xml:space="preserve"> </w:t>
      </w:r>
      <w:r>
        <w:t xml:space="preserve">CEOs’</w:t>
      </w:r>
      <w:r>
        <w:t xml:space="preserve"> </w:t>
      </w:r>
      <w:r>
        <w:t xml:space="preserve">Long-Term Incentive Plans.”</w:t>
      </w:r>
      <w:r>
        <w:t xml:space="preserve"> </w:t>
      </w:r>
      <w:r>
        <w:rPr>
          <w:i/>
          <w:iCs/>
        </w:rPr>
        <w:t xml:space="preserve">Administrative Science Quarterly</w:t>
      </w:r>
      <w:r>
        <w:t xml:space="preserve"> </w:t>
      </w:r>
      <w:r>
        <w:t xml:space="preserve">39 (3): 367–90.</w:t>
      </w:r>
      <w:r>
        <w:t xml:space="preserve"> </w:t>
      </w:r>
      <w:hyperlink r:id="rId101">
        <w:r>
          <w:rPr>
            <w:rStyle w:val="Hipervnculo"/>
          </w:rPr>
          <w:t xml:space="preserve">https://doi.org/10.2307/2393295</w:t>
        </w:r>
      </w:hyperlink>
      <w:r>
        <w:t xml:space="preserve">.</w:t>
      </w:r>
    </w:p>
    <w:bookmarkEnd w:id="167"/>
    <w:bookmarkEnd w:id="168"/>
    <w:p>
      <w:r>
        <w:br w:type="page"/>
      </w:r>
    </w:p>
    <w:bookmarkEnd w:id="169"/>
    <w:bookmarkStart w:id="170" w:name="appendices"/>
    <w:p>
      <w:pPr>
        <w:pStyle w:val="Ttulo1"/>
      </w:pPr>
      <w:r>
        <w:rPr>
          <w:caps/>
          <w:smallCaps w:val="0"/>
        </w:rPr>
        <w:t xml:space="preserve">Appendices</w:t>
      </w:r>
    </w:p>
    <w:bookmarkStart w:id="171" w:name="appendix-a"/>
    <w:p>
      <w:pPr>
        <w:pStyle w:val="Ttulo2"/>
      </w:pPr>
      <w:r>
        <w:t xml:space="preserve">Appendix A: Data Acquisition and Measurement Methodology</w:t>
      </w:r>
    </w:p>
    <w:bookmarkStart w:id="172" w:name="appendix-a1"/>
    <w:p>
      <w:pPr>
        <w:pStyle w:val="Ttulo3"/>
      </w:pPr>
      <w:r>
        <w:t xml:space="preserve">A.1 Computational environment and analytical stack</w:t>
      </w:r>
    </w:p>
    <w:p>
      <w:pPr>
        <w:pStyle w:val="FirstParagraph"/>
      </w:pPr>
      <w:r>
        <w:t xml:space="preserve">The pipeline, the feature engineering and the statistical analysis are written entirely in Python 3.12, inside an isolated and deterministic environment managed with</w:t>
      </w:r>
      <w:r>
        <w:t xml:space="preserve"> </w:t>
      </w:r>
      <w:r>
        <w:rPr>
          <w:rStyle w:val="VerbatimChar"/>
        </w:rPr>
        <w:t xml:space="preserve">uv</w:t>
      </w:r>
      <w:r>
        <w:t xml:space="preserve">. The stack is:</w:t>
      </w:r>
    </w:p>
    <w:p>
      <w:pPr>
        <w:pStyle w:val="Compact"/>
        <w:numPr>
          <w:ilvl w:val="0"/>
          <w:numId w:val="27"/>
        </w:numPr>
      </w:pPr>
      <w:r>
        <w:rPr>
          <w:b/>
          <w:bCs/>
        </w:rPr>
        <w:t xml:space="preserve">Data engineering:</w:t>
      </w:r>
      <w:r>
        <w:t xml:space="preserve"> </w:t>
      </w:r>
      <w:r>
        <w:rPr>
          <w:rStyle w:val="VerbatimChar"/>
        </w:rPr>
        <w:t xml:space="preserve">polars</w:t>
      </w:r>
      <w:r>
        <w:t xml:space="preserve"> </w:t>
      </w:r>
      <w:r>
        <w:t xml:space="preserve">for ingestion, text hashing and the multi-million-row Bronze and Silver Parquet transformations, and</w:t>
      </w:r>
      <w:r>
        <w:t xml:space="preserve"> </w:t>
      </w:r>
      <w:r>
        <w:rPr>
          <w:rStyle w:val="VerbatimChar"/>
        </w:rPr>
        <w:t xml:space="preserve">pandas</w:t>
      </w:r>
      <w:r>
        <w:t xml:space="preserve"> </w:t>
      </w:r>
      <w:r>
        <w:t xml:space="preserve">with</w:t>
      </w:r>
      <w:r>
        <w:t xml:space="preserve"> </w:t>
      </w:r>
      <w:r>
        <w:rPr>
          <w:rStyle w:val="VerbatimChar"/>
        </w:rPr>
        <w:t xml:space="preserve">NumPy</w:t>
      </w:r>
      <w:r>
        <w:t xml:space="preserve"> </w:t>
      </w:r>
      <w:r>
        <w:t xml:space="preserve">for the Gold analytical panels and the tabular aggregations.</w:t>
      </w:r>
    </w:p>
    <w:p>
      <w:pPr>
        <w:pStyle w:val="Compact"/>
        <w:numPr>
          <w:ilvl w:val="0"/>
          <w:numId w:val="27"/>
        </w:numPr>
      </w:pPr>
      <w:r>
        <w:rPr>
          <w:b/>
          <w:bCs/>
        </w:rPr>
        <w:t xml:space="preserve">NLP and embeddings:</w:t>
      </w:r>
      <w:r>
        <w:t xml:space="preserve"> </w:t>
      </w:r>
      <w:r>
        <w:t xml:space="preserve">dense representations from the Hugging Face model</w:t>
      </w:r>
      <w:r>
        <w:t xml:space="preserve"> </w:t>
      </w:r>
      <w:r>
        <w:rPr>
          <w:rStyle w:val="VerbatimChar"/>
        </w:rPr>
        <w:t xml:space="preserve">BAAI/bge-m3</w:t>
      </w:r>
      <w:r>
        <w:t xml:space="preserve"> </w:t>
      </w:r>
      <w:r>
        <w:t xml:space="preserve">(</w:t>
      </w:r>
      <w:hyperlink w:anchor="ref-chen2024bge">
        <w:r>
          <w:rPr>
            <w:rStyle w:val="Hipervnculo"/>
          </w:rPr>
          <w:t xml:space="preserve">Jianlv Chen et al. 2024</w:t>
        </w:r>
      </w:hyperlink>
      <w:r>
        <w:t xml:space="preserve">)</w:t>
      </w:r>
      <w:r>
        <w:t xml:space="preserve">, which handles several languages and an 8,192-token context window, used for the semantic anchor scores.</w:t>
      </w:r>
    </w:p>
    <w:p>
      <w:pPr>
        <w:pStyle w:val="Compact"/>
        <w:numPr>
          <w:ilvl w:val="0"/>
          <w:numId w:val="27"/>
        </w:numPr>
      </w:pPr>
      <w:r>
        <w:rPr>
          <w:b/>
          <w:bCs/>
        </w:rPr>
        <w:t xml:space="preserve">Machine learning and inference:</w:t>
      </w:r>
      <w:r>
        <w:t xml:space="preserve"> </w:t>
      </w:r>
      <w:r>
        <w:t xml:space="preserve">supervised classification with</w:t>
      </w:r>
      <w:r>
        <w:t xml:space="preserve"> </w:t>
      </w:r>
      <w:r>
        <w:rPr>
          <w:rStyle w:val="VerbatimChar"/>
        </w:rPr>
        <w:t xml:space="preserve">lightgbm</w:t>
      </w:r>
      <w:r>
        <w:t xml:space="preserve"> </w:t>
      </w:r>
      <w:r>
        <w:t xml:space="preserve">and</w:t>
      </w:r>
      <w:r>
        <w:t xml:space="preserve"> </w:t>
      </w:r>
      <w:r>
        <w:rPr>
          <w:rStyle w:val="VerbatimChar"/>
        </w:rPr>
        <w:t xml:space="preserve">scikit-learn</w:t>
      </w:r>
      <w:r>
        <w:t xml:space="preserve">; LLM extraction with</w:t>
      </w:r>
      <w:r>
        <w:t xml:space="preserve"> </w:t>
      </w:r>
      <w:r>
        <w:rPr>
          <w:rStyle w:val="VerbatimChar"/>
        </w:rPr>
        <w:t xml:space="preserve">openai/gpt-5.6-luna</w:t>
      </w:r>
      <w:r>
        <w:t xml:space="preserve"> </w:t>
      </w:r>
      <w:r>
        <w:t xml:space="preserve">through Amazon Bedrock and OpenRouter, with the JSON output enforced by</w:t>
      </w:r>
      <w:r>
        <w:t xml:space="preserve"> </w:t>
      </w:r>
      <w:r>
        <w:rPr>
          <w:rStyle w:val="VerbatimChar"/>
        </w:rPr>
        <w:t xml:space="preserve">pydantic-ai</w:t>
      </w:r>
      <w:r>
        <w:t xml:space="preserve">.</w:t>
      </w:r>
    </w:p>
    <w:p>
      <w:pPr>
        <w:pStyle w:val="Compact"/>
        <w:numPr>
          <w:ilvl w:val="0"/>
          <w:numId w:val="27"/>
        </w:numPr>
      </w:pPr>
      <w:r>
        <w:rPr>
          <w:b/>
          <w:bCs/>
        </w:rPr>
        <w:t xml:space="preserve">Econometrics:</w:t>
      </w:r>
      <w:r>
        <w:t xml:space="preserve"> </w:t>
      </w:r>
      <w:r>
        <w:t xml:space="preserve">cross-sectional and panel regressions, fixed-effects specifications and survival diagnostics, estimated with</w:t>
      </w:r>
      <w:r>
        <w:t xml:space="preserve"> </w:t>
      </w:r>
      <w:r>
        <w:rPr>
          <w:rStyle w:val="VerbatimChar"/>
        </w:rPr>
        <w:t xml:space="preserve">statsmodels</w:t>
      </w:r>
      <w:r>
        <w:t xml:space="preserve"> </w:t>
      </w:r>
      <w:r>
        <w:t xml:space="preserve">and</w:t>
      </w:r>
      <w:r>
        <w:t xml:space="preserve"> </w:t>
      </w:r>
      <w:r>
        <w:rPr>
          <w:rStyle w:val="VerbatimChar"/>
        </w:rPr>
        <w:t xml:space="preserve">SciPy</w:t>
      </w:r>
      <w:r>
        <w:t xml:space="preserve">.</w:t>
      </w:r>
    </w:p>
    <w:p>
      <w:pPr>
        <w:pStyle w:val="Compact"/>
        <w:numPr>
          <w:ilvl w:val="0"/>
          <w:numId w:val="27"/>
        </w:numPr>
      </w:pPr>
      <w:r>
        <w:rPr>
          <w:b/>
          <w:bCs/>
        </w:rPr>
        <w:t xml:space="preserve">Reproducibility:</w:t>
      </w:r>
      <w:r>
        <w:t xml:space="preserve"> </w:t>
      </w:r>
      <w:r>
        <w:t xml:space="preserve">all code and pipeline artifacts under Git, with deterministic seeds on every stochastic step.</w:t>
      </w:r>
    </w:p>
    <w:bookmarkEnd w:id="170"/>
    <w:bookmarkStart w:id="173" w:name="appendix-a2"/>
    <w:p>
      <w:pPr>
        <w:pStyle w:val="Ttulo3"/>
      </w:pPr>
      <w:r>
        <w:t xml:space="preserve">A.2 Study universe and analysis panel</w:t>
      </w:r>
    </w:p>
    <w:p>
      <w:pPr>
        <w:pStyle w:val="FirstParagraph"/>
      </w:pPr>
      <w:r>
        <w:t xml:space="preserve">The sample is a fixed cohort of S&amp;P 500 constituents as of January 1, 2021 (</w:t>
      </w:r>
      <m:oMath>
        <m:r>
          <w:rPr>
            <w:sz w:val="22"/>
          </w:rPr>
          <m:t>N</m:t>
        </m:r>
        <m:r>
          <m:rPr>
            <m:sty m:val="p"/>
          </m:rPr>
          <w:rPr>
            <w:sz w:val="22"/>
          </w:rPr>
          <m:t>=</m:t>
        </m:r>
      </m:oMath>
      <w:r>
        <w:t xml:space="preserve"> </w:t>
      </w:r>
      <w:r>
        <w:t xml:space="preserve">499 unique issuers, with dual-class structures unified under the primary equity ticker). Fixing index membership at the start of the period removes survivorship and look-ahead bias: the panel keeps the 39 firms later acquired, restructured or delisted and follows their disclosure over their active listing window instead of conditioning on membership through 2026. Daily equity prices, dividend-inclusive total returns, daily market capitalization and the S&amp;P 500 total-return benchmark run from FactSet</w:t>
      </w:r>
      <w:r>
        <w:t xml:space="preserve"> </w:t>
      </w:r>
      <w:r>
        <w:t xml:space="preserve">(</w:t>
      </w:r>
      <w:hyperlink w:anchor="ref-factset">
        <w:r>
          <w:rPr>
            <w:rStyle w:val="Hipervnculo"/>
          </w:rPr>
          <w:t xml:space="preserve">FactSet Research Systems, n.d.</w:t>
        </w:r>
      </w:hyperlink>
      <w:r>
        <w:t xml:space="preserve">)</w:t>
      </w:r>
      <w:r>
        <w:t xml:space="preserve">, starting September 17, 2015 and truncated to null after a constituent’s delisting date rather than carried forward; the analysis panel uses this series from 2021 onward, the same window as the disclosure corpus.</w:t>
      </w:r>
    </w:p>
    <w:p>
      <w:pPr>
        <w:pStyle w:val="Textoindependiente"/>
      </w:pPr>
      <w:hyperlink w:anchor="tbl-a0-sic-sector-mapping">
        <w:r>
          <w:rPr>
            <w:rStyle w:val="Hipervnculo"/>
          </w:rPr>
          <w:t xml:space="preserve">Table 24</w:t>
        </w:r>
      </w:hyperlink>
      <w:r>
        <w:t xml:space="preserve"> </w:t>
      </w:r>
      <w:r>
        <w:t xml:space="preserve">defines the structural correspondence between the 57 two-digit Standard Industrial Classification (SIC) major groups observed in the S&amp;P 500 universe (</w:t>
      </w:r>
      <m:oMath>
        <m:r>
          <w:rPr>
            <w:sz w:val="22"/>
          </w:rPr>
          <m:t>N</m:t>
        </m:r>
        <m:r>
          <m:rPr>
            <m:sty m:val="p"/>
          </m:rPr>
          <w:rPr>
            <w:sz w:val="22"/>
          </w:rPr>
          <m:t>=</m:t>
        </m:r>
      </m:oMath>
      <w:r>
        <w:t xml:space="preserve"> </w:t>
      </w:r>
      <w:r>
        <w:t xml:space="preserve">499) and the 11 aggregated economic sectors used throughout this study. Collapsing the 2-digit groups into these 11 sectors avoids very sparse cells in the cross-sectional models and still keeps the economic distinctions that matter here: how technology is generated, capital intensity, regulatory exposure and the operating model.</w:t>
      </w:r>
    </w:p>
    <w:bookmarkStart w:id="174" w:name="tbl-a0-sic-sector-mapping"/>
    <w:p>
      <w:pPr>
        <w:keepNext/>
        <w:pStyle w:val="ImageCaption"/>
        <w:jc w:val="left"/>
        <w:spacing w:before="200"/>
        <w:ind w:firstLine="0" w:left="0" w:right="0"/>
      </w:pPr>
      <w:r>
        <w:t xml:space="preserve">Table 24:</w:t>
      </w:r>
      <w:r>
        <w:t xml:space="preserve"> </w:t>
      </w:r>
      <w:r>
        <w:rPr>
          <w:rStyle w:val="CaptionText"/>
        </w:rPr>
        <w:t xml:space="preserve">Structural correspondence between two-digit SIC major groups and aggregated economic sectors (</w:t>
      </w:r>
      <m:oMath>
        <m:r>
          <w:rPr>
            <w:sz w:val="22"/>
          </w:rPr>
          <m:t>N</m:t>
        </m:r>
        <m:r>
          <m:rPr>
            <m:sty m:val="p"/>
          </m:rPr>
          <w:rPr>
            <w:sz w:val="22"/>
          </w:rPr>
          <m:t>=</m:t>
        </m:r>
        <m:r>
          <w:rPr>
            <w:sz w:val="22"/>
          </w:rPr>
          <m:t>499</m:t>
        </m:r>
      </m:oMath>
      <w:r>
        <w:rPr>
          <w:rStyle w:val="CaptionText"/>
        </w:rPr>
        <w:t xml:space="preserve"> </w:t>
      </w:r>
      <w:r>
        <w:rPr>
          <w:rStyle w:val="CaptionText"/>
        </w:rPr>
        <w:t xml:space="preserve">S&amp;P 500 study universe).</w:t>
      </w:r>
    </w:p>
    <w:tbl>
      <w:tblPr>
        <w:tblStyle w:val="Table"/>
        <w:tblW w:type="auto" w:w="0"/>
        <w:jc w:val="center"/>
        <w:tblLook w:firstRow="1" w:lastRow="0" w:firstColumn="0" w:lastColumn="0" w:noHBand="0" w:noVBand="0" w:val="0020"/>
        <w:tblBorders>
          <w:top w:val="single" w:sz="8" w:space="0" w:color="0F172A"/>
          <w:bottom w:val="single" w:sz="8" w:space="0" w:color="0F172A"/>
          <w:left w:val="none"/>
          <w:right w:val="none"/>
          <w:insideH w:val="single" w:sz="4" w:space="0" w:color="E2E8F0"/>
          <w:insideV w:val="none"/>
        </w:tblBorders>
        <w:tblCellMar>
          <w:top w:w="26" w:type="dxa"/>
          <w:bottom w:w="26" w:type="dxa"/>
          <w:left w:w="48" w:type="dxa"/>
          <w:right w:w="48" w:type="dxa"/>
        </w:tblCellMar>
      </w:tblPr>
      <w:tblGrid>
        <w:gridCol w:w="2640"/>
        <w:gridCol w:w="2640"/>
        <w:gridCol w:w="2640"/>
      </w:tblGrid>
      <w:tr>
        <w:trPr>
          <w:tblHeader w:val="on"/>
          <w:cantSplit/>
          <w:tblHeader/>
        </w:trPr>
        <w:tc>
          <w:tcPr>
            <w:shd w:fill="F1F5F9"/>
            <w:tcBorders>
              <w:bottom w:val="single" w:sz="8" w:space="0" w:color="475569"/>
            </w:tcBorders>
          </w:tcPr>
          <w:p>
            <w:pPr>
              <w:pStyle w:val="Compact"/>
              <w:spacing w:before="8" w:after="8" w:line="240" w:lineRule="auto"/>
              <w:ind w:firstLine="0" w:left="0" w:right="0"/>
              <w:jc w:val="left"/>
              <w:jc w:val="center"/>
            </w:pPr>
            <w:r>
              <w:rPr>
                <w:rFonts w:ascii="Calibri" w:hAnsi="Calibri"/>
                <w:b/>
                <w:color w:val="0F172A"/>
                <w:sz w:val="16"/>
              </w:rPr>
              <w:t xml:space="preserve">Aggregated Economic Sector</w:t>
            </w:r>
          </w:p>
        </w:tc>
        <w:tc>
          <w:tcPr>
            <w:shd w:fill="F1F5F9"/>
            <w:tcBorders>
              <w:bottom w:val="single" w:sz="8" w:space="0" w:color="475569"/>
            </w:tcBorders>
          </w:tcPr>
          <w:p>
            <w:pPr>
              <w:pStyle w:val="Compact"/>
              <w:spacing w:before="8" w:after="8" w:line="240" w:lineRule="auto"/>
              <w:ind w:firstLine="0" w:left="0" w:right="0"/>
              <w:jc w:val="left"/>
              <w:jc w:val="center"/>
            </w:pPr>
            <w:r>
              <w:rPr>
                <w:rFonts w:ascii="Calibri" w:hAnsi="Calibri"/>
                <w:b/>
                <w:color w:val="0F172A"/>
                <w:sz w:val="16"/>
              </w:rPr>
              <w:t xml:space="preserve">Firms (%)</w:t>
            </w:r>
          </w:p>
        </w:tc>
        <w:tc>
          <w:tcPr>
            <w:shd w:fill="F1F5F9"/>
            <w:tcBorders>
              <w:bottom w:val="single" w:sz="8" w:space="0" w:color="475569"/>
            </w:tcBorders>
          </w:tcPr>
          <w:p>
            <w:pPr>
              <w:pStyle w:val="Compact"/>
              <w:spacing w:before="8" w:after="8" w:line="240" w:lineRule="auto"/>
              <w:ind w:firstLine="0" w:left="0" w:right="0"/>
              <w:jc w:val="left"/>
              <w:jc w:val="center"/>
            </w:pPr>
            <w:r>
              <w:rPr>
                <w:rFonts w:ascii="Calibri" w:hAnsi="Calibri"/>
                <w:b/>
                <w:color w:val="0F172A"/>
                <w:sz w:val="16"/>
              </w:rPr>
              <w:t xml:space="preserve">SIC-2 Codes</w:t>
            </w:r>
          </w:p>
        </w:tc>
      </w:tr>
      <w:tr>
        <w:trPr>
          <w:cantSplit/>
        </w:trPr>
        <w:tc>
          <w:tcPr/>
          <w:p>
            <w:pPr>
              <w:pStyle w:val="Compact"/>
              <w:spacing w:before="8" w:after="8" w:line="240" w:lineRule="auto"/>
              <w:ind w:firstLine="0" w:left="0" w:right="0"/>
              <w:jc w:val="left"/>
              <w:jc w:val="center"/>
            </w:pPr>
            <w:r>
              <w:rPr>
                <w:rFonts w:ascii="Calibri" w:hAnsi="Calibri"/>
                <w:sz w:val="16"/>
              </w:rPr>
              <w:t xml:space="preserve">Technology</w:t>
            </w:r>
          </w:p>
        </w:tc>
        <w:tc>
          <w:tcPr/>
          <w:p>
            <w:pPr>
              <w:pStyle w:val="Compact"/>
              <w:spacing w:before="8" w:after="8" w:line="240" w:lineRule="auto"/>
              <w:ind w:firstLine="0" w:left="0" w:right="0"/>
              <w:jc w:val="left"/>
              <w:jc w:val="center"/>
            </w:pPr>
            <w:r>
              <w:rPr>
                <w:rFonts w:ascii="Calibri" w:hAnsi="Calibri"/>
                <w:sz w:val="16"/>
              </w:rPr>
              <w:t xml:space="preserve">106 (21.2%)</w:t>
            </w:r>
          </w:p>
        </w:tc>
        <w:tc>
          <w:tcPr/>
          <w:p>
            <w:pPr>
              <w:pStyle w:val="Compact"/>
              <w:spacing w:before="8" w:after="8" w:line="240" w:lineRule="auto"/>
              <w:ind w:firstLine="0" w:left="0" w:right="0"/>
              <w:jc w:val="left"/>
              <w:jc w:val="center"/>
            </w:pPr>
            <w:r>
              <w:rPr>
                <w:rFonts w:ascii="Calibri" w:hAnsi="Calibri"/>
                <w:sz w:val="16"/>
              </w:rPr>
              <w:t xml:space="preserve">35, 36, 73</w:t>
            </w:r>
          </w:p>
        </w:tc>
      </w:tr>
      <w:tr>
        <w:trPr>
          <w:cantSplit/>
        </w:trPr>
        <w:tc>
          <w:tcPr/>
          <w:p>
            <w:pPr>
              <w:pStyle w:val="Compact"/>
              <w:spacing w:before="8" w:after="8" w:line="240" w:lineRule="auto"/>
              <w:ind w:firstLine="0" w:left="0" w:right="0"/>
              <w:jc w:val="left"/>
              <w:jc w:val="center"/>
            </w:pPr>
            <w:r>
              <w:rPr>
                <w:rFonts w:ascii="Calibri" w:hAnsi="Calibri"/>
                <w:sz w:val="16"/>
              </w:rPr>
              <w:t xml:space="preserve">Financial Services</w:t>
            </w:r>
          </w:p>
        </w:tc>
        <w:tc>
          <w:tcPr/>
          <w:p>
            <w:pPr>
              <w:pStyle w:val="Compact"/>
              <w:spacing w:before="8" w:after="8" w:line="240" w:lineRule="auto"/>
              <w:ind w:firstLine="0" w:left="0" w:right="0"/>
              <w:jc w:val="left"/>
              <w:jc w:val="center"/>
            </w:pPr>
            <w:r>
              <w:rPr>
                <w:rFonts w:ascii="Calibri" w:hAnsi="Calibri"/>
                <w:sz w:val="16"/>
              </w:rPr>
              <w:t xml:space="preserve">95 (19.0%)</w:t>
            </w:r>
          </w:p>
        </w:tc>
        <w:tc>
          <w:tcPr/>
          <w:p>
            <w:pPr>
              <w:pStyle w:val="Compact"/>
              <w:spacing w:before="8" w:after="8" w:line="240" w:lineRule="auto"/>
              <w:ind w:firstLine="0" w:left="0" w:right="0"/>
              <w:jc w:val="left"/>
              <w:jc w:val="center"/>
            </w:pPr>
            <w:r>
              <w:rPr>
                <w:rFonts w:ascii="Calibri" w:hAnsi="Calibri"/>
                <w:sz w:val="16"/>
              </w:rPr>
              <w:t xml:space="preserve">60, 61, 62, 63, 64, 65, 67</w:t>
            </w:r>
          </w:p>
        </w:tc>
      </w:tr>
      <w:tr>
        <w:trPr>
          <w:cantSplit/>
        </w:trPr>
        <w:tc>
          <w:tcPr/>
          <w:p>
            <w:pPr>
              <w:pStyle w:val="Compact"/>
              <w:spacing w:before="8" w:after="8" w:line="240" w:lineRule="auto"/>
              <w:ind w:firstLine="0" w:left="0" w:right="0"/>
              <w:jc w:val="left"/>
              <w:jc w:val="center"/>
            </w:pPr>
            <w:r>
              <w:rPr>
                <w:rFonts w:ascii="Calibri" w:hAnsi="Calibri"/>
                <w:sz w:val="16"/>
              </w:rPr>
              <w:t xml:space="preserve">Healthcare &amp; Pharma</w:t>
            </w:r>
          </w:p>
        </w:tc>
        <w:tc>
          <w:tcPr/>
          <w:p>
            <w:pPr>
              <w:pStyle w:val="Compact"/>
              <w:spacing w:before="8" w:after="8" w:line="240" w:lineRule="auto"/>
              <w:ind w:firstLine="0" w:left="0" w:right="0"/>
              <w:jc w:val="left"/>
              <w:jc w:val="center"/>
            </w:pPr>
            <w:r>
              <w:rPr>
                <w:rFonts w:ascii="Calibri" w:hAnsi="Calibri"/>
                <w:sz w:val="16"/>
              </w:rPr>
              <w:t xml:space="preserve">85 (17.0%)</w:t>
            </w:r>
          </w:p>
        </w:tc>
        <w:tc>
          <w:tcPr/>
          <w:p>
            <w:pPr>
              <w:pStyle w:val="Compact"/>
              <w:spacing w:before="8" w:after="8" w:line="240" w:lineRule="auto"/>
              <w:ind w:firstLine="0" w:left="0" w:right="0"/>
              <w:jc w:val="left"/>
              <w:jc w:val="center"/>
            </w:pPr>
            <w:r>
              <w:rPr>
                <w:rFonts w:ascii="Calibri" w:hAnsi="Calibri"/>
                <w:sz w:val="16"/>
              </w:rPr>
              <w:t xml:space="preserve">28, 38, 80</w:t>
            </w:r>
          </w:p>
        </w:tc>
      </w:tr>
      <w:tr>
        <w:trPr>
          <w:cantSplit/>
        </w:trPr>
        <w:tc>
          <w:tcPr/>
          <w:p>
            <w:pPr>
              <w:pStyle w:val="Compact"/>
              <w:spacing w:before="8" w:after="8" w:line="240" w:lineRule="auto"/>
              <w:ind w:firstLine="0" w:left="0" w:right="0"/>
              <w:jc w:val="left"/>
              <w:jc w:val="center"/>
            </w:pPr>
            <w:r>
              <w:rPr>
                <w:rFonts w:ascii="Calibri" w:hAnsi="Calibri"/>
                <w:sz w:val="16"/>
              </w:rPr>
              <w:t xml:space="preserve">Industrials &amp; Mfg</w:t>
            </w:r>
          </w:p>
        </w:tc>
        <w:tc>
          <w:tcPr/>
          <w:p>
            <w:pPr>
              <w:pStyle w:val="Compact"/>
              <w:spacing w:before="8" w:after="8" w:line="240" w:lineRule="auto"/>
              <w:ind w:firstLine="0" w:left="0" w:right="0"/>
              <w:jc w:val="left"/>
              <w:jc w:val="center"/>
            </w:pPr>
            <w:r>
              <w:rPr>
                <w:rFonts w:ascii="Calibri" w:hAnsi="Calibri"/>
                <w:sz w:val="16"/>
              </w:rPr>
              <w:t xml:space="preserve">71 (14.2%)</w:t>
            </w:r>
          </w:p>
        </w:tc>
        <w:tc>
          <w:tcPr/>
          <w:p>
            <w:pPr>
              <w:pStyle w:val="Compact"/>
              <w:spacing w:before="8" w:after="8" w:line="240" w:lineRule="auto"/>
              <w:ind w:firstLine="0" w:left="0" w:right="0"/>
              <w:jc w:val="left"/>
              <w:jc w:val="center"/>
            </w:pPr>
            <w:r>
              <w:rPr>
                <w:rFonts w:ascii="Calibri" w:hAnsi="Calibri"/>
                <w:sz w:val="16"/>
              </w:rPr>
              <w:t xml:space="preserve">20, 21, 22, 23, 24, 25, 26, 27, 29, 30, 31, 33, 34, 37, 39</w:t>
            </w:r>
          </w:p>
        </w:tc>
      </w:tr>
      <w:tr>
        <w:trPr>
          <w:cantSplit/>
        </w:trPr>
        <w:tc>
          <w:tcPr/>
          <w:p>
            <w:pPr>
              <w:pStyle w:val="Compact"/>
              <w:spacing w:before="8" w:after="8" w:line="240" w:lineRule="auto"/>
              <w:ind w:firstLine="0" w:left="0" w:right="0"/>
              <w:jc w:val="left"/>
              <w:jc w:val="center"/>
            </w:pPr>
            <w:r>
              <w:rPr>
                <w:rFonts w:ascii="Calibri" w:hAnsi="Calibri"/>
                <w:sz w:val="16"/>
              </w:rPr>
              <w:t xml:space="preserve">Retail &amp; Wholesale</w:t>
            </w:r>
          </w:p>
        </w:tc>
        <w:tc>
          <w:tcPr/>
          <w:p>
            <w:pPr>
              <w:pStyle w:val="Compact"/>
              <w:spacing w:before="8" w:after="8" w:line="240" w:lineRule="auto"/>
              <w:ind w:firstLine="0" w:left="0" w:right="0"/>
              <w:jc w:val="left"/>
              <w:jc w:val="center"/>
            </w:pPr>
            <w:r>
              <w:rPr>
                <w:rFonts w:ascii="Calibri" w:hAnsi="Calibri"/>
                <w:sz w:val="16"/>
              </w:rPr>
              <w:t xml:space="preserve">44 (8.8%)</w:t>
            </w:r>
          </w:p>
        </w:tc>
        <w:tc>
          <w:tcPr/>
          <w:p>
            <w:pPr>
              <w:pStyle w:val="Compact"/>
              <w:spacing w:before="8" w:after="8" w:line="240" w:lineRule="auto"/>
              <w:ind w:firstLine="0" w:left="0" w:right="0"/>
              <w:jc w:val="left"/>
              <w:jc w:val="center"/>
            </w:pPr>
            <w:r>
              <w:rPr>
                <w:rFonts w:ascii="Calibri" w:hAnsi="Calibri"/>
                <w:sz w:val="16"/>
              </w:rPr>
              <w:t xml:space="preserve">50, 51, 52, 53, 54, 55, 56, 57, 58, 59</w:t>
            </w:r>
          </w:p>
        </w:tc>
      </w:tr>
      <w:tr>
        <w:trPr>
          <w:cantSplit/>
        </w:trPr>
        <w:tc>
          <w:tcPr/>
          <w:p>
            <w:pPr>
              <w:pStyle w:val="Compact"/>
              <w:spacing w:before="8" w:after="8" w:line="240" w:lineRule="auto"/>
              <w:ind w:firstLine="0" w:left="0" w:right="0"/>
              <w:jc w:val="left"/>
              <w:jc w:val="center"/>
            </w:pPr>
            <w:r>
              <w:rPr>
                <w:rFonts w:ascii="Calibri" w:hAnsi="Calibri"/>
                <w:sz w:val="16"/>
              </w:rPr>
              <w:t xml:space="preserve">Utilities</w:t>
            </w:r>
          </w:p>
        </w:tc>
        <w:tc>
          <w:tcPr/>
          <w:p>
            <w:pPr>
              <w:pStyle w:val="Compact"/>
              <w:spacing w:before="8" w:after="8" w:line="240" w:lineRule="auto"/>
              <w:ind w:firstLine="0" w:left="0" w:right="0"/>
              <w:jc w:val="left"/>
              <w:jc w:val="center"/>
            </w:pPr>
            <w:r>
              <w:rPr>
                <w:rFonts w:ascii="Calibri" w:hAnsi="Calibri"/>
                <w:sz w:val="16"/>
              </w:rPr>
              <w:t xml:space="preserve">33 (6.6%)</w:t>
            </w:r>
          </w:p>
        </w:tc>
        <w:tc>
          <w:tcPr/>
          <w:p>
            <w:pPr>
              <w:pStyle w:val="Compact"/>
              <w:spacing w:before="8" w:after="8" w:line="240" w:lineRule="auto"/>
              <w:ind w:firstLine="0" w:left="0" w:right="0"/>
              <w:jc w:val="right"/>
              <w:jc w:val="center"/>
            </w:pPr>
            <w:r>
              <w:rPr>
                <w:rFonts w:ascii="Calibri" w:hAnsi="Calibri"/>
                <w:sz w:val="16"/>
              </w:rPr>
              <w:t xml:space="preserve">49</w:t>
            </w:r>
          </w:p>
        </w:tc>
      </w:tr>
      <w:tr>
        <w:trPr>
          <w:cantSplit/>
        </w:trPr>
        <w:tc>
          <w:tcPr/>
          <w:p>
            <w:pPr>
              <w:pStyle w:val="Compact"/>
              <w:spacing w:before="8" w:after="8" w:line="240" w:lineRule="auto"/>
              <w:ind w:firstLine="0" w:left="0" w:right="0"/>
              <w:jc w:val="left"/>
              <w:jc w:val="center"/>
            </w:pPr>
            <w:r>
              <w:rPr>
                <w:rFonts w:ascii="Calibri" w:hAnsi="Calibri"/>
                <w:sz w:val="16"/>
              </w:rPr>
              <w:t xml:space="preserve">Transportation</w:t>
            </w:r>
          </w:p>
        </w:tc>
        <w:tc>
          <w:tcPr/>
          <w:p>
            <w:pPr>
              <w:pStyle w:val="Compact"/>
              <w:spacing w:before="8" w:after="8" w:line="240" w:lineRule="auto"/>
              <w:ind w:firstLine="0" w:left="0" w:right="0"/>
              <w:jc w:val="left"/>
              <w:jc w:val="center"/>
            </w:pPr>
            <w:r>
              <w:rPr>
                <w:rFonts w:ascii="Calibri" w:hAnsi="Calibri"/>
                <w:sz w:val="16"/>
              </w:rPr>
              <w:t xml:space="preserve">20 (4.0%)</w:t>
            </w:r>
          </w:p>
        </w:tc>
        <w:tc>
          <w:tcPr/>
          <w:p>
            <w:pPr>
              <w:pStyle w:val="Compact"/>
              <w:spacing w:before="8" w:after="8" w:line="240" w:lineRule="auto"/>
              <w:ind w:firstLine="0" w:left="0" w:right="0"/>
              <w:jc w:val="left"/>
              <w:jc w:val="center"/>
            </w:pPr>
            <w:r>
              <w:rPr>
                <w:rFonts w:ascii="Calibri" w:hAnsi="Calibri"/>
                <w:sz w:val="16"/>
              </w:rPr>
              <w:t xml:space="preserve">40, 42, 44, 45, 47</w:t>
            </w:r>
          </w:p>
        </w:tc>
      </w:tr>
      <w:tr>
        <w:trPr>
          <w:cantSplit/>
        </w:trPr>
        <w:tc>
          <w:tcPr/>
          <w:p>
            <w:pPr>
              <w:pStyle w:val="Compact"/>
              <w:spacing w:before="8" w:after="8" w:line="240" w:lineRule="auto"/>
              <w:ind w:firstLine="0" w:left="0" w:right="0"/>
              <w:jc w:val="left"/>
              <w:jc w:val="center"/>
            </w:pPr>
            <w:r>
              <w:rPr>
                <w:rFonts w:ascii="Calibri" w:hAnsi="Calibri"/>
                <w:sz w:val="16"/>
              </w:rPr>
              <w:t xml:space="preserve">Energy &amp; Mining</w:t>
            </w:r>
          </w:p>
        </w:tc>
        <w:tc>
          <w:tcPr/>
          <w:p>
            <w:pPr>
              <w:pStyle w:val="Compact"/>
              <w:spacing w:before="8" w:after="8" w:line="240" w:lineRule="auto"/>
              <w:ind w:firstLine="0" w:left="0" w:right="0"/>
              <w:jc w:val="left"/>
              <w:jc w:val="center"/>
            </w:pPr>
            <w:r>
              <w:rPr>
                <w:rFonts w:ascii="Calibri" w:hAnsi="Calibri"/>
                <w:sz w:val="16"/>
              </w:rPr>
              <w:t xml:space="preserve">15 (3.0%)</w:t>
            </w:r>
          </w:p>
        </w:tc>
        <w:tc>
          <w:tcPr/>
          <w:p>
            <w:pPr>
              <w:pStyle w:val="Compact"/>
              <w:spacing w:before="8" w:after="8" w:line="240" w:lineRule="auto"/>
              <w:ind w:firstLine="0" w:left="0" w:right="0"/>
              <w:jc w:val="left"/>
              <w:jc w:val="center"/>
            </w:pPr>
            <w:r>
              <w:rPr>
                <w:rFonts w:ascii="Calibri" w:hAnsi="Calibri"/>
                <w:sz w:val="16"/>
              </w:rPr>
              <w:t xml:space="preserve">10, 13, 14</w:t>
            </w:r>
          </w:p>
        </w:tc>
      </w:tr>
      <w:tr>
        <w:trPr>
          <w:cantSplit/>
        </w:trPr>
        <w:tc>
          <w:tcPr/>
          <w:p>
            <w:pPr>
              <w:pStyle w:val="Compact"/>
              <w:spacing w:before="8" w:after="8" w:line="240" w:lineRule="auto"/>
              <w:ind w:firstLine="0" w:left="0" w:right="0"/>
              <w:jc w:val="left"/>
              <w:jc w:val="center"/>
            </w:pPr>
            <w:r>
              <w:rPr>
                <w:rFonts w:ascii="Calibri" w:hAnsi="Calibri"/>
                <w:sz w:val="16"/>
              </w:rPr>
              <w:t xml:space="preserve">Business Services</w:t>
            </w:r>
          </w:p>
        </w:tc>
        <w:tc>
          <w:tcPr/>
          <w:p>
            <w:pPr>
              <w:pStyle w:val="Compact"/>
              <w:spacing w:before="8" w:after="8" w:line="240" w:lineRule="auto"/>
              <w:ind w:firstLine="0" w:left="0" w:right="0"/>
              <w:jc w:val="left"/>
              <w:jc w:val="center"/>
            </w:pPr>
            <w:r>
              <w:rPr>
                <w:rFonts w:ascii="Calibri" w:hAnsi="Calibri"/>
                <w:sz w:val="16"/>
              </w:rPr>
              <w:t xml:space="preserve">12 (2.4%)</w:t>
            </w:r>
          </w:p>
        </w:tc>
        <w:tc>
          <w:tcPr/>
          <w:p>
            <w:pPr>
              <w:pStyle w:val="Compact"/>
              <w:spacing w:before="8" w:after="8" w:line="240" w:lineRule="auto"/>
              <w:ind w:firstLine="0" w:left="0" w:right="0"/>
              <w:jc w:val="left"/>
              <w:jc w:val="center"/>
            </w:pPr>
            <w:r>
              <w:rPr>
                <w:rFonts w:ascii="Calibri" w:hAnsi="Calibri"/>
                <w:sz w:val="16"/>
              </w:rPr>
              <w:t xml:space="preserve">70, 78, 79, 87</w:t>
            </w:r>
          </w:p>
        </w:tc>
      </w:tr>
      <w:tr>
        <w:trPr>
          <w:cantSplit/>
        </w:trPr>
        <w:tc>
          <w:tcPr/>
          <w:p>
            <w:pPr>
              <w:pStyle w:val="Compact"/>
              <w:spacing w:before="8" w:after="8" w:line="240" w:lineRule="auto"/>
              <w:ind w:firstLine="0" w:left="0" w:right="0"/>
              <w:jc w:val="left"/>
              <w:jc w:val="center"/>
            </w:pPr>
            <w:r>
              <w:rPr>
                <w:rFonts w:ascii="Calibri" w:hAnsi="Calibri"/>
                <w:sz w:val="16"/>
              </w:rPr>
              <w:t xml:space="preserve">Communications</w:t>
            </w:r>
          </w:p>
        </w:tc>
        <w:tc>
          <w:tcPr/>
          <w:p>
            <w:pPr>
              <w:pStyle w:val="Compact"/>
              <w:spacing w:before="8" w:after="8" w:line="240" w:lineRule="auto"/>
              <w:ind w:firstLine="0" w:left="0" w:right="0"/>
              <w:jc w:val="left"/>
              <w:jc w:val="center"/>
            </w:pPr>
            <w:r>
              <w:rPr>
                <w:rFonts w:ascii="Calibri" w:hAnsi="Calibri"/>
                <w:sz w:val="16"/>
              </w:rPr>
              <w:t xml:space="preserve">10 (2.0%)</w:t>
            </w:r>
          </w:p>
        </w:tc>
        <w:tc>
          <w:tcPr/>
          <w:p>
            <w:pPr>
              <w:pStyle w:val="Compact"/>
              <w:spacing w:before="8" w:after="8" w:line="240" w:lineRule="auto"/>
              <w:ind w:firstLine="0" w:left="0" w:right="0"/>
              <w:jc w:val="right"/>
              <w:jc w:val="center"/>
            </w:pPr>
            <w:r>
              <w:rPr>
                <w:rFonts w:ascii="Calibri" w:hAnsi="Calibri"/>
                <w:sz w:val="16"/>
              </w:rPr>
              <w:t xml:space="preserve">48</w:t>
            </w:r>
          </w:p>
        </w:tc>
      </w:tr>
      <w:tr>
        <w:trPr>
          <w:cantSplit/>
        </w:trPr>
        <w:tc>
          <w:tcPr/>
          <w:p>
            <w:pPr>
              <w:pStyle w:val="Compact"/>
              <w:spacing w:before="8" w:after="8" w:line="240" w:lineRule="auto"/>
              <w:ind w:firstLine="0" w:left="0" w:right="0"/>
              <w:jc w:val="left"/>
              <w:jc w:val="center"/>
            </w:pPr>
            <w:r>
              <w:rPr>
                <w:rFonts w:ascii="Calibri" w:hAnsi="Calibri"/>
                <w:sz w:val="16"/>
              </w:rPr>
              <w:t xml:space="preserve">Other / Diversified</w:t>
            </w:r>
          </w:p>
        </w:tc>
        <w:tc>
          <w:tcPr/>
          <w:p>
            <w:pPr>
              <w:pStyle w:val="Compact"/>
              <w:spacing w:before="8" w:after="8" w:line="240" w:lineRule="auto"/>
              <w:ind w:firstLine="0" w:left="0" w:right="0"/>
              <w:jc w:val="left"/>
              <w:jc w:val="center"/>
            </w:pPr>
            <w:r>
              <w:rPr>
                <w:rFonts w:ascii="Calibri" w:hAnsi="Calibri"/>
                <w:sz w:val="16"/>
              </w:rPr>
              <w:t xml:space="preserve">8 (1.6%)</w:t>
            </w:r>
          </w:p>
        </w:tc>
        <w:tc>
          <w:tcPr/>
          <w:p>
            <w:pPr>
              <w:pStyle w:val="Compact"/>
              <w:spacing w:before="8" w:after="8" w:line="240" w:lineRule="auto"/>
              <w:ind w:firstLine="0" w:left="0" w:right="0"/>
              <w:jc w:val="left"/>
              <w:jc w:val="center"/>
            </w:pPr>
            <w:r>
              <w:rPr>
                <w:rFonts w:ascii="Calibri" w:hAnsi="Calibri"/>
                <w:sz w:val="16"/>
              </w:rPr>
              <w:t xml:space="preserve">00, 01, 15, 16, 17</w:t>
            </w:r>
          </w:p>
        </w:tc>
      </w:tr>
    </w:tbl>
    <w:bookmarkEnd w:id="171"/>
    <w:p>
      <w:pPr>
        <w:pStyle w:val="FigureNote"/>
        <w:ind w:firstLine="0" w:left="0" w:right="0"/>
        <w:spacing w:before="0" w:after="120"/>
      </w:pPr>
      <w:r>
        <w:rPr>
          <w:i/>
          <w:iCs/>
        </w:rPr>
        <w:t xml:space="preserve">Notes:</w:t>
      </w:r>
      <w:r>
        <w:t xml:space="preserve"> </w:t>
      </w:r>
      <w:r>
        <w:t xml:space="preserve">Petroleum refining (SIC 29) sits in Manufacturing and is grouped into Industrials &amp; Mfg, while oil/gas extraction (SIC 13) and mining (SIC 10, 14) form Energy &amp; Mining. Software and data processing (SIC 737x) sit in Business Services (SIC 73), grouped here with hardware and electronics into Technology.</w:t>
      </w:r>
    </w:p>
    <w:bookmarkEnd w:id="172"/>
    <w:bookmarkStart w:id="175" w:name="appendix-a3"/>
    <w:p>
      <w:pPr>
        <w:pStyle w:val="Ttulo3"/>
      </w:pPr>
      <w:r>
        <w:t xml:space="preserve">A.3 Data sources and acquisition protocol</w:t>
      </w:r>
    </w:p>
    <w:p>
      <w:pPr>
        <w:pStyle w:val="FirstParagraph"/>
      </w:pPr>
      <w:hyperlink w:anchor="tbl-a0-external-sources">
        <w:r>
          <w:rPr>
            <w:rStyle w:val="Hipervnculo"/>
          </w:rPr>
          <w:t xml:space="preserve">Table 25</w:t>
        </w:r>
      </w:hyperlink>
      <w:r>
        <w:t xml:space="preserve"> </w:t>
      </w:r>
      <w:r>
        <w:t xml:space="preserve">lists the external origins the pipeline reads and what each one supplies. Only the transcript feeds are third-party redistributions; everything else is pulled from a primary source.</w:t>
      </w:r>
    </w:p>
    <w:bookmarkStart w:id="176" w:name="tbl-a0-external-sources"/>
    <w:p>
      <w:pPr>
        <w:keepNext/>
        <w:pStyle w:val="ImageCaption"/>
        <w:jc w:val="left"/>
        <w:spacing w:before="200"/>
        <w:ind w:firstLine="0" w:left="0" w:right="0"/>
      </w:pPr>
      <w:r>
        <w:t xml:space="preserve">Table 25: External data origins and what each supplies.</w:t>
      </w:r>
    </w:p>
    <w:tbl>
      <w:tblPr>
        <w:tblStyle w:val="Table"/>
        <w:tblW w:type="pct" w:w="5000"/>
        <w:jc w:val="center"/>
        <w:tblLayout w:type="fixed"/>
        <w:tblLook w:firstRow="1" w:lastRow="0" w:firstColumn="0" w:lastColumn="0" w:noHBand="0" w:noVBand="0" w:val="0020"/>
        <w:tblBorders>
          <w:top w:val="single" w:sz="8" w:space="0" w:color="0F172A"/>
          <w:bottom w:val="single" w:sz="8" w:space="0" w:color="0F172A"/>
          <w:left w:val="none"/>
          <w:right w:val="none"/>
          <w:insideH w:val="single" w:sz="4" w:space="0" w:color="E2E8F0"/>
          <w:insideV w:val="none"/>
        </w:tblBorders>
        <w:tblCellMar>
          <w:top w:w="26" w:type="dxa"/>
          <w:bottom w:w="26" w:type="dxa"/>
          <w:left w:w="48" w:type="dxa"/>
          <w:right w:w="48" w:type="dxa"/>
        </w:tblCellMar>
      </w:tblPr>
      <w:tblGrid>
        <w:gridCol w:w="2640"/>
        <w:gridCol w:w="2640"/>
        <w:gridCol w:w="2640"/>
      </w:tblGrid>
      <w:tr>
        <w:trPr>
          <w:tblHeader w:val="on"/>
          <w:cantSplit/>
          <w:tblHeader/>
        </w:trPr>
        <w:tc>
          <w:tcPr>
            <w:shd w:fill="F1F5F9"/>
            <w:tcBorders>
              <w:bottom w:val="single" w:sz="8" w:space="0" w:color="475569"/>
            </w:tcBorders>
          </w:tcPr>
          <w:p>
            <w:pPr>
              <w:pStyle w:val="Compact"/>
              <w:spacing w:before="8" w:after="8" w:line="240" w:lineRule="auto"/>
              <w:ind w:firstLine="0" w:left="0" w:right="0"/>
              <w:jc w:val="left"/>
              <w:jc w:val="center"/>
            </w:pPr>
            <w:r>
              <w:rPr>
                <w:rFonts w:ascii="Calibri" w:hAnsi="Calibri"/>
                <w:b/>
                <w:color w:val="0F172A"/>
                <w:sz w:val="16"/>
              </w:rPr>
              <w:t xml:space="preserve">Origin</w:t>
            </w:r>
          </w:p>
        </w:tc>
        <w:tc>
          <w:tcPr>
            <w:shd w:fill="F1F5F9"/>
            <w:tcBorders>
              <w:bottom w:val="single" w:sz="8" w:space="0" w:color="475569"/>
            </w:tcBorders>
          </w:tcPr>
          <w:p>
            <w:pPr>
              <w:pStyle w:val="Compact"/>
              <w:spacing w:before="8" w:after="8" w:line="240" w:lineRule="auto"/>
              <w:ind w:firstLine="0" w:left="0" w:right="0"/>
              <w:jc w:val="left"/>
              <w:jc w:val="center"/>
            </w:pPr>
            <w:r>
              <w:rPr>
                <w:rFonts w:ascii="Calibri" w:hAnsi="Calibri"/>
                <w:b/>
                <w:color w:val="0F172A"/>
                <w:sz w:val="16"/>
              </w:rPr>
              <w:t xml:space="preserve">What it supplies</w:t>
            </w:r>
          </w:p>
        </w:tc>
        <w:tc>
          <w:tcPr>
            <w:shd w:fill="F1F5F9"/>
            <w:tcBorders>
              <w:bottom w:val="single" w:sz="8" w:space="0" w:color="475569"/>
            </w:tcBorders>
          </w:tcPr>
          <w:p>
            <w:pPr>
              <w:pStyle w:val="Compact"/>
              <w:spacing w:before="8" w:after="8" w:line="240" w:lineRule="auto"/>
              <w:ind w:firstLine="0" w:left="0" w:right="0"/>
              <w:jc w:val="left"/>
              <w:jc w:val="center"/>
            </w:pPr>
            <w:r>
              <w:rPr>
                <w:rFonts w:ascii="Calibri" w:hAnsi="Calibri"/>
                <w:b/>
                <w:color w:val="0F172A"/>
                <w:sz w:val="16"/>
              </w:rPr>
              <w:t xml:space="preserve">Access</w:t>
            </w:r>
          </w:p>
        </w:tc>
      </w:tr>
      <w:tr>
        <w:trPr>
          <w:cantSplit/>
        </w:trPr>
        <w:tc>
          <w:tcPr/>
          <w:p>
            <w:pPr>
              <w:pStyle w:val="Compact"/>
              <w:spacing w:before="8" w:after="8" w:line="240" w:lineRule="auto"/>
              <w:ind w:firstLine="0" w:left="0" w:right="0"/>
              <w:jc w:val="left"/>
              <w:jc w:val="center"/>
            </w:pPr>
            <w:r>
              <w:rPr>
                <w:rFonts w:ascii="Calibri" w:hAnsi="Calibri"/>
                <w:sz w:val="16"/>
              </w:rPr>
              <w:t xml:space="preserve">SEC EDGAR</w:t>
            </w:r>
          </w:p>
        </w:tc>
        <w:tc>
          <w:tcPr/>
          <w:p>
            <w:pPr>
              <w:pStyle w:val="Compact"/>
              <w:spacing w:before="8" w:after="8" w:line="240" w:lineRule="auto"/>
              <w:ind w:firstLine="0" w:left="0" w:right="0"/>
              <w:jc w:val="left"/>
              <w:jc w:val="center"/>
            </w:pPr>
            <w:r>
              <w:rPr>
                <w:rFonts w:ascii="Calibri" w:hAnsi="Calibri"/>
                <w:sz w:val="16"/>
              </w:rPr>
              <w:t xml:space="preserve">Forms 10-K, 10-Q, DEF 14A, 8-K, 20-F, and the staff comment letters of</w:t>
            </w:r>
            <w:r>
              <w:rPr>
                <w:rFonts w:ascii="Calibri" w:hAnsi="Calibri"/>
                <w:sz w:val="16"/>
              </w:rPr>
              <w:t xml:space="preserve"> </w:t>
            </w:r>
            <w:hyperlink w:anchor="appendix-c1">
              <w:r>
                <w:rPr>
                  <w:rStyle w:val="Hipervnculo"/>
                  <w:rFonts w:ascii="Calibri" w:hAnsi="Calibri"/>
                  <w:sz w:val="16"/>
                </w:rPr>
                <w:t xml:space="preserve">Appendix C.1</w:t>
              </w:r>
            </w:hyperlink>
            <w:r>
              <w:rPr>
                <w:rFonts w:ascii="Calibri" w:hAnsi="Calibri"/>
                <w:sz w:val="16"/>
              </w:rPr>
              <w:t xml:space="preserve">, parsed into item sections on the SEC’s own taxonomy</w:t>
            </w:r>
          </w:p>
        </w:tc>
        <w:tc>
          <w:tcPr/>
          <w:p>
            <w:pPr>
              <w:pStyle w:val="Compact"/>
              <w:spacing w:before="8" w:after="8" w:line="240" w:lineRule="auto"/>
              <w:ind w:firstLine="0" w:left="0" w:right="0"/>
              <w:jc w:val="left"/>
              <w:jc w:val="center"/>
            </w:pPr>
            <w:r>
              <w:rPr>
                <w:rFonts w:ascii="Calibri" w:hAnsi="Calibri"/>
                <w:sz w:val="16"/>
              </w:rPr>
              <w:t xml:space="preserve">Public, via</w:t>
            </w:r>
            <w:r>
              <w:rPr>
                <w:rFonts w:ascii="Calibri" w:hAnsi="Calibri"/>
                <w:sz w:val="16"/>
              </w:rPr>
              <w:t xml:space="preserve"> </w:t>
            </w:r>
            <w:r>
              <w:rPr>
                <w:rStyle w:val="VerbatimChar"/>
                <w:rFonts w:ascii="Calibri" w:hAnsi="Calibri"/>
                <w:sz w:val="16"/>
              </w:rPr>
              <w:t xml:space="preserve">edgartools</w:t>
            </w:r>
            <w:r>
              <w:rPr>
                <w:rFonts w:ascii="Calibri" w:hAnsi="Calibri"/>
                <w:sz w:val="16"/>
              </w:rPr>
              <w:t xml:space="preserve">, under 10 requests per second with a declared institutional user-agent</w:t>
            </w:r>
          </w:p>
        </w:tc>
      </w:tr>
      <w:tr>
        <w:trPr>
          <w:cantSplit/>
        </w:trPr>
        <w:tc>
          <w:tcPr/>
          <w:p>
            <w:pPr>
              <w:pStyle w:val="Compact"/>
              <w:spacing w:before="8" w:after="8" w:line="240" w:lineRule="auto"/>
              <w:ind w:firstLine="0" w:left="0" w:right="0"/>
              <w:jc w:val="left"/>
              <w:jc w:val="center"/>
            </w:pPr>
            <w:r>
              <w:rPr>
                <w:rFonts w:ascii="Calibri" w:hAnsi="Calibri"/>
                <w:sz w:val="16"/>
              </w:rPr>
              <w:t xml:space="preserve">FactSet</w:t>
            </w:r>
            <w:r>
              <w:rPr>
                <w:rFonts w:ascii="Calibri" w:hAnsi="Calibri"/>
                <w:sz w:val="16"/>
              </w:rPr>
              <w:t xml:space="preserve"> </w:t>
            </w:r>
            <w:r>
              <w:rPr>
                <w:rFonts w:ascii="Calibri" w:hAnsi="Calibri"/>
                <w:sz w:val="16"/>
              </w:rPr>
              <w:t xml:space="preserve">(</w:t>
            </w:r>
            <w:hyperlink w:anchor="ref-factset">
              <w:r>
                <w:rPr>
                  <w:rStyle w:val="Hipervnculo"/>
                  <w:rFonts w:ascii="Calibri" w:hAnsi="Calibri"/>
                  <w:sz w:val="16"/>
                </w:rPr>
                <w:t xml:space="preserve">FactSet Research Systems, n.d.</w:t>
              </w:r>
            </w:hyperlink>
            <w:r>
              <w:rPr>
                <w:rFonts w:ascii="Calibri" w:hAnsi="Calibri"/>
                <w:sz w:val="16"/>
              </w:rPr>
              <w:t xml:space="preserve">)</w:t>
            </w:r>
          </w:p>
        </w:tc>
        <w:tc>
          <w:tcPr/>
          <w:p>
            <w:pPr>
              <w:pStyle w:val="Compact"/>
              <w:spacing w:before="8" w:after="8" w:line="240" w:lineRule="auto"/>
              <w:ind w:firstLine="0" w:left="0" w:right="0"/>
              <w:jc w:val="left"/>
              <w:jc w:val="center"/>
            </w:pPr>
            <w:r>
              <w:rPr>
                <w:rFonts w:ascii="Calibri" w:hAnsi="Calibri"/>
                <w:sz w:val="16"/>
              </w:rPr>
              <w:t xml:space="preserve">Standardized annual and quarterly accounting fundamentals; daily prices, dividend-inclusive total returns, market capitalization, and the S&amp;P 500 total-return benchmark</w:t>
            </w:r>
          </w:p>
        </w:tc>
        <w:tc>
          <w:tcPr/>
          <w:p>
            <w:pPr>
              <w:pStyle w:val="Compact"/>
              <w:spacing w:before="8" w:after="8" w:line="240" w:lineRule="auto"/>
              <w:ind w:firstLine="0" w:left="0" w:right="0"/>
              <w:jc w:val="left"/>
              <w:jc w:val="center"/>
            </w:pPr>
            <w:r>
              <w:rPr>
                <w:rFonts w:ascii="Calibri" w:hAnsi="Calibri"/>
                <w:sz w:val="16"/>
              </w:rPr>
              <w:t xml:space="preserve">Commercial provider</w:t>
            </w:r>
          </w:p>
        </w:tc>
      </w:tr>
      <w:tr>
        <w:trPr>
          <w:cantSplit/>
        </w:trPr>
        <w:tc>
          <w:tcPr/>
          <w:p>
            <w:pPr>
              <w:pStyle w:val="Compact"/>
              <w:spacing w:before="8" w:after="8" w:line="240" w:lineRule="auto"/>
              <w:ind w:firstLine="0" w:left="0" w:right="0"/>
              <w:jc w:val="left"/>
              <w:jc w:val="center"/>
            </w:pPr>
            <w:r>
              <w:rPr>
                <w:rFonts w:ascii="Calibri" w:hAnsi="Calibri"/>
                <w:sz w:val="16"/>
              </w:rPr>
              <w:t xml:space="preserve">Hugging Face,</w:t>
            </w:r>
            <w:r>
              <w:rPr>
                <w:rFonts w:ascii="Calibri" w:hAnsi="Calibri"/>
                <w:sz w:val="16"/>
              </w:rPr>
              <w:t xml:space="preserve"> </w:t>
            </w:r>
            <w:r>
              <w:rPr>
                <w:rStyle w:val="VerbatimChar"/>
                <w:rFonts w:ascii="Calibri" w:hAnsi="Calibri"/>
                <w:sz w:val="16"/>
              </w:rPr>
              <w:t xml:space="preserve">kurry/sp500_earnings_transcripts</w:t>
            </w:r>
            <w:r>
              <w:rPr>
                <w:rFonts w:ascii="Calibri" w:hAnsi="Calibri"/>
                <w:sz w:val="16"/>
              </w:rPr>
              <w:t xml:space="preserve"> </w:t>
            </w:r>
            <w:r>
              <w:rPr>
                <w:rFonts w:ascii="Calibri" w:hAnsi="Calibri"/>
                <w:sz w:val="16"/>
              </w:rPr>
              <w:t xml:space="preserve">(</w:t>
            </w:r>
            <w:hyperlink w:anchor="ref-kurry2024transcripts">
              <w:r>
                <w:rPr>
                  <w:rStyle w:val="Hipervnculo"/>
                  <w:rFonts w:ascii="Calibri" w:hAnsi="Calibri"/>
                  <w:sz w:val="16"/>
                </w:rPr>
                <w:t xml:space="preserve">Kurry 2024</w:t>
              </w:r>
            </w:hyperlink>
            <w:r>
              <w:rPr>
                <w:rFonts w:ascii="Calibri" w:hAnsi="Calibri"/>
                <w:sz w:val="16"/>
              </w:rPr>
              <w:t xml:space="preserve">)</w:t>
            </w:r>
          </w:p>
        </w:tc>
        <w:tc>
          <w:tcPr/>
          <w:p>
            <w:pPr>
              <w:pStyle w:val="Compact"/>
              <w:spacing w:before="8" w:after="8" w:line="240" w:lineRule="auto"/>
              <w:ind w:firstLine="0" w:left="0" w:right="0"/>
              <w:jc w:val="left"/>
              <w:jc w:val="center"/>
            </w:pPr>
            <w:r>
              <w:rPr>
                <w:rFonts w:ascii="Calibri" w:hAnsi="Calibri"/>
                <w:sz w:val="16"/>
              </w:rPr>
              <w:t xml:space="preserve">Earnings-call transcripts, first source in the union</w:t>
            </w:r>
          </w:p>
        </w:tc>
        <w:tc>
          <w:tcPr/>
          <w:p>
            <w:pPr>
              <w:pStyle w:val="Compact"/>
              <w:spacing w:before="8" w:after="8" w:line="240" w:lineRule="auto"/>
              <w:ind w:firstLine="0" w:left="0" w:right="0"/>
              <w:jc w:val="left"/>
              <w:jc w:val="center"/>
            </w:pPr>
            <w:r>
              <w:rPr>
                <w:rFonts w:ascii="Calibri" w:hAnsi="Calibri"/>
                <w:sz w:val="16"/>
              </w:rPr>
              <w:t xml:space="preserve">Third-party dataset</w:t>
            </w:r>
          </w:p>
        </w:tc>
      </w:tr>
      <w:tr>
        <w:trPr>
          <w:cantSplit/>
        </w:trPr>
        <w:tc>
          <w:tcPr/>
          <w:p>
            <w:pPr>
              <w:pStyle w:val="Compact"/>
              <w:spacing w:before="8" w:after="8" w:line="240" w:lineRule="auto"/>
              <w:ind w:firstLine="0" w:left="0" w:right="0"/>
              <w:jc w:val="left"/>
              <w:jc w:val="center"/>
            </w:pPr>
            <w:r>
              <w:rPr>
                <w:rFonts w:ascii="Calibri" w:hAnsi="Calibri"/>
                <w:sz w:val="16"/>
              </w:rPr>
              <w:t xml:space="preserve">Commercial feed (EQ)</w:t>
            </w:r>
            <w:r>
              <w:rPr>
                <w:rFonts w:ascii="Calibri" w:hAnsi="Calibri"/>
                <w:sz w:val="16"/>
              </w:rPr>
              <w:t xml:space="preserve"> </w:t>
            </w:r>
            <w:r>
              <w:rPr>
                <w:rFonts w:ascii="Calibri" w:hAnsi="Calibri"/>
                <w:sz w:val="16"/>
              </w:rPr>
              <w:t xml:space="preserve">(</w:t>
            </w:r>
            <w:hyperlink w:anchor="ref-transcript_vendor_eq">
              <w:r>
                <w:rPr>
                  <w:rStyle w:val="Hipervnculo"/>
                  <w:rFonts w:ascii="Calibri" w:hAnsi="Calibri"/>
                  <w:sz w:val="16"/>
                </w:rPr>
                <w:t xml:space="preserve">Financial Transcript Feed (EQ), n.d.</w:t>
              </w:r>
            </w:hyperlink>
            <w:r>
              <w:rPr>
                <w:rFonts w:ascii="Calibri" w:hAnsi="Calibri"/>
                <w:sz w:val="16"/>
              </w:rPr>
              <w:t xml:space="preserve">)</w:t>
            </w:r>
          </w:p>
        </w:tc>
        <w:tc>
          <w:tcPr/>
          <w:p>
            <w:pPr>
              <w:pStyle w:val="Compact"/>
              <w:spacing w:before="8" w:after="8" w:line="240" w:lineRule="auto"/>
              <w:ind w:firstLine="0" w:left="0" w:right="0"/>
              <w:jc w:val="left"/>
              <w:jc w:val="center"/>
            </w:pPr>
            <w:r>
              <w:rPr>
                <w:rFonts w:ascii="Calibri" w:hAnsi="Calibri"/>
                <w:sz w:val="16"/>
              </w:rPr>
              <w:t xml:space="preserve">Earnings-call transcripts, gap fill</w:t>
            </w:r>
          </w:p>
        </w:tc>
        <w:tc>
          <w:tcPr/>
          <w:p>
            <w:pPr>
              <w:pStyle w:val="Compact"/>
              <w:spacing w:before="8" w:after="8" w:line="240" w:lineRule="auto"/>
              <w:ind w:firstLine="0" w:left="0" w:right="0"/>
              <w:jc w:val="left"/>
              <w:jc w:val="center"/>
            </w:pPr>
            <w:r>
              <w:rPr>
                <w:rFonts w:ascii="Calibri" w:hAnsi="Calibri"/>
                <w:sz w:val="16"/>
              </w:rPr>
              <w:t xml:space="preserve">Commercial provider</w:t>
            </w:r>
          </w:p>
        </w:tc>
      </w:tr>
      <w:tr>
        <w:trPr>
          <w:cantSplit/>
        </w:trPr>
        <w:tc>
          <w:tcPr/>
          <w:p>
            <w:pPr>
              <w:pStyle w:val="Compact"/>
              <w:spacing w:before="8" w:after="8" w:line="240" w:lineRule="auto"/>
              <w:ind w:firstLine="0" w:left="0" w:right="0"/>
              <w:jc w:val="left"/>
              <w:jc w:val="center"/>
            </w:pPr>
            <w:r>
              <w:rPr>
                <w:rFonts w:ascii="Calibri" w:hAnsi="Calibri"/>
                <w:sz w:val="16"/>
              </w:rPr>
              <w:t xml:space="preserve">Financial portal (SA)</w:t>
            </w:r>
            <w:r>
              <w:rPr>
                <w:rFonts w:ascii="Calibri" w:hAnsi="Calibri"/>
                <w:sz w:val="16"/>
              </w:rPr>
              <w:t xml:space="preserve"> </w:t>
            </w:r>
            <w:r>
              <w:rPr>
                <w:rFonts w:ascii="Calibri" w:hAnsi="Calibri"/>
                <w:sz w:val="16"/>
              </w:rPr>
              <w:t xml:space="preserve">(</w:t>
            </w:r>
            <w:hyperlink w:anchor="ref-transcript_vendor_sa">
              <w:r>
                <w:rPr>
                  <w:rStyle w:val="Hipervnculo"/>
                  <w:rFonts w:ascii="Calibri" w:hAnsi="Calibri"/>
                  <w:sz w:val="16"/>
                </w:rPr>
                <w:t xml:space="preserve">Financial Market Archive (SA), n.d.</w:t>
              </w:r>
            </w:hyperlink>
            <w:r>
              <w:rPr>
                <w:rFonts w:ascii="Calibri" w:hAnsi="Calibri"/>
                <w:sz w:val="16"/>
              </w:rPr>
              <w:t xml:space="preserve">)</w:t>
            </w:r>
          </w:p>
        </w:tc>
        <w:tc>
          <w:tcPr/>
          <w:p>
            <w:pPr>
              <w:pStyle w:val="Compact"/>
              <w:spacing w:before="8" w:after="8" w:line="240" w:lineRule="auto"/>
              <w:ind w:firstLine="0" w:left="0" w:right="0"/>
              <w:jc w:val="left"/>
              <w:jc w:val="center"/>
            </w:pPr>
            <w:r>
              <w:rPr>
                <w:rFonts w:ascii="Calibri" w:hAnsi="Calibri"/>
                <w:sz w:val="16"/>
              </w:rPr>
              <w:t xml:space="preserve">Earnings-call transcripts, residual gap fill</w:t>
            </w:r>
          </w:p>
        </w:tc>
        <w:tc>
          <w:tcPr/>
          <w:p>
            <w:pPr>
              <w:pStyle w:val="Compact"/>
              <w:spacing w:before="8" w:after="8" w:line="240" w:lineRule="auto"/>
              <w:ind w:firstLine="0" w:left="0" w:right="0"/>
              <w:jc w:val="left"/>
              <w:jc w:val="center"/>
            </w:pPr>
            <w:r>
              <w:rPr>
                <w:rFonts w:ascii="Calibri" w:hAnsi="Calibri"/>
                <w:sz w:val="16"/>
              </w:rPr>
              <w:t xml:space="preserve">Web portal archive</w:t>
            </w:r>
          </w:p>
        </w:tc>
      </w:tr>
      <w:tr>
        <w:trPr>
          <w:cantSplit/>
        </w:trPr>
        <w:tc>
          <w:tcPr/>
          <w:p>
            <w:pPr>
              <w:pStyle w:val="Compact"/>
              <w:spacing w:before="8" w:after="8" w:line="240" w:lineRule="auto"/>
              <w:ind w:firstLine="0" w:left="0" w:right="0"/>
              <w:jc w:val="left"/>
              <w:jc w:val="center"/>
            </w:pPr>
            <w:r>
              <w:rPr>
                <w:rFonts w:ascii="Calibri" w:hAnsi="Calibri"/>
                <w:sz w:val="16"/>
              </w:rPr>
              <w:t xml:space="preserve">Ken French data library</w:t>
            </w:r>
          </w:p>
        </w:tc>
        <w:tc>
          <w:tcPr/>
          <w:p>
            <w:pPr>
              <w:pStyle w:val="Compact"/>
              <w:spacing w:before="8" w:after="8" w:line="240" w:lineRule="auto"/>
              <w:ind w:firstLine="0" w:left="0" w:right="0"/>
              <w:jc w:val="left"/>
              <w:jc w:val="center"/>
            </w:pPr>
            <w:r>
              <w:rPr>
                <w:rFonts w:ascii="Calibri" w:hAnsi="Calibri"/>
                <w:sz w:val="16"/>
              </w:rPr>
              <w:t xml:space="preserve">Daily risk-free rate</w:t>
            </w:r>
          </w:p>
        </w:tc>
        <w:tc>
          <w:tcPr/>
          <w:p>
            <w:pPr>
              <w:pStyle w:val="Compact"/>
              <w:spacing w:before="8" w:after="8" w:line="240" w:lineRule="auto"/>
              <w:ind w:firstLine="0" w:left="0" w:right="0"/>
              <w:jc w:val="left"/>
              <w:jc w:val="center"/>
            </w:pPr>
            <w:r>
              <w:rPr>
                <w:rFonts w:ascii="Calibri" w:hAnsi="Calibri"/>
                <w:sz w:val="16"/>
              </w:rPr>
              <w:t xml:space="preserve">Public</w:t>
            </w:r>
          </w:p>
        </w:tc>
      </w:tr>
      <w:tr>
        <w:trPr>
          <w:cantSplit/>
        </w:trPr>
        <w:tc>
          <w:tcPr/>
          <w:p>
            <w:pPr>
              <w:pStyle w:val="Compact"/>
              <w:spacing w:before="8" w:after="8" w:line="240" w:lineRule="auto"/>
              <w:ind w:firstLine="0" w:left="0" w:right="0"/>
              <w:jc w:val="left"/>
              <w:jc w:val="center"/>
            </w:pPr>
            <w:r>
              <w:rPr>
                <w:rFonts w:ascii="Calibri" w:hAnsi="Calibri"/>
                <w:sz w:val="16"/>
              </w:rPr>
              <w:t xml:space="preserve">Google Patents via BigQuery</w:t>
            </w:r>
          </w:p>
        </w:tc>
        <w:tc>
          <w:tcPr/>
          <w:p>
            <w:pPr>
              <w:pStyle w:val="Compact"/>
              <w:spacing w:before="8" w:after="8" w:line="240" w:lineRule="auto"/>
              <w:ind w:firstLine="0" w:left="0" w:right="0"/>
              <w:jc w:val="left"/>
              <w:jc w:val="center"/>
            </w:pPr>
            <w:r>
              <w:rPr>
                <w:rFonts w:ascii="Calibri" w:hAnsi="Calibri"/>
                <w:sz w:val="16"/>
              </w:rPr>
              <w:t xml:space="preserve">Patent publications 2021-2023, matched to issuers on curated assignee aliases and classified with the OECD (2025) AI taxonomy</w:t>
            </w:r>
          </w:p>
        </w:tc>
        <w:tc>
          <w:tcPr/>
          <w:p>
            <w:pPr>
              <w:pStyle w:val="Compact"/>
              <w:spacing w:before="8" w:after="8" w:line="240" w:lineRule="auto"/>
              <w:ind w:firstLine="0" w:left="0" w:right="0"/>
              <w:jc w:val="left"/>
              <w:jc w:val="center"/>
            </w:pPr>
            <w:r>
              <w:rPr>
                <w:rFonts w:ascii="Calibri" w:hAnsi="Calibri"/>
                <w:sz w:val="16"/>
              </w:rPr>
              <w:t xml:space="preserve">Public dataset, paid query</w:t>
            </w:r>
          </w:p>
        </w:tc>
      </w:tr>
      <w:tr>
        <w:trPr>
          <w:cantSplit/>
        </w:trPr>
        <w:tc>
          <w:tcPr/>
          <w:p>
            <w:pPr>
              <w:pStyle w:val="Compact"/>
              <w:spacing w:before="8" w:after="8" w:line="240" w:lineRule="auto"/>
              <w:ind w:firstLine="0" w:left="0" w:right="0"/>
              <w:jc w:val="left"/>
              <w:jc w:val="center"/>
            </w:pPr>
            <w:r>
              <w:rPr>
                <w:rFonts w:ascii="Calibri" w:hAnsi="Calibri"/>
                <w:sz w:val="16"/>
              </w:rPr>
              <w:t xml:space="preserve">Hugging Face,</w:t>
            </w:r>
            <w:r>
              <w:rPr>
                <w:rFonts w:ascii="Calibri" w:hAnsi="Calibri"/>
                <w:sz w:val="16"/>
              </w:rPr>
              <w:t xml:space="preserve"> </w:t>
            </w:r>
            <w:r>
              <w:rPr>
                <w:rStyle w:val="VerbatimChar"/>
                <w:rFonts w:ascii="Calibri" w:hAnsi="Calibri"/>
                <w:sz w:val="16"/>
              </w:rPr>
              <w:t xml:space="preserve">BAAI/bge-m3</w:t>
            </w:r>
            <w:r>
              <w:rPr>
                <w:rFonts w:ascii="Calibri" w:hAnsi="Calibri"/>
                <w:sz w:val="16"/>
              </w:rPr>
              <w:t xml:space="preserve"> </w:t>
            </w:r>
            <w:r>
              <w:rPr>
                <w:rFonts w:ascii="Calibri" w:hAnsi="Calibri"/>
                <w:sz w:val="16"/>
              </w:rPr>
              <w:t xml:space="preserve">(</w:t>
            </w:r>
            <w:hyperlink w:anchor="ref-chen2024bge">
              <w:r>
                <w:rPr>
                  <w:rStyle w:val="Hipervnculo"/>
                  <w:rFonts w:ascii="Calibri" w:hAnsi="Calibri"/>
                  <w:sz w:val="16"/>
                </w:rPr>
                <w:t xml:space="preserve">Jianlv Chen et al. 2024</w:t>
              </w:r>
            </w:hyperlink>
            <w:r>
              <w:rPr>
                <w:rFonts w:ascii="Calibri" w:hAnsi="Calibri"/>
                <w:sz w:val="16"/>
              </w:rPr>
              <w:t xml:space="preserve">)</w:t>
            </w:r>
          </w:p>
        </w:tc>
        <w:tc>
          <w:tcPr/>
          <w:p>
            <w:pPr>
              <w:pStyle w:val="Compact"/>
              <w:spacing w:before="8" w:after="8" w:line="240" w:lineRule="auto"/>
              <w:ind w:firstLine="0" w:left="0" w:right="0"/>
              <w:jc w:val="left"/>
              <w:jc w:val="center"/>
            </w:pPr>
            <w:r>
              <w:rPr>
                <w:rFonts w:ascii="Calibri" w:hAnsi="Calibri"/>
                <w:sz w:val="16"/>
              </w:rPr>
              <w:t xml:space="preserve">Embedding model behind the prefilter’s semantic anchors</w:t>
            </w:r>
          </w:p>
        </w:tc>
        <w:tc>
          <w:tcPr/>
          <w:p>
            <w:pPr>
              <w:pStyle w:val="Compact"/>
              <w:spacing w:before="8" w:after="8" w:line="240" w:lineRule="auto"/>
              <w:ind w:firstLine="0" w:left="0" w:right="0"/>
              <w:jc w:val="left"/>
              <w:jc w:val="center"/>
            </w:pPr>
            <w:r>
              <w:rPr>
                <w:rFonts w:ascii="Calibri" w:hAnsi="Calibri"/>
                <w:sz w:val="16"/>
              </w:rPr>
              <w:t xml:space="preserve">Open weights</w:t>
            </w:r>
          </w:p>
        </w:tc>
      </w:tr>
      <w:tr>
        <w:trPr>
          <w:cantSplit/>
        </w:trPr>
        <w:tc>
          <w:tcPr/>
          <w:p>
            <w:pPr>
              <w:pStyle w:val="Compact"/>
              <w:spacing w:before="8" w:after="8" w:line="240" w:lineRule="auto"/>
              <w:ind w:firstLine="0" w:left="0" w:right="0"/>
              <w:jc w:val="left"/>
              <w:jc w:val="center"/>
            </w:pPr>
            <w:r>
              <w:rPr>
                <w:rFonts w:ascii="Calibri" w:hAnsi="Calibri"/>
                <w:sz w:val="16"/>
              </w:rPr>
              <w:t xml:space="preserve">OpenRouter,</w:t>
            </w:r>
            <w:r>
              <w:rPr>
                <w:rFonts w:ascii="Calibri" w:hAnsi="Calibri"/>
                <w:sz w:val="16"/>
              </w:rPr>
              <w:t xml:space="preserve"> </w:t>
            </w:r>
            <w:r>
              <w:rPr>
                <w:rStyle w:val="VerbatimChar"/>
                <w:rFonts w:ascii="Calibri" w:hAnsi="Calibri"/>
                <w:sz w:val="16"/>
              </w:rPr>
              <w:t xml:space="preserve">openai/gpt-5.6-luna</w:t>
            </w:r>
          </w:p>
        </w:tc>
        <w:tc>
          <w:tcPr/>
          <w:p>
            <w:pPr>
              <w:pStyle w:val="Compact"/>
              <w:spacing w:before="8" w:after="8" w:line="240" w:lineRule="auto"/>
              <w:ind w:firstLine="0" w:left="0" w:right="0"/>
              <w:jc w:val="left"/>
              <w:jc w:val="center"/>
            </w:pPr>
            <w:r>
              <w:rPr>
                <w:rFonts w:ascii="Calibri" w:hAnsi="Calibri"/>
                <w:sz w:val="16"/>
              </w:rPr>
              <w:t xml:space="preserve">Zero-shot extraction in both passes</w:t>
            </w:r>
          </w:p>
        </w:tc>
        <w:tc>
          <w:tcPr/>
          <w:p>
            <w:pPr>
              <w:pStyle w:val="Compact"/>
              <w:spacing w:before="8" w:after="8" w:line="240" w:lineRule="auto"/>
              <w:ind w:firstLine="0" w:left="0" w:right="0"/>
              <w:jc w:val="left"/>
              <w:jc w:val="center"/>
            </w:pPr>
            <w:r>
              <w:rPr>
                <w:rFonts w:ascii="Calibri" w:hAnsi="Calibri"/>
                <w:sz w:val="16"/>
              </w:rPr>
              <w:t xml:space="preserve">Paid API</w:t>
            </w:r>
          </w:p>
        </w:tc>
      </w:tr>
    </w:tbl>
    <w:bookmarkEnd w:id="173"/>
    <w:p/>
    <w:p>
      <w:pPr>
        <w:pStyle w:val="Textoindependiente"/>
      </w:pPr>
      <w:r>
        <w:rPr>
          <w:b/>
          <w:bCs/>
        </w:rPr>
        <w:t xml:space="preserve">Earnings call union and coverage audit.</w:t>
      </w:r>
      <w:r>
        <w:t xml:space="preserve"> </w:t>
      </w:r>
      <w:r>
        <w:t xml:space="preserve">Voluntary disclosure is followed through quarterly earnings-call transcripts taken from a deduplicated union of three sources: a Hugging Face community dataset</w:t>
      </w:r>
      <w:r>
        <w:t xml:space="preserve"> </w:t>
      </w:r>
      <w:r>
        <w:t xml:space="preserve">(</w:t>
      </w:r>
      <w:hyperlink w:anchor="ref-kurry2024transcripts">
        <w:r>
          <w:rPr>
            <w:rStyle w:val="Hipervnculo"/>
          </w:rPr>
          <w:t xml:space="preserve">Kurry 2024</w:t>
        </w:r>
      </w:hyperlink>
      <w:r>
        <w:t xml:space="preserve">)</w:t>
      </w:r>
      <w:r>
        <w:t xml:space="preserve">, a commercial transcript feed (EQ)</w:t>
      </w:r>
      <w:r>
        <w:t xml:space="preserve"> </w:t>
      </w:r>
      <w:r>
        <w:t xml:space="preserve">(</w:t>
      </w:r>
      <w:hyperlink w:anchor="ref-transcript_vendor_eq">
        <w:r>
          <w:rPr>
            <w:rStyle w:val="Hipervnculo"/>
          </w:rPr>
          <w:t xml:space="preserve">Financial Transcript Feed (EQ), n.d.</w:t>
        </w:r>
      </w:hyperlink>
      <w:r>
        <w:t xml:space="preserve">)</w:t>
      </w:r>
      <w:r>
        <w:t xml:space="preserve">, and a financial portal archive (SA)</w:t>
      </w:r>
      <w:r>
        <w:t xml:space="preserve"> </w:t>
      </w:r>
      <w:r>
        <w:t xml:space="preserve">(</w:t>
      </w:r>
      <w:hyperlink w:anchor="ref-transcript_vendor_sa">
        <w:r>
          <w:rPr>
            <w:rStyle w:val="Hipervnculo"/>
          </w:rPr>
          <w:t xml:space="preserve">Financial Market Archive (SA), n.d.</w:t>
        </w:r>
      </w:hyperlink>
      <w:r>
        <w:t xml:space="preserve">)</w:t>
      </w:r>
      <w:r>
        <w:t xml:space="preserve">, taken in that order of priority. Vendor feeds omit transcripts in ways that are not random, so every transcript is cross-verified automatically against the SEC filing dates, matching the ticker, the company name and the fiscal period marker. A firm-quarter with no vendor coverage at all (16% of all panel firm-quarters) is marked as unmonitored (</w:t>
      </w:r>
      <w:r>
        <w:rPr>
          <w:rStyle w:val="VerbatimChar"/>
        </w:rPr>
        <w:t xml:space="preserve">cov_call_gap = 1</w:t>
      </w:r>
      <w:r>
        <w:t xml:space="preserve">) and stored as null, not as zero. The distinction matters: otherwise an unobserved call would be analyzed as a quarter with no disclosure.</w:t>
      </w:r>
    </w:p>
    <w:p>
      <w:pPr>
        <w:pStyle w:val="Textoindependiente"/>
      </w:pPr>
      <w:r>
        <w:rPr>
          <w:b/>
          <w:bCs/>
        </w:rPr>
        <w:t xml:space="preserve">Observation window and 2026 adjustment.</w:t>
      </w:r>
      <w:r>
        <w:t xml:space="preserve"> </w:t>
      </w:r>
      <w:r>
        <w:t xml:space="preserve">Filing and call dates run from January 1, 2021 through 2026-09-03. The 2026 observations are year-to-date up to the cut-off (423 firms with Form 10-Ks, 463 with Form 10-Qs and 453 with earnings calls). For multi-year comparisons and projected annual volumes, the 2026 measures are scaled by a same-calendar-window seasonal factor (</w:t>
      </w:r>
      <w:r>
        <w:rPr>
          <w:rStyle w:val="VerbatimChar"/>
        </w:rPr>
        <w:t xml:space="preserve">hd_act_factor</w:t>
      </w:r>
      <w:r>
        <w:t xml:space="preserve">), the ratio of full-year 2025 activity to the activity recorded in 2025 over the same calendar span. The call-versus-filing gap by year (</w:t>
      </w:r>
      <w:hyperlink w:anchor="fig-venue-gap-by-year">
        <w:r>
          <w:rPr>
            <w:rStyle w:val="Hipervnculo"/>
          </w:rPr>
          <w:t xml:space="preserve">Figure 23</w:t>
        </w:r>
      </w:hyperlink>
      <w:r>
        <w:t xml:space="preserve">) applies the same logic at the level of each evidentiary family and each venue: the numerator (activities of that family) and the denominator (all disclosed activities in that venue) are each scaled by their own same-window growth factor before the shares are formed and differenced.</w:t>
      </w:r>
    </w:p>
    <w:p>
      <w:pPr>
        <w:pStyle w:val="Textoindependiente"/>
      </w:pPr>
      <w:hyperlink w:anchor="tbl-a0-derived-inventory">
        <w:r>
          <w:rPr>
            <w:rStyle w:val="Hipervnculo"/>
          </w:rPr>
          <w:t xml:space="preserve">Table 26</w:t>
        </w:r>
      </w:hyperlink>
      <w:r>
        <w:t xml:space="preserve"> </w:t>
      </w:r>
      <w:r>
        <w:t xml:space="preserve">counts, for every year of the panel, the derived artifacts the pipeline produces from the source filings and calls (analysis universe, S&amp;P 500 as of 2021-01-01), and the number of firms with at least one such artifact.</w:t>
      </w:r>
    </w:p>
    <w:bookmarkStart w:id="177" w:name="tbl-a0-derived-inventory"/>
    <w:p>
      <w:pPr>
        <w:keepNext/>
        <w:pStyle w:val="ImageCaption"/>
        <w:jc w:val="left"/>
        <w:spacing w:before="200"/>
        <w:ind w:firstLine="0" w:left="0" w:right="0"/>
      </w:pPr>
      <w:r>
        <w:t xml:space="preserve">Table 26:</w:t>
      </w:r>
      <w:r>
        <w:t xml:space="preserve"> </w:t>
      </w:r>
      <w:r>
        <w:rPr>
          <w:rStyle w:val="CaptionText"/>
        </w:rPr>
        <w:t xml:space="preserve">Derived artifacts by year: number of items and, in parentheses, number of firms with at least one item (analysis universe, S&amp;P 500 at 2021-01-01).</w:t>
      </w:r>
    </w:p>
    <w:tbl>
      <w:tblPr>
        <w:tblStyle w:val="Table"/>
        <w:tblW w:type="auto" w:w="0"/>
        <w:jc w:val="center"/>
        <w:tblLook w:firstRow="1" w:lastRow="0" w:firstColumn="0" w:lastColumn="0" w:noHBand="0" w:noVBand="0" w:val="0020"/>
        <w:tblBorders>
          <w:top w:val="single" w:sz="8" w:space="0" w:color="0F172A"/>
          <w:bottom w:val="single" w:sz="8" w:space="0" w:color="0F172A"/>
          <w:left w:val="none"/>
          <w:right w:val="none"/>
          <w:insideH w:val="single" w:sz="4" w:space="0" w:color="E2E8F0"/>
          <w:insideV w:val="none"/>
        </w:tblBorders>
        <w:tblCellMar>
          <w:top w:w="22" w:type="dxa"/>
          <w:bottom w:w="22" w:type="dxa"/>
          <w:left w:w="40" w:type="dxa"/>
          <w:right w:w="40" w:type="dxa"/>
        </w:tblCellMar>
      </w:tblPr>
      <w:tblGrid>
        <w:gridCol w:w="1131"/>
        <w:gridCol w:w="1131"/>
        <w:gridCol w:w="1131"/>
        <w:gridCol w:w="1131"/>
        <w:gridCol w:w="1131"/>
        <w:gridCol w:w="1131"/>
        <w:gridCol w:w="1131"/>
      </w:tblGrid>
      <w:tr>
        <w:trPr>
          <w:tblHeader w:val="on"/>
          <w:cantSplit/>
          <w:tblHeader/>
        </w:trPr>
        <w:tc>
          <w:tcPr>
            <w:shd w:fill="F1F5F9"/>
            <w:tcBorders>
              <w:bottom w:val="single" w:sz="8" w:space="0" w:color="475569"/>
            </w:tcBorders>
          </w:tcPr>
          <w:p>
            <w:pPr>
              <w:pStyle w:val="Compact"/>
              <w:spacing w:before="8" w:after="8" w:line="240" w:lineRule="auto"/>
              <w:ind w:firstLine="0" w:left="0" w:right="0"/>
              <w:jc w:val="left"/>
              <w:jc w:val="center"/>
            </w:pPr>
            <w:r>
              <w:rPr>
                <w:rFonts w:ascii="Calibri" w:hAnsi="Calibri"/>
                <w:b/>
                <w:color w:val="0F172A"/>
                <w:sz w:val="15"/>
              </w:rPr>
              <w:t xml:space="preserve">Artifact</w:t>
            </w:r>
          </w:p>
        </w:tc>
        <w:tc>
          <w:tcPr>
            <w:shd w:fill="F1F5F9"/>
            <w:tcBorders>
              <w:bottom w:val="single" w:sz="8" w:space="0" w:color="475569"/>
            </w:tcBorders>
          </w:tcPr>
          <w:p>
            <w:pPr>
              <w:pStyle w:val="Compact"/>
              <w:spacing w:before="8" w:after="8" w:line="240" w:lineRule="auto"/>
              <w:ind w:firstLine="0" w:left="0" w:right="0"/>
              <w:jc w:val="left"/>
              <w:jc w:val="center"/>
            </w:pPr>
            <w:r>
              <w:rPr>
                <w:rFonts w:ascii="Calibri" w:hAnsi="Calibri"/>
                <w:b/>
                <w:color w:val="0F172A"/>
                <w:sz w:val="15"/>
              </w:rPr>
              <w:t xml:space="preserve">2021</w:t>
            </w:r>
          </w:p>
        </w:tc>
        <w:tc>
          <w:tcPr>
            <w:shd w:fill="F1F5F9"/>
            <w:tcBorders>
              <w:bottom w:val="single" w:sz="8" w:space="0" w:color="475569"/>
            </w:tcBorders>
          </w:tcPr>
          <w:p>
            <w:pPr>
              <w:pStyle w:val="Compact"/>
              <w:spacing w:before="8" w:after="8" w:line="240" w:lineRule="auto"/>
              <w:ind w:firstLine="0" w:left="0" w:right="0"/>
              <w:jc w:val="left"/>
              <w:jc w:val="center"/>
            </w:pPr>
            <w:r>
              <w:rPr>
                <w:rFonts w:ascii="Calibri" w:hAnsi="Calibri"/>
                <w:b/>
                <w:color w:val="0F172A"/>
                <w:sz w:val="15"/>
              </w:rPr>
              <w:t xml:space="preserve">2022</w:t>
            </w:r>
          </w:p>
        </w:tc>
        <w:tc>
          <w:tcPr>
            <w:shd w:fill="F1F5F9"/>
            <w:tcBorders>
              <w:bottom w:val="single" w:sz="8" w:space="0" w:color="475569"/>
            </w:tcBorders>
          </w:tcPr>
          <w:p>
            <w:pPr>
              <w:pStyle w:val="Compact"/>
              <w:spacing w:before="8" w:after="8" w:line="240" w:lineRule="auto"/>
              <w:ind w:firstLine="0" w:left="0" w:right="0"/>
              <w:jc w:val="left"/>
              <w:jc w:val="center"/>
            </w:pPr>
            <w:r>
              <w:rPr>
                <w:rFonts w:ascii="Calibri" w:hAnsi="Calibri"/>
                <w:b/>
                <w:color w:val="0F172A"/>
                <w:sz w:val="15"/>
              </w:rPr>
              <w:t xml:space="preserve">2023</w:t>
            </w:r>
          </w:p>
        </w:tc>
        <w:tc>
          <w:tcPr>
            <w:shd w:fill="F1F5F9"/>
            <w:tcBorders>
              <w:bottom w:val="single" w:sz="8" w:space="0" w:color="475569"/>
            </w:tcBorders>
          </w:tcPr>
          <w:p>
            <w:pPr>
              <w:pStyle w:val="Compact"/>
              <w:spacing w:before="8" w:after="8" w:line="240" w:lineRule="auto"/>
              <w:ind w:firstLine="0" w:left="0" w:right="0"/>
              <w:jc w:val="left"/>
              <w:jc w:val="center"/>
            </w:pPr>
            <w:r>
              <w:rPr>
                <w:rFonts w:ascii="Calibri" w:hAnsi="Calibri"/>
                <w:b/>
                <w:color w:val="0F172A"/>
                <w:sz w:val="15"/>
              </w:rPr>
              <w:t xml:space="preserve">2024</w:t>
            </w:r>
          </w:p>
        </w:tc>
        <w:tc>
          <w:tcPr>
            <w:shd w:fill="F1F5F9"/>
            <w:tcBorders>
              <w:bottom w:val="single" w:sz="8" w:space="0" w:color="475569"/>
            </w:tcBorders>
          </w:tcPr>
          <w:p>
            <w:pPr>
              <w:pStyle w:val="Compact"/>
              <w:spacing w:before="8" w:after="8" w:line="240" w:lineRule="auto"/>
              <w:ind w:firstLine="0" w:left="0" w:right="0"/>
              <w:jc w:val="left"/>
              <w:jc w:val="center"/>
            </w:pPr>
            <w:r>
              <w:rPr>
                <w:rFonts w:ascii="Calibri" w:hAnsi="Calibri"/>
                <w:b/>
                <w:color w:val="0F172A"/>
                <w:sz w:val="15"/>
              </w:rPr>
              <w:t xml:space="preserve">2025</w:t>
            </w:r>
          </w:p>
        </w:tc>
        <w:tc>
          <w:tcPr>
            <w:shd w:fill="F1F5F9"/>
            <w:tcBorders>
              <w:bottom w:val="single" w:sz="8" w:space="0" w:color="475569"/>
            </w:tcBorders>
          </w:tcPr>
          <w:p>
            <w:pPr>
              <w:pStyle w:val="Compact"/>
              <w:spacing w:before="8" w:after="8" w:line="240" w:lineRule="auto"/>
              <w:ind w:firstLine="0" w:left="0" w:right="0"/>
              <w:jc w:val="left"/>
              <w:jc w:val="center"/>
            </w:pPr>
            <w:r>
              <w:rPr>
                <w:rFonts w:ascii="Calibri" w:hAnsi="Calibri"/>
                <w:b/>
                <w:color w:val="0F172A"/>
                <w:sz w:val="15"/>
              </w:rPr>
              <w:t xml:space="preserve">2026</w:t>
            </w:r>
          </w:p>
        </w:tc>
      </w:tr>
      <w:tr>
        <w:trPr>
          <w:cantSplit/>
        </w:trPr>
        <w:tc>
          <w:tcPr/>
          <w:p>
            <w:pPr>
              <w:pStyle w:val="Compact"/>
              <w:spacing w:before="8" w:after="8" w:line="240" w:lineRule="auto"/>
              <w:ind w:firstLine="0" w:left="0" w:right="0"/>
              <w:jc w:val="left"/>
              <w:jc w:val="center"/>
            </w:pPr>
            <w:r>
              <w:rPr>
                <w:rFonts w:ascii="Calibri" w:hAnsi="Calibri"/>
                <w:sz w:val="15"/>
              </w:rPr>
              <w:t xml:space="preserve">10-K documents with ≥1 AI frame</w:t>
            </w:r>
          </w:p>
        </w:tc>
        <w:tc>
          <w:tcPr/>
          <w:p>
            <w:pPr>
              <w:pStyle w:val="Compact"/>
              <w:spacing w:before="8" w:after="8" w:line="240" w:lineRule="auto"/>
              <w:ind w:firstLine="0" w:left="0" w:right="0"/>
              <w:jc w:val="left"/>
              <w:jc w:val="center"/>
            </w:pPr>
            <w:r>
              <w:rPr>
                <w:rFonts w:ascii="Calibri" w:hAnsi="Calibri"/>
                <w:sz w:val="15"/>
              </w:rPr>
              <w:t xml:space="preserve">133 (133)</w:t>
            </w:r>
          </w:p>
        </w:tc>
        <w:tc>
          <w:tcPr/>
          <w:p>
            <w:pPr>
              <w:pStyle w:val="Compact"/>
              <w:spacing w:before="8" w:after="8" w:line="240" w:lineRule="auto"/>
              <w:ind w:firstLine="0" w:left="0" w:right="0"/>
              <w:jc w:val="left"/>
              <w:jc w:val="center"/>
            </w:pPr>
            <w:r>
              <w:rPr>
                <w:rFonts w:ascii="Calibri" w:hAnsi="Calibri"/>
                <w:sz w:val="15"/>
              </w:rPr>
              <w:t xml:space="preserve">155 (155)</w:t>
            </w:r>
          </w:p>
        </w:tc>
        <w:tc>
          <w:tcPr/>
          <w:p>
            <w:pPr>
              <w:pStyle w:val="Compact"/>
              <w:spacing w:before="8" w:after="8" w:line="240" w:lineRule="auto"/>
              <w:ind w:firstLine="0" w:left="0" w:right="0"/>
              <w:jc w:val="left"/>
              <w:jc w:val="center"/>
            </w:pPr>
            <w:r>
              <w:rPr>
                <w:rFonts w:ascii="Calibri" w:hAnsi="Calibri"/>
                <w:sz w:val="15"/>
              </w:rPr>
              <w:t xml:space="preserve">183 (183)</w:t>
            </w:r>
          </w:p>
        </w:tc>
        <w:tc>
          <w:tcPr/>
          <w:p>
            <w:pPr>
              <w:pStyle w:val="Compact"/>
              <w:spacing w:before="8" w:after="8" w:line="240" w:lineRule="auto"/>
              <w:ind w:firstLine="0" w:left="0" w:right="0"/>
              <w:jc w:val="left"/>
              <w:jc w:val="center"/>
            </w:pPr>
            <w:r>
              <w:rPr>
                <w:rFonts w:ascii="Calibri" w:hAnsi="Calibri"/>
                <w:sz w:val="15"/>
              </w:rPr>
              <w:t xml:space="preserve">347 (347)</w:t>
            </w:r>
          </w:p>
        </w:tc>
        <w:tc>
          <w:tcPr/>
          <w:p>
            <w:pPr>
              <w:pStyle w:val="Compact"/>
              <w:spacing w:before="8" w:after="8" w:line="240" w:lineRule="auto"/>
              <w:ind w:firstLine="0" w:left="0" w:right="0"/>
              <w:jc w:val="left"/>
              <w:jc w:val="center"/>
            </w:pPr>
            <w:r>
              <w:rPr>
                <w:rFonts w:ascii="Calibri" w:hAnsi="Calibri"/>
                <w:sz w:val="15"/>
              </w:rPr>
              <w:t xml:space="preserve">413 (413)</w:t>
            </w:r>
          </w:p>
        </w:tc>
        <w:tc>
          <w:tcPr/>
          <w:p>
            <w:pPr>
              <w:pStyle w:val="Compact"/>
              <w:spacing w:before="8" w:after="8" w:line="240" w:lineRule="auto"/>
              <w:ind w:firstLine="0" w:left="0" w:right="0"/>
              <w:jc w:val="left"/>
              <w:jc w:val="center"/>
            </w:pPr>
            <w:r>
              <w:rPr>
                <w:rFonts w:ascii="Calibri" w:hAnsi="Calibri"/>
                <w:sz w:val="15"/>
              </w:rPr>
              <w:t xml:space="preserve">399 (399)</w:t>
            </w:r>
          </w:p>
        </w:tc>
      </w:tr>
      <w:tr>
        <w:trPr>
          <w:cantSplit/>
        </w:trPr>
        <w:tc>
          <w:tcPr/>
          <w:p>
            <w:pPr>
              <w:pStyle w:val="Compact"/>
              <w:spacing w:before="8" w:after="8" w:line="240" w:lineRule="auto"/>
              <w:ind w:firstLine="0" w:left="0" w:right="0"/>
              <w:jc w:val="left"/>
              <w:jc w:val="center"/>
            </w:pPr>
            <w:r>
              <w:rPr>
                <w:rFonts w:ascii="Calibri" w:hAnsi="Calibri"/>
                <w:sz w:val="15"/>
              </w:rPr>
              <w:t xml:space="preserve">10-Q documents with ≥1 AI frame</w:t>
            </w:r>
          </w:p>
        </w:tc>
        <w:tc>
          <w:tcPr/>
          <w:p>
            <w:pPr>
              <w:pStyle w:val="Compact"/>
              <w:spacing w:before="8" w:after="8" w:line="240" w:lineRule="auto"/>
              <w:ind w:firstLine="0" w:left="0" w:right="0"/>
              <w:jc w:val="left"/>
              <w:jc w:val="center"/>
            </w:pPr>
            <w:r>
              <w:rPr>
                <w:rFonts w:ascii="Calibri" w:hAnsi="Calibri"/>
                <w:sz w:val="15"/>
              </w:rPr>
              <w:t xml:space="preserve">96 (40)</w:t>
            </w:r>
          </w:p>
        </w:tc>
        <w:tc>
          <w:tcPr/>
          <w:p>
            <w:pPr>
              <w:pStyle w:val="Compact"/>
              <w:spacing w:before="8" w:after="8" w:line="240" w:lineRule="auto"/>
              <w:ind w:firstLine="0" w:left="0" w:right="0"/>
              <w:jc w:val="left"/>
              <w:jc w:val="center"/>
            </w:pPr>
            <w:r>
              <w:rPr>
                <w:rFonts w:ascii="Calibri" w:hAnsi="Calibri"/>
                <w:sz w:val="15"/>
              </w:rPr>
              <w:t xml:space="preserve">123 (47)</w:t>
            </w:r>
          </w:p>
        </w:tc>
        <w:tc>
          <w:tcPr/>
          <w:p>
            <w:pPr>
              <w:pStyle w:val="Compact"/>
              <w:spacing w:before="8" w:after="8" w:line="240" w:lineRule="auto"/>
              <w:ind w:firstLine="0" w:left="0" w:right="0"/>
              <w:jc w:val="left"/>
              <w:jc w:val="center"/>
            </w:pPr>
            <w:r>
              <w:rPr>
                <w:rFonts w:ascii="Calibri" w:hAnsi="Calibri"/>
                <w:sz w:val="15"/>
              </w:rPr>
              <w:t xml:space="preserve">141 (58)</w:t>
            </w:r>
          </w:p>
        </w:tc>
        <w:tc>
          <w:tcPr/>
          <w:p>
            <w:pPr>
              <w:pStyle w:val="Compact"/>
              <w:spacing w:before="8" w:after="8" w:line="240" w:lineRule="auto"/>
              <w:ind w:firstLine="0" w:left="0" w:right="0"/>
              <w:jc w:val="left"/>
              <w:jc w:val="center"/>
            </w:pPr>
            <w:r>
              <w:rPr>
                <w:rFonts w:ascii="Calibri" w:hAnsi="Calibri"/>
                <w:sz w:val="15"/>
              </w:rPr>
              <w:t xml:space="preserve">291 (116)</w:t>
            </w:r>
          </w:p>
        </w:tc>
        <w:tc>
          <w:tcPr/>
          <w:p>
            <w:pPr>
              <w:pStyle w:val="Compact"/>
              <w:spacing w:before="8" w:after="8" w:line="240" w:lineRule="auto"/>
              <w:ind w:firstLine="0" w:left="0" w:right="0"/>
              <w:jc w:val="left"/>
              <w:jc w:val="center"/>
            </w:pPr>
            <w:r>
              <w:rPr>
                <w:rFonts w:ascii="Calibri" w:hAnsi="Calibri"/>
                <w:sz w:val="15"/>
              </w:rPr>
              <w:t xml:space="preserve">385 (142)</w:t>
            </w:r>
          </w:p>
        </w:tc>
        <w:tc>
          <w:tcPr/>
          <w:p>
            <w:pPr>
              <w:pStyle w:val="Compact"/>
              <w:spacing w:before="8" w:after="8" w:line="240" w:lineRule="auto"/>
              <w:ind w:firstLine="0" w:left="0" w:right="0"/>
              <w:jc w:val="left"/>
              <w:jc w:val="center"/>
            </w:pPr>
            <w:r>
              <w:rPr>
                <w:rFonts w:ascii="Calibri" w:hAnsi="Calibri"/>
                <w:sz w:val="15"/>
              </w:rPr>
              <w:t xml:space="preserve">344 (179)</w:t>
            </w:r>
          </w:p>
        </w:tc>
      </w:tr>
      <w:tr>
        <w:trPr>
          <w:cantSplit/>
        </w:trPr>
        <w:tc>
          <w:tcPr/>
          <w:p>
            <w:pPr>
              <w:pStyle w:val="Compact"/>
              <w:spacing w:before="8" w:after="8" w:line="240" w:lineRule="auto"/>
              <w:ind w:firstLine="0" w:left="0" w:right="0"/>
              <w:jc w:val="left"/>
              <w:jc w:val="center"/>
            </w:pPr>
            <w:r>
              <w:rPr>
                <w:rFonts w:ascii="Calibri" w:hAnsi="Calibri"/>
                <w:sz w:val="15"/>
              </w:rPr>
              <w:t xml:space="preserve">DEF 14A documents with ≥1 AI frame</w:t>
            </w:r>
          </w:p>
        </w:tc>
        <w:tc>
          <w:tcPr/>
          <w:p>
            <w:pPr>
              <w:pStyle w:val="Compact"/>
              <w:spacing w:before="8" w:after="8" w:line="240" w:lineRule="auto"/>
              <w:ind w:firstLine="0" w:left="0" w:right="0"/>
              <w:jc w:val="left"/>
              <w:jc w:val="center"/>
            </w:pPr>
            <w:r>
              <w:rPr>
                <w:rFonts w:ascii="Calibri" w:hAnsi="Calibri"/>
                <w:sz w:val="15"/>
              </w:rPr>
              <w:t xml:space="preserve">94 (94)</w:t>
            </w:r>
          </w:p>
        </w:tc>
        <w:tc>
          <w:tcPr/>
          <w:p>
            <w:pPr>
              <w:pStyle w:val="Compact"/>
              <w:spacing w:before="8" w:after="8" w:line="240" w:lineRule="auto"/>
              <w:ind w:firstLine="0" w:left="0" w:right="0"/>
              <w:jc w:val="left"/>
              <w:jc w:val="center"/>
            </w:pPr>
            <w:r>
              <w:rPr>
                <w:rFonts w:ascii="Calibri" w:hAnsi="Calibri"/>
                <w:sz w:val="15"/>
              </w:rPr>
              <w:t xml:space="preserve">117 (117)</w:t>
            </w:r>
          </w:p>
        </w:tc>
        <w:tc>
          <w:tcPr/>
          <w:p>
            <w:pPr>
              <w:pStyle w:val="Compact"/>
              <w:spacing w:before="8" w:after="8" w:line="240" w:lineRule="auto"/>
              <w:ind w:firstLine="0" w:left="0" w:right="0"/>
              <w:jc w:val="left"/>
              <w:jc w:val="center"/>
            </w:pPr>
            <w:r>
              <w:rPr>
                <w:rFonts w:ascii="Calibri" w:hAnsi="Calibri"/>
                <w:sz w:val="15"/>
              </w:rPr>
              <w:t xml:space="preserve">140 (140)</w:t>
            </w:r>
          </w:p>
        </w:tc>
        <w:tc>
          <w:tcPr/>
          <w:p>
            <w:pPr>
              <w:pStyle w:val="Compact"/>
              <w:spacing w:before="8" w:after="8" w:line="240" w:lineRule="auto"/>
              <w:ind w:firstLine="0" w:left="0" w:right="0"/>
              <w:jc w:val="left"/>
              <w:jc w:val="center"/>
            </w:pPr>
            <w:r>
              <w:rPr>
                <w:rFonts w:ascii="Calibri" w:hAnsi="Calibri"/>
                <w:sz w:val="15"/>
              </w:rPr>
              <w:t xml:space="preserve">233 (232)</w:t>
            </w:r>
          </w:p>
        </w:tc>
        <w:tc>
          <w:tcPr/>
          <w:p>
            <w:pPr>
              <w:pStyle w:val="Compact"/>
              <w:spacing w:before="8" w:after="8" w:line="240" w:lineRule="auto"/>
              <w:ind w:firstLine="0" w:left="0" w:right="0"/>
              <w:jc w:val="left"/>
              <w:jc w:val="center"/>
            </w:pPr>
            <w:r>
              <w:rPr>
                <w:rFonts w:ascii="Calibri" w:hAnsi="Calibri"/>
                <w:sz w:val="15"/>
              </w:rPr>
              <w:t xml:space="preserve">308 (308)</w:t>
            </w:r>
          </w:p>
        </w:tc>
        <w:tc>
          <w:tcPr/>
          <w:p>
            <w:pPr>
              <w:pStyle w:val="Compact"/>
              <w:spacing w:before="8" w:after="8" w:line="240" w:lineRule="auto"/>
              <w:ind w:firstLine="0" w:left="0" w:right="0"/>
              <w:jc w:val="left"/>
              <w:jc w:val="center"/>
            </w:pPr>
            <w:r>
              <w:rPr>
                <w:rFonts w:ascii="Calibri" w:hAnsi="Calibri"/>
                <w:sz w:val="15"/>
              </w:rPr>
              <w:t xml:space="preserve">347 (347)</w:t>
            </w:r>
          </w:p>
        </w:tc>
      </w:tr>
      <w:tr>
        <w:trPr>
          <w:cantSplit/>
        </w:trPr>
        <w:tc>
          <w:tcPr/>
          <w:p>
            <w:pPr>
              <w:pStyle w:val="Compact"/>
              <w:spacing w:before="8" w:after="8" w:line="240" w:lineRule="auto"/>
              <w:ind w:firstLine="0" w:left="0" w:right="0"/>
              <w:jc w:val="left"/>
              <w:jc w:val="center"/>
            </w:pPr>
            <w:r>
              <w:rPr>
                <w:rFonts w:ascii="Calibri" w:hAnsi="Calibri"/>
                <w:sz w:val="15"/>
              </w:rPr>
              <w:t xml:space="preserve">8-K documents with ≥1 AI frame</w:t>
            </w:r>
          </w:p>
        </w:tc>
        <w:tc>
          <w:tcPr/>
          <w:p>
            <w:pPr>
              <w:pStyle w:val="Compact"/>
              <w:spacing w:before="8" w:after="8" w:line="240" w:lineRule="auto"/>
              <w:ind w:firstLine="0" w:left="0" w:right="0"/>
              <w:jc w:val="left"/>
              <w:jc w:val="center"/>
            </w:pPr>
            <w:r>
              <w:rPr>
                <w:rFonts w:ascii="Calibri" w:hAnsi="Calibri"/>
                <w:sz w:val="15"/>
              </w:rPr>
              <w:t xml:space="preserve">7 (6)</w:t>
            </w:r>
          </w:p>
        </w:tc>
        <w:tc>
          <w:tcPr/>
          <w:p>
            <w:pPr>
              <w:pStyle w:val="Compact"/>
              <w:spacing w:before="8" w:after="8" w:line="240" w:lineRule="auto"/>
              <w:ind w:firstLine="0" w:left="0" w:right="0"/>
              <w:jc w:val="left"/>
              <w:jc w:val="center"/>
            </w:pPr>
            <w:r>
              <w:rPr>
                <w:rFonts w:ascii="Calibri" w:hAnsi="Calibri"/>
                <w:sz w:val="15"/>
              </w:rPr>
              <w:t xml:space="preserve">4 (3)</w:t>
            </w:r>
          </w:p>
        </w:tc>
        <w:tc>
          <w:tcPr/>
          <w:p>
            <w:pPr>
              <w:pStyle w:val="Compact"/>
              <w:spacing w:before="8" w:after="8" w:line="240" w:lineRule="auto"/>
              <w:ind w:firstLine="0" w:left="0" w:right="0"/>
              <w:jc w:val="left"/>
              <w:jc w:val="center"/>
            </w:pPr>
            <w:r>
              <w:rPr>
                <w:rFonts w:ascii="Calibri" w:hAnsi="Calibri"/>
                <w:sz w:val="15"/>
              </w:rPr>
              <w:t xml:space="preserve">11 (10)</w:t>
            </w:r>
          </w:p>
        </w:tc>
        <w:tc>
          <w:tcPr/>
          <w:p>
            <w:pPr>
              <w:pStyle w:val="Compact"/>
              <w:spacing w:before="8" w:after="8" w:line="240" w:lineRule="auto"/>
              <w:ind w:firstLine="0" w:left="0" w:right="0"/>
              <w:jc w:val="left"/>
              <w:jc w:val="center"/>
            </w:pPr>
            <w:r>
              <w:rPr>
                <w:rFonts w:ascii="Calibri" w:hAnsi="Calibri"/>
                <w:sz w:val="15"/>
              </w:rPr>
              <w:t xml:space="preserve">53 (23)</w:t>
            </w:r>
          </w:p>
        </w:tc>
        <w:tc>
          <w:tcPr/>
          <w:p>
            <w:pPr>
              <w:pStyle w:val="Compact"/>
              <w:spacing w:before="8" w:after="8" w:line="240" w:lineRule="auto"/>
              <w:ind w:firstLine="0" w:left="0" w:right="0"/>
              <w:jc w:val="left"/>
              <w:jc w:val="center"/>
            </w:pPr>
            <w:r>
              <w:rPr>
                <w:rFonts w:ascii="Calibri" w:hAnsi="Calibri"/>
                <w:sz w:val="15"/>
              </w:rPr>
              <w:t xml:space="preserve">88 (37)</w:t>
            </w:r>
          </w:p>
        </w:tc>
        <w:tc>
          <w:tcPr/>
          <w:p>
            <w:pPr>
              <w:pStyle w:val="Compact"/>
              <w:spacing w:before="8" w:after="8" w:line="240" w:lineRule="auto"/>
              <w:ind w:firstLine="0" w:left="0" w:right="0"/>
              <w:jc w:val="left"/>
              <w:jc w:val="center"/>
            </w:pPr>
            <w:r>
              <w:rPr>
                <w:rFonts w:ascii="Calibri" w:hAnsi="Calibri"/>
                <w:sz w:val="15"/>
              </w:rPr>
              <w:t xml:space="preserve">77 (46)</w:t>
            </w:r>
          </w:p>
        </w:tc>
      </w:tr>
      <w:tr>
        <w:trPr>
          <w:cantSplit/>
        </w:trPr>
        <w:tc>
          <w:tcPr/>
          <w:p>
            <w:pPr>
              <w:pStyle w:val="Compact"/>
              <w:spacing w:before="8" w:after="8" w:line="240" w:lineRule="auto"/>
              <w:ind w:firstLine="0" w:left="0" w:right="0"/>
              <w:jc w:val="left"/>
              <w:jc w:val="center"/>
            </w:pPr>
            <w:r>
              <w:rPr>
                <w:rFonts w:ascii="Calibri" w:hAnsi="Calibri"/>
                <w:sz w:val="15"/>
              </w:rPr>
              <w:t xml:space="preserve">Call transcripts with ≥1 AI frame</w:t>
            </w:r>
          </w:p>
        </w:tc>
        <w:tc>
          <w:tcPr/>
          <w:p>
            <w:pPr>
              <w:pStyle w:val="Compact"/>
              <w:spacing w:before="8" w:after="8" w:line="240" w:lineRule="auto"/>
              <w:ind w:firstLine="0" w:left="0" w:right="0"/>
              <w:jc w:val="left"/>
              <w:jc w:val="center"/>
            </w:pPr>
            <w:r>
              <w:rPr>
                <w:rFonts w:ascii="Calibri" w:hAnsi="Calibri"/>
                <w:sz w:val="15"/>
              </w:rPr>
              <w:t xml:space="preserve">361 (184)</w:t>
            </w:r>
          </w:p>
        </w:tc>
        <w:tc>
          <w:tcPr/>
          <w:p>
            <w:pPr>
              <w:pStyle w:val="Compact"/>
              <w:spacing w:before="8" w:after="8" w:line="240" w:lineRule="auto"/>
              <w:ind w:firstLine="0" w:left="0" w:right="0"/>
              <w:jc w:val="left"/>
              <w:jc w:val="center"/>
            </w:pPr>
            <w:r>
              <w:rPr>
                <w:rFonts w:ascii="Calibri" w:hAnsi="Calibri"/>
                <w:sz w:val="15"/>
              </w:rPr>
              <w:t xml:space="preserve">362 (190)</w:t>
            </w:r>
          </w:p>
        </w:tc>
        <w:tc>
          <w:tcPr/>
          <w:p>
            <w:pPr>
              <w:pStyle w:val="Compact"/>
              <w:spacing w:before="8" w:after="8" w:line="240" w:lineRule="auto"/>
              <w:ind w:firstLine="0" w:left="0" w:right="0"/>
              <w:jc w:val="left"/>
              <w:jc w:val="center"/>
            </w:pPr>
            <w:r>
              <w:rPr>
                <w:rFonts w:ascii="Calibri" w:hAnsi="Calibri"/>
                <w:sz w:val="15"/>
              </w:rPr>
              <w:t xml:space="preserve">601 (266)</w:t>
            </w:r>
          </w:p>
        </w:tc>
        <w:tc>
          <w:tcPr/>
          <w:p>
            <w:pPr>
              <w:pStyle w:val="Compact"/>
              <w:spacing w:before="8" w:after="8" w:line="240" w:lineRule="auto"/>
              <w:ind w:firstLine="0" w:left="0" w:right="0"/>
              <w:jc w:val="left"/>
              <w:jc w:val="center"/>
            </w:pPr>
            <w:r>
              <w:rPr>
                <w:rFonts w:ascii="Calibri" w:hAnsi="Calibri"/>
                <w:sz w:val="15"/>
              </w:rPr>
              <w:t xml:space="preserve">764 (296)</w:t>
            </w:r>
          </w:p>
        </w:tc>
        <w:tc>
          <w:tcPr/>
          <w:p>
            <w:pPr>
              <w:pStyle w:val="Compact"/>
              <w:spacing w:before="8" w:after="8" w:line="240" w:lineRule="auto"/>
              <w:ind w:firstLine="0" w:left="0" w:right="0"/>
              <w:jc w:val="left"/>
              <w:jc w:val="center"/>
            </w:pPr>
            <w:r>
              <w:rPr>
                <w:rFonts w:ascii="Calibri" w:hAnsi="Calibri"/>
                <w:sz w:val="15"/>
              </w:rPr>
              <w:t xml:space="preserve">1,009 (366)</w:t>
            </w:r>
          </w:p>
        </w:tc>
        <w:tc>
          <w:tcPr/>
          <w:p>
            <w:pPr>
              <w:pStyle w:val="Compact"/>
              <w:spacing w:before="8" w:after="8" w:line="240" w:lineRule="auto"/>
              <w:ind w:firstLine="0" w:left="0" w:right="0"/>
              <w:jc w:val="left"/>
              <w:jc w:val="center"/>
            </w:pPr>
            <w:r>
              <w:rPr>
                <w:rFonts w:ascii="Calibri" w:hAnsi="Calibri"/>
                <w:sz w:val="15"/>
              </w:rPr>
              <w:t xml:space="preserve">866 (377)</w:t>
            </w:r>
          </w:p>
        </w:tc>
      </w:tr>
      <w:tr>
        <w:trPr>
          <w:cantSplit/>
        </w:trPr>
        <w:tc>
          <w:tcPr/>
          <w:p>
            <w:pPr>
              <w:pStyle w:val="Compact"/>
              <w:spacing w:before="8" w:after="8" w:line="240" w:lineRule="auto"/>
              <w:ind w:firstLine="0" w:left="0" w:right="0"/>
              <w:jc w:val="left"/>
              <w:jc w:val="center"/>
            </w:pPr>
            <w:r>
              <w:rPr>
                <w:rFonts w:ascii="Calibri" w:hAnsi="Calibri"/>
                <w:sz w:val="15"/>
              </w:rPr>
              <w:t xml:space="preserve">AI semantic frames in statutory filings</w:t>
            </w:r>
          </w:p>
        </w:tc>
        <w:tc>
          <w:tcPr/>
          <w:p>
            <w:pPr>
              <w:pStyle w:val="Compact"/>
              <w:spacing w:before="8" w:after="8" w:line="240" w:lineRule="auto"/>
              <w:ind w:firstLine="0" w:left="0" w:right="0"/>
              <w:jc w:val="left"/>
              <w:jc w:val="center"/>
            </w:pPr>
            <w:r>
              <w:rPr>
                <w:rFonts w:ascii="Calibri" w:hAnsi="Calibri"/>
                <w:sz w:val="15"/>
              </w:rPr>
              <w:t xml:space="preserve">1,453 (171)</w:t>
            </w:r>
          </w:p>
        </w:tc>
        <w:tc>
          <w:tcPr/>
          <w:p>
            <w:pPr>
              <w:pStyle w:val="Compact"/>
              <w:spacing w:before="8" w:after="8" w:line="240" w:lineRule="auto"/>
              <w:ind w:firstLine="0" w:left="0" w:right="0"/>
              <w:jc w:val="left"/>
              <w:jc w:val="center"/>
            </w:pPr>
            <w:r>
              <w:rPr>
                <w:rFonts w:ascii="Calibri" w:hAnsi="Calibri"/>
                <w:sz w:val="15"/>
              </w:rPr>
              <w:t xml:space="preserve">1,691 (194)</w:t>
            </w:r>
          </w:p>
        </w:tc>
        <w:tc>
          <w:tcPr/>
          <w:p>
            <w:pPr>
              <w:pStyle w:val="Compact"/>
              <w:spacing w:before="8" w:after="8" w:line="240" w:lineRule="auto"/>
              <w:ind w:firstLine="0" w:left="0" w:right="0"/>
              <w:jc w:val="left"/>
              <w:jc w:val="center"/>
            </w:pPr>
            <w:r>
              <w:rPr>
                <w:rFonts w:ascii="Calibri" w:hAnsi="Calibri"/>
                <w:sz w:val="15"/>
              </w:rPr>
              <w:t xml:space="preserve">2,516 (241)</w:t>
            </w:r>
          </w:p>
        </w:tc>
        <w:tc>
          <w:tcPr/>
          <w:p>
            <w:pPr>
              <w:pStyle w:val="Compact"/>
              <w:spacing w:before="8" w:after="8" w:line="240" w:lineRule="auto"/>
              <w:ind w:firstLine="0" w:left="0" w:right="0"/>
              <w:jc w:val="left"/>
              <w:jc w:val="center"/>
            </w:pPr>
            <w:r>
              <w:rPr>
                <w:rFonts w:ascii="Calibri" w:hAnsi="Calibri"/>
                <w:sz w:val="15"/>
              </w:rPr>
              <w:t xml:space="preserve">6,745 (392)</w:t>
            </w:r>
          </w:p>
        </w:tc>
        <w:tc>
          <w:tcPr/>
          <w:p>
            <w:pPr>
              <w:pStyle w:val="Compact"/>
              <w:spacing w:before="8" w:after="8" w:line="240" w:lineRule="auto"/>
              <w:ind w:firstLine="0" w:left="0" w:right="0"/>
              <w:jc w:val="left"/>
              <w:jc w:val="center"/>
            </w:pPr>
            <w:r>
              <w:rPr>
                <w:rFonts w:ascii="Calibri" w:hAnsi="Calibri"/>
                <w:sz w:val="15"/>
              </w:rPr>
              <w:t xml:space="preserve">10,457 (443)</w:t>
            </w:r>
          </w:p>
        </w:tc>
        <w:tc>
          <w:tcPr/>
          <w:p>
            <w:pPr>
              <w:pStyle w:val="Compact"/>
              <w:spacing w:before="8" w:after="8" w:line="240" w:lineRule="auto"/>
              <w:ind w:firstLine="0" w:left="0" w:right="0"/>
              <w:jc w:val="left"/>
              <w:jc w:val="center"/>
            </w:pPr>
            <w:r>
              <w:rPr>
                <w:rFonts w:ascii="Calibri" w:hAnsi="Calibri"/>
                <w:sz w:val="15"/>
              </w:rPr>
              <w:t xml:space="preserve">12,710 (444)</w:t>
            </w:r>
          </w:p>
        </w:tc>
      </w:tr>
      <w:tr>
        <w:trPr>
          <w:cantSplit/>
        </w:trPr>
        <w:tc>
          <w:tcPr/>
          <w:p>
            <w:pPr>
              <w:pStyle w:val="Compact"/>
              <w:spacing w:before="8" w:after="8" w:line="240" w:lineRule="auto"/>
              <w:ind w:firstLine="0" w:left="0" w:right="0"/>
              <w:jc w:val="left"/>
              <w:jc w:val="center"/>
            </w:pPr>
            <w:r>
              <w:rPr>
                <w:rFonts w:ascii="Calibri" w:hAnsi="Calibri"/>
                <w:sz w:val="15"/>
              </w:rPr>
              <w:t xml:space="preserve">AI semantic frames in earnings calls</w:t>
            </w:r>
          </w:p>
        </w:tc>
        <w:tc>
          <w:tcPr/>
          <w:p>
            <w:pPr>
              <w:pStyle w:val="Compact"/>
              <w:spacing w:before="8" w:after="8" w:line="240" w:lineRule="auto"/>
              <w:ind w:firstLine="0" w:left="0" w:right="0"/>
              <w:jc w:val="left"/>
              <w:jc w:val="center"/>
            </w:pPr>
            <w:r>
              <w:rPr>
                <w:rFonts w:ascii="Calibri" w:hAnsi="Calibri"/>
                <w:sz w:val="15"/>
              </w:rPr>
              <w:t xml:space="preserve">1,477 (184)</w:t>
            </w:r>
          </w:p>
        </w:tc>
        <w:tc>
          <w:tcPr/>
          <w:p>
            <w:pPr>
              <w:pStyle w:val="Compact"/>
              <w:spacing w:before="8" w:after="8" w:line="240" w:lineRule="auto"/>
              <w:ind w:firstLine="0" w:left="0" w:right="0"/>
              <w:jc w:val="left"/>
              <w:jc w:val="center"/>
            </w:pPr>
            <w:r>
              <w:rPr>
                <w:rFonts w:ascii="Calibri" w:hAnsi="Calibri"/>
                <w:sz w:val="15"/>
              </w:rPr>
              <w:t xml:space="preserve">1,564 (190)</w:t>
            </w:r>
          </w:p>
        </w:tc>
        <w:tc>
          <w:tcPr/>
          <w:p>
            <w:pPr>
              <w:pStyle w:val="Compact"/>
              <w:spacing w:before="8" w:after="8" w:line="240" w:lineRule="auto"/>
              <w:ind w:firstLine="0" w:left="0" w:right="0"/>
              <w:jc w:val="left"/>
              <w:jc w:val="center"/>
            </w:pPr>
            <w:r>
              <w:rPr>
                <w:rFonts w:ascii="Calibri" w:hAnsi="Calibri"/>
                <w:sz w:val="15"/>
              </w:rPr>
              <w:t xml:space="preserve">5,438 (266)</w:t>
            </w:r>
          </w:p>
        </w:tc>
        <w:tc>
          <w:tcPr/>
          <w:p>
            <w:pPr>
              <w:pStyle w:val="Compact"/>
              <w:spacing w:before="8" w:after="8" w:line="240" w:lineRule="auto"/>
              <w:ind w:firstLine="0" w:left="0" w:right="0"/>
              <w:jc w:val="left"/>
              <w:jc w:val="center"/>
            </w:pPr>
            <w:r>
              <w:rPr>
                <w:rFonts w:ascii="Calibri" w:hAnsi="Calibri"/>
                <w:sz w:val="15"/>
              </w:rPr>
              <w:t xml:space="preserve">7,343 (296)</w:t>
            </w:r>
          </w:p>
        </w:tc>
        <w:tc>
          <w:tcPr/>
          <w:p>
            <w:pPr>
              <w:pStyle w:val="Compact"/>
              <w:spacing w:before="8" w:after="8" w:line="240" w:lineRule="auto"/>
              <w:ind w:firstLine="0" w:left="0" w:right="0"/>
              <w:jc w:val="left"/>
              <w:jc w:val="center"/>
            </w:pPr>
            <w:r>
              <w:rPr>
                <w:rFonts w:ascii="Calibri" w:hAnsi="Calibri"/>
                <w:sz w:val="15"/>
              </w:rPr>
              <w:t xml:space="preserve">10,364 (366)</w:t>
            </w:r>
          </w:p>
        </w:tc>
        <w:tc>
          <w:tcPr/>
          <w:p>
            <w:pPr>
              <w:pStyle w:val="Compact"/>
              <w:spacing w:before="8" w:after="8" w:line="240" w:lineRule="auto"/>
              <w:ind w:firstLine="0" w:left="0" w:right="0"/>
              <w:jc w:val="left"/>
              <w:jc w:val="center"/>
            </w:pPr>
            <w:r>
              <w:rPr>
                <w:rFonts w:ascii="Calibri" w:hAnsi="Calibri"/>
                <w:sz w:val="15"/>
              </w:rPr>
              <w:t xml:space="preserve">11,168 (377)</w:t>
            </w:r>
          </w:p>
        </w:tc>
      </w:tr>
      <w:tr>
        <w:trPr>
          <w:cantSplit/>
        </w:trPr>
        <w:tc>
          <w:tcPr/>
          <w:p>
            <w:pPr>
              <w:pStyle w:val="Compact"/>
              <w:spacing w:before="8" w:after="8" w:line="240" w:lineRule="auto"/>
              <w:ind w:firstLine="0" w:left="0" w:right="0"/>
              <w:jc w:val="left"/>
              <w:jc w:val="center"/>
            </w:pPr>
            <w:r>
              <w:rPr>
                <w:rFonts w:ascii="Calibri" w:hAnsi="Calibri"/>
                <w:sz w:val="15"/>
              </w:rPr>
              <w:t xml:space="preserve">Disclosed AI activities in statutory filings</w:t>
            </w:r>
          </w:p>
        </w:tc>
        <w:tc>
          <w:tcPr/>
          <w:p>
            <w:pPr>
              <w:pStyle w:val="Compact"/>
              <w:spacing w:before="8" w:after="8" w:line="240" w:lineRule="auto"/>
              <w:ind w:firstLine="0" w:left="0" w:right="0"/>
              <w:jc w:val="left"/>
              <w:jc w:val="center"/>
            </w:pPr>
            <w:r>
              <w:rPr>
                <w:rFonts w:ascii="Calibri" w:hAnsi="Calibri"/>
                <w:sz w:val="15"/>
              </w:rPr>
              <w:t xml:space="preserve">1,071 (134)</w:t>
            </w:r>
          </w:p>
        </w:tc>
        <w:tc>
          <w:tcPr/>
          <w:p>
            <w:pPr>
              <w:pStyle w:val="Compact"/>
              <w:spacing w:before="8" w:after="8" w:line="240" w:lineRule="auto"/>
              <w:ind w:firstLine="0" w:left="0" w:right="0"/>
              <w:jc w:val="left"/>
              <w:jc w:val="center"/>
            </w:pPr>
            <w:r>
              <w:rPr>
                <w:rFonts w:ascii="Calibri" w:hAnsi="Calibri"/>
                <w:sz w:val="15"/>
              </w:rPr>
              <w:t xml:space="preserve">1,120 (153)</w:t>
            </w:r>
          </w:p>
        </w:tc>
        <w:tc>
          <w:tcPr/>
          <w:p>
            <w:pPr>
              <w:pStyle w:val="Compact"/>
              <w:spacing w:before="8" w:after="8" w:line="240" w:lineRule="auto"/>
              <w:ind w:firstLine="0" w:left="0" w:right="0"/>
              <w:jc w:val="left"/>
              <w:jc w:val="center"/>
            </w:pPr>
            <w:r>
              <w:rPr>
                <w:rFonts w:ascii="Calibri" w:hAnsi="Calibri"/>
                <w:sz w:val="15"/>
              </w:rPr>
              <w:t xml:space="preserve">1,548 (172)</w:t>
            </w:r>
          </w:p>
        </w:tc>
        <w:tc>
          <w:tcPr/>
          <w:p>
            <w:pPr>
              <w:pStyle w:val="Compact"/>
              <w:spacing w:before="8" w:after="8" w:line="240" w:lineRule="auto"/>
              <w:ind w:firstLine="0" w:left="0" w:right="0"/>
              <w:jc w:val="left"/>
              <w:jc w:val="center"/>
            </w:pPr>
            <w:r>
              <w:rPr>
                <w:rFonts w:ascii="Calibri" w:hAnsi="Calibri"/>
                <w:sz w:val="15"/>
              </w:rPr>
              <w:t xml:space="preserve">3,456 (278)</w:t>
            </w:r>
          </w:p>
        </w:tc>
        <w:tc>
          <w:tcPr/>
          <w:p>
            <w:pPr>
              <w:pStyle w:val="Compact"/>
              <w:spacing w:before="8" w:after="8" w:line="240" w:lineRule="auto"/>
              <w:ind w:firstLine="0" w:left="0" w:right="0"/>
              <w:jc w:val="left"/>
              <w:jc w:val="center"/>
            </w:pPr>
            <w:r>
              <w:rPr>
                <w:rFonts w:ascii="Calibri" w:hAnsi="Calibri"/>
                <w:sz w:val="15"/>
              </w:rPr>
              <w:t xml:space="preserve">5,011 (335)</w:t>
            </w:r>
          </w:p>
        </w:tc>
        <w:tc>
          <w:tcPr/>
          <w:p>
            <w:pPr>
              <w:pStyle w:val="Compact"/>
              <w:spacing w:before="8" w:after="8" w:line="240" w:lineRule="auto"/>
              <w:ind w:firstLine="0" w:left="0" w:right="0"/>
              <w:jc w:val="left"/>
              <w:jc w:val="center"/>
            </w:pPr>
            <w:r>
              <w:rPr>
                <w:rFonts w:ascii="Calibri" w:hAnsi="Calibri"/>
                <w:sz w:val="15"/>
              </w:rPr>
              <w:t xml:space="preserve">6,472 (389)</w:t>
            </w:r>
          </w:p>
        </w:tc>
      </w:tr>
      <w:tr>
        <w:trPr>
          <w:cantSplit/>
        </w:trPr>
        <w:tc>
          <w:tcPr/>
          <w:p>
            <w:pPr>
              <w:pStyle w:val="Compact"/>
              <w:spacing w:before="8" w:after="8" w:line="240" w:lineRule="auto"/>
              <w:ind w:firstLine="0" w:left="0" w:right="0"/>
              <w:jc w:val="left"/>
              <w:jc w:val="center"/>
            </w:pPr>
            <w:r>
              <w:rPr>
                <w:rFonts w:ascii="Calibri" w:hAnsi="Calibri"/>
                <w:sz w:val="15"/>
              </w:rPr>
              <w:t xml:space="preserve">Disclosed AI activities in earnings calls</w:t>
            </w:r>
          </w:p>
        </w:tc>
        <w:tc>
          <w:tcPr/>
          <w:p>
            <w:pPr>
              <w:pStyle w:val="Compact"/>
              <w:spacing w:before="8" w:after="8" w:line="240" w:lineRule="auto"/>
              <w:ind w:firstLine="0" w:left="0" w:right="0"/>
              <w:jc w:val="left"/>
              <w:jc w:val="center"/>
            </w:pPr>
            <w:r>
              <w:rPr>
                <w:rFonts w:ascii="Calibri" w:hAnsi="Calibri"/>
                <w:sz w:val="15"/>
              </w:rPr>
              <w:t xml:space="preserve">1,333 (162)</w:t>
            </w:r>
          </w:p>
        </w:tc>
        <w:tc>
          <w:tcPr/>
          <w:p>
            <w:pPr>
              <w:pStyle w:val="Compact"/>
              <w:spacing w:before="8" w:after="8" w:line="240" w:lineRule="auto"/>
              <w:ind w:firstLine="0" w:left="0" w:right="0"/>
              <w:jc w:val="left"/>
              <w:jc w:val="center"/>
            </w:pPr>
            <w:r>
              <w:rPr>
                <w:rFonts w:ascii="Calibri" w:hAnsi="Calibri"/>
                <w:sz w:val="15"/>
              </w:rPr>
              <w:t xml:space="preserve">1,361 (170)</w:t>
            </w:r>
          </w:p>
        </w:tc>
        <w:tc>
          <w:tcPr/>
          <w:p>
            <w:pPr>
              <w:pStyle w:val="Compact"/>
              <w:spacing w:before="8" w:after="8" w:line="240" w:lineRule="auto"/>
              <w:ind w:firstLine="0" w:left="0" w:right="0"/>
              <w:jc w:val="left"/>
              <w:jc w:val="center"/>
            </w:pPr>
            <w:r>
              <w:rPr>
                <w:rFonts w:ascii="Calibri" w:hAnsi="Calibri"/>
                <w:sz w:val="15"/>
              </w:rPr>
              <w:t xml:space="preserve">4,238 (237)</w:t>
            </w:r>
          </w:p>
        </w:tc>
        <w:tc>
          <w:tcPr/>
          <w:p>
            <w:pPr>
              <w:pStyle w:val="Compact"/>
              <w:spacing w:before="8" w:after="8" w:line="240" w:lineRule="auto"/>
              <w:ind w:firstLine="0" w:left="0" w:right="0"/>
              <w:jc w:val="left"/>
              <w:jc w:val="center"/>
            </w:pPr>
            <w:r>
              <w:rPr>
                <w:rFonts w:ascii="Calibri" w:hAnsi="Calibri"/>
                <w:sz w:val="15"/>
              </w:rPr>
              <w:t xml:space="preserve">5,386 (263)</w:t>
            </w:r>
          </w:p>
        </w:tc>
        <w:tc>
          <w:tcPr/>
          <w:p>
            <w:pPr>
              <w:pStyle w:val="Compact"/>
              <w:spacing w:before="8" w:after="8" w:line="240" w:lineRule="auto"/>
              <w:ind w:firstLine="0" w:left="0" w:right="0"/>
              <w:jc w:val="left"/>
              <w:jc w:val="center"/>
            </w:pPr>
            <w:r>
              <w:rPr>
                <w:rFonts w:ascii="Calibri" w:hAnsi="Calibri"/>
                <w:sz w:val="15"/>
              </w:rPr>
              <w:t xml:space="preserve">7,583 (343)</w:t>
            </w:r>
          </w:p>
        </w:tc>
        <w:tc>
          <w:tcPr/>
          <w:p>
            <w:pPr>
              <w:pStyle w:val="Compact"/>
              <w:spacing w:before="8" w:after="8" w:line="240" w:lineRule="auto"/>
              <w:ind w:firstLine="0" w:left="0" w:right="0"/>
              <w:jc w:val="left"/>
              <w:jc w:val="center"/>
            </w:pPr>
            <w:r>
              <w:rPr>
                <w:rFonts w:ascii="Calibri" w:hAnsi="Calibri"/>
                <w:sz w:val="15"/>
              </w:rPr>
              <w:t xml:space="preserve">8,073 (353)</w:t>
            </w:r>
          </w:p>
        </w:tc>
      </w:tr>
      <w:tr>
        <w:trPr>
          <w:cantSplit/>
        </w:trPr>
        <w:tc>
          <w:tcPr/>
          <w:p>
            <w:pPr>
              <w:pStyle w:val="Compact"/>
              <w:spacing w:before="8" w:after="8" w:line="240" w:lineRule="auto"/>
              <w:ind w:firstLine="0" w:left="0" w:right="0"/>
              <w:jc w:val="left"/>
              <w:jc w:val="center"/>
            </w:pPr>
            <w:r>
              <w:rPr>
                <w:rFonts w:ascii="Calibri" w:hAnsi="Calibri"/>
                <w:sz w:val="15"/>
              </w:rPr>
              <w:t xml:space="preserve">Firm-years with Decoupling (</w:t>
            </w:r>
            <m:oMath>
              <m:r>
                <w:rPr>
                  <w:sz w:val="15"/>
                </w:rPr>
                <m:t>W</m:t>
              </m:r>
            </m:oMath>
            <w:r>
              <w:rPr>
                <w:rFonts w:ascii="Calibri" w:hAnsi="Calibri"/>
                <w:sz w:val="15"/>
              </w:rPr>
              <w:t xml:space="preserve">) (disclosing firms)</w:t>
            </w:r>
          </w:p>
        </w:tc>
        <w:tc>
          <w:tcPr/>
          <w:p>
            <w:pPr>
              <w:pStyle w:val="Compact"/>
              <w:spacing w:before="8" w:after="8" w:line="240" w:lineRule="auto"/>
              <w:ind w:firstLine="0" w:left="0" w:right="0"/>
              <w:jc w:val="left"/>
              <w:jc w:val="center"/>
            </w:pPr>
            <w:r>
              <w:rPr>
                <w:rFonts w:ascii="Calibri" w:hAnsi="Calibri"/>
                <w:sz w:val="15"/>
              </w:rPr>
              <w:t xml:space="preserve">170 (170)</w:t>
            </w:r>
          </w:p>
        </w:tc>
        <w:tc>
          <w:tcPr/>
          <w:p>
            <w:pPr>
              <w:pStyle w:val="Compact"/>
              <w:spacing w:before="8" w:after="8" w:line="240" w:lineRule="auto"/>
              <w:ind w:firstLine="0" w:left="0" w:right="0"/>
              <w:jc w:val="left"/>
              <w:jc w:val="center"/>
            </w:pPr>
            <w:r>
              <w:rPr>
                <w:rFonts w:ascii="Calibri" w:hAnsi="Calibri"/>
                <w:sz w:val="15"/>
              </w:rPr>
              <w:t xml:space="preserve">194 (194)</w:t>
            </w:r>
          </w:p>
        </w:tc>
        <w:tc>
          <w:tcPr/>
          <w:p>
            <w:pPr>
              <w:pStyle w:val="Compact"/>
              <w:spacing w:before="8" w:after="8" w:line="240" w:lineRule="auto"/>
              <w:ind w:firstLine="0" w:left="0" w:right="0"/>
              <w:jc w:val="left"/>
              <w:jc w:val="center"/>
            </w:pPr>
            <w:r>
              <w:rPr>
                <w:rFonts w:ascii="Calibri" w:hAnsi="Calibri"/>
                <w:sz w:val="15"/>
              </w:rPr>
              <w:t xml:space="preserve">241 (241)</w:t>
            </w:r>
          </w:p>
        </w:tc>
        <w:tc>
          <w:tcPr/>
          <w:p>
            <w:pPr>
              <w:pStyle w:val="Compact"/>
              <w:spacing w:before="8" w:after="8" w:line="240" w:lineRule="auto"/>
              <w:ind w:firstLine="0" w:left="0" w:right="0"/>
              <w:jc w:val="left"/>
              <w:jc w:val="center"/>
            </w:pPr>
            <w:r>
              <w:rPr>
                <w:rFonts w:ascii="Calibri" w:hAnsi="Calibri"/>
                <w:sz w:val="15"/>
              </w:rPr>
              <w:t xml:space="preserve">392 (392)</w:t>
            </w:r>
          </w:p>
        </w:tc>
        <w:tc>
          <w:tcPr/>
          <w:p>
            <w:pPr>
              <w:pStyle w:val="Compact"/>
              <w:spacing w:before="8" w:after="8" w:line="240" w:lineRule="auto"/>
              <w:ind w:firstLine="0" w:left="0" w:right="0"/>
              <w:jc w:val="left"/>
              <w:jc w:val="center"/>
            </w:pPr>
            <w:r>
              <w:rPr>
                <w:rFonts w:ascii="Calibri" w:hAnsi="Calibri"/>
                <w:sz w:val="15"/>
              </w:rPr>
              <w:t xml:space="preserve">443 (443)</w:t>
            </w:r>
          </w:p>
        </w:tc>
        <w:tc>
          <w:tcPr/>
          <w:p>
            <w:pPr>
              <w:pStyle w:val="Compact"/>
              <w:spacing w:before="8" w:after="8" w:line="240" w:lineRule="auto"/>
              <w:ind w:firstLine="0" w:left="0" w:right="0"/>
              <w:jc w:val="left"/>
              <w:jc w:val="center"/>
            </w:pPr>
            <w:r>
              <w:rPr>
                <w:rFonts w:ascii="Calibri" w:hAnsi="Calibri"/>
                <w:sz w:val="15"/>
              </w:rPr>
              <w:t xml:space="preserve">444 (444)</w:t>
            </w:r>
          </w:p>
        </w:tc>
      </w:tr>
      <w:tr>
        <w:trPr>
          <w:cantSplit/>
        </w:trPr>
        <w:tc>
          <w:tcPr/>
          <w:p>
            <w:pPr>
              <w:pStyle w:val="Compact"/>
              <w:spacing w:before="8" w:after="8" w:line="240" w:lineRule="auto"/>
              <w:ind w:firstLine="0" w:left="0" w:right="0"/>
              <w:jc w:val="left"/>
              <w:jc w:val="center"/>
            </w:pPr>
            <w:r>
              <w:rPr>
                <w:rFonts w:ascii="Calibri" w:hAnsi="Calibri"/>
                <w:sz w:val="15"/>
              </w:rPr>
              <w:t xml:space="preserve">Earnings-call events with post-call beta</w:t>
            </w:r>
          </w:p>
        </w:tc>
        <w:tc>
          <w:tcPr/>
          <w:p>
            <w:pPr>
              <w:pStyle w:val="Compact"/>
              <w:spacing w:before="8" w:after="8" w:line="240" w:lineRule="auto"/>
              <w:ind w:firstLine="0" w:left="0" w:right="0"/>
              <w:jc w:val="left"/>
              <w:jc w:val="center"/>
            </w:pPr>
            <w:r>
              <w:rPr>
                <w:rFonts w:ascii="Calibri" w:hAnsi="Calibri"/>
                <w:sz w:val="15"/>
              </w:rPr>
              <w:t xml:space="preserve">1,817 (480)</w:t>
            </w:r>
          </w:p>
        </w:tc>
        <w:tc>
          <w:tcPr/>
          <w:p>
            <w:pPr>
              <w:pStyle w:val="Compact"/>
              <w:spacing w:before="8" w:after="8" w:line="240" w:lineRule="auto"/>
              <w:ind w:firstLine="0" w:left="0" w:right="0"/>
              <w:jc w:val="left"/>
              <w:jc w:val="center"/>
            </w:pPr>
            <w:r>
              <w:rPr>
                <w:rFonts w:ascii="Calibri" w:hAnsi="Calibri"/>
                <w:sz w:val="15"/>
              </w:rPr>
              <w:t xml:space="preserve">1,877 (476)</w:t>
            </w:r>
          </w:p>
        </w:tc>
        <w:tc>
          <w:tcPr/>
          <w:p>
            <w:pPr>
              <w:pStyle w:val="Compact"/>
              <w:spacing w:before="8" w:after="8" w:line="240" w:lineRule="auto"/>
              <w:ind w:firstLine="0" w:left="0" w:right="0"/>
              <w:jc w:val="left"/>
              <w:jc w:val="center"/>
            </w:pPr>
            <w:r>
              <w:rPr>
                <w:rFonts w:ascii="Calibri" w:hAnsi="Calibri"/>
                <w:sz w:val="15"/>
              </w:rPr>
              <w:t xml:space="preserve">1,875 (472)</w:t>
            </w:r>
          </w:p>
        </w:tc>
        <w:tc>
          <w:tcPr/>
          <w:p>
            <w:pPr>
              <w:pStyle w:val="Compact"/>
              <w:spacing w:before="8" w:after="8" w:line="240" w:lineRule="auto"/>
              <w:ind w:firstLine="0" w:left="0" w:right="0"/>
              <w:jc w:val="left"/>
              <w:jc w:val="center"/>
            </w:pPr>
            <w:r>
              <w:rPr>
                <w:rFonts w:ascii="Calibri" w:hAnsi="Calibri"/>
                <w:sz w:val="15"/>
              </w:rPr>
              <w:t xml:space="preserve">1,855 (466)</w:t>
            </w:r>
          </w:p>
        </w:tc>
        <w:tc>
          <w:tcPr/>
          <w:p>
            <w:pPr>
              <w:pStyle w:val="Compact"/>
              <w:spacing w:before="8" w:after="8" w:line="240" w:lineRule="auto"/>
              <w:ind w:firstLine="0" w:left="0" w:right="0"/>
              <w:jc w:val="left"/>
              <w:jc w:val="center"/>
            </w:pPr>
            <w:r>
              <w:rPr>
                <w:rFonts w:ascii="Calibri" w:hAnsi="Calibri"/>
                <w:sz w:val="15"/>
              </w:rPr>
              <w:t xml:space="preserve">1,821 (461)</w:t>
            </w:r>
          </w:p>
        </w:tc>
        <w:tc>
          <w:tcPr/>
          <w:p>
            <w:pPr>
              <w:pStyle w:val="Compact"/>
              <w:spacing w:before="8" w:after="8" w:line="240" w:lineRule="auto"/>
              <w:ind w:firstLine="0" w:left="0" w:right="0"/>
              <w:jc w:val="left"/>
              <w:jc w:val="center"/>
            </w:pPr>
            <w:r>
              <w:rPr>
                <w:rFonts w:ascii="Calibri" w:hAnsi="Calibri"/>
                <w:sz w:val="15"/>
              </w:rPr>
              <w:t xml:space="preserve">771 (452)</w:t>
            </w:r>
          </w:p>
        </w:tc>
      </w:tr>
    </w:tbl>
    <w:bookmarkEnd w:id="174"/>
    <w:p>
      <w:pPr>
        <w:pStyle w:val="FigureNote"/>
        <w:ind w:firstLine="0" w:left="0" w:right="0"/>
        <w:spacing w:before="0" w:after="120"/>
      </w:pPr>
      <w:r>
        <w:rPr>
          <w:i/>
          <w:iCs/>
        </w:rPr>
        <w:t xml:space="preserve">Notes:</w:t>
      </w:r>
      <w:r>
        <w:t xml:space="preserve"> </w:t>
      </w:r>
      <w:r>
        <w:t xml:space="preserve">Frames are unique semantic frames per document (a frame shared by identical paragraphs in several documents counts once per document). Activities are counted once per firm × text × activity index and dated by the document that contains them. Post-call beta requires 63 trading days after the call, roughly one reporting quarter.</w:t>
      </w:r>
    </w:p>
    <w:bookmarkEnd w:id="175"/>
    <w:bookmarkStart w:id="178" w:name="appendix-a4"/>
    <w:p>
      <w:pPr>
        <w:pStyle w:val="Ttulo3"/>
      </w:pPr>
      <w:r>
        <w:t xml:space="preserve">A.4 Corpus preparation, deduplication, and prefiltering</w:t>
      </w:r>
    </w:p>
    <w:p>
      <w:pPr>
        <w:pStyle w:val="FirstParagraph"/>
      </w:pPr>
      <w:r>
        <w:t xml:space="preserve">Segmentation splits the ingested HTML and plain-text files into separate paragraph instances. Parsing drops XML tags, financial tables, ASCII graphics and exhibits that contain no prose. A text block longer than 3 characters and containing alphanumeric tokens is kept as a scorable instance.</w:t>
      </w:r>
    </w:p>
    <w:p>
      <w:pPr>
        <w:pStyle w:val="Textoindependiente"/>
      </w:pPr>
      <w:r>
        <w:rPr>
          <w:b/>
          <w:bCs/>
        </w:rPr>
        <w:t xml:space="preserve">Cryptographic deduplication.</w:t>
      </w:r>
      <w:r>
        <w:t xml:space="preserve"> </w:t>
      </w:r>
      <w:r>
        <w:t xml:space="preserve">In statutory reporting, legal boilerplate, risk-factor language and accounting notes repeat verbatim from one quarter to the next and across exhibits. So that a duplicated paragraph neither distorts the downstream measures nor is paid for twice in LLM inference, each scorable paragraph is hashed with a 64-bit BLAKE2b hash (</w:t>
      </w:r>
      <w:r>
        <w:rPr>
          <w:rStyle w:val="VerbatimChar"/>
        </w:rPr>
        <w:t xml:space="preserve">text_hash</w:t>
      </w:r>
      <w:r>
        <w:t xml:space="preserve">). The LLM extraction runs over unique hashes only, and the extracted frame and activity metadata are then mapped back to every document instance that shares the hash.</w:t>
      </w:r>
    </w:p>
    <w:p>
      <w:pPr>
        <w:pStyle w:val="Textoindependiente"/>
      </w:pPr>
      <w:r>
        <w:rPr>
          <w:b/>
          <w:bCs/>
        </w:rPr>
        <w:t xml:space="preserve">Supervised GBDT prefilter.</w:t>
      </w:r>
      <w:r>
        <w:t xml:space="preserve"> </w:t>
      </w:r>
      <w:r>
        <w:t xml:space="preserve">Before the language model sees anything, unique passages pass a supervised Gradient Boosted Decision Tree (GBDT) classifier</w:t>
      </w:r>
      <w:r>
        <w:t xml:space="preserve"> </w:t>
      </w:r>
      <w:r>
        <w:t xml:space="preserve">(</w:t>
      </w:r>
      <w:hyperlink w:anchor="ref-friedman2001">
        <w:r>
          <w:rPr>
            <w:rStyle w:val="Hipervnculo"/>
          </w:rPr>
          <w:t xml:space="preserve">Friedman 2001</w:t>
        </w:r>
      </w:hyperlink>
      <w:r>
        <w:t xml:space="preserve">)</w:t>
      </w:r>
      <w:r>
        <w:t xml:space="preserve"> </w:t>
      </w:r>
      <w:r>
        <w:t xml:space="preserve">that removes non-AI corporate text. The model scores 39 lexical, positional and syntactic features: dense semantic anchor similarities (from</w:t>
      </w:r>
      <w:r>
        <w:t xml:space="preserve"> </w:t>
      </w:r>
      <w:r>
        <w:rPr>
          <w:rStyle w:val="VerbatimChar"/>
        </w:rPr>
        <w:t xml:space="preserve">BAAI/bge-m3</w:t>
      </w:r>
      <w:r>
        <w:t xml:space="preserve">), exact keyword stems, named entity frequencies and document section tags. The threshold is deliberately low (</w:t>
      </w:r>
      <m:oMath>
        <m:r>
          <w:rPr>
            <w:sz w:val="22"/>
          </w:rPr>
          <m:t>τ</m:t>
        </m:r>
        <m:r>
          <m:rPr>
            <m:sty m:val="p"/>
          </m:rPr>
          <w:rPr>
            <w:sz w:val="22"/>
          </w:rPr>
          <m:t>=</m:t>
        </m:r>
        <m:r>
          <w:rPr>
            <w:sz w:val="22"/>
          </w:rPr>
          <m:t>0.17</m:t>
        </m:r>
      </m:oMath>
      <w:r>
        <w:t xml:space="preserve">), which gives more than 98% recall on held-out gold annotations (</w:t>
      </w:r>
      <w:hyperlink w:anchor="appendix-a9">
        <w:r>
          <w:rPr>
            <w:rStyle w:val="Hipervnculo"/>
          </w:rPr>
          <w:t xml:space="preserve">Appendix A.9</w:t>
        </w:r>
      </w:hyperlink>
      <w:r>
        <w:t xml:space="preserve">), so candidate AI disclosures survive while most of the non-technological narrative is dropped. A document with no candidate paragraph after this step enters the panels as a true zero, not as a missing record.</w:t>
      </w:r>
    </w:p>
    <w:bookmarkStart w:id="179" w:name="tbl-funnel-summary"/>
    <w:p>
      <w:pPr>
        <w:keepNext/>
        <w:pStyle w:val="ImageCaption"/>
        <w:jc w:val="left"/>
        <w:spacing w:before="200"/>
        <w:ind w:firstLine="0" w:left="0" w:right="0"/>
      </w:pPr>
      <w:r>
        <w:t xml:space="preserve">Table 27:</w:t>
      </w:r>
      <w:r>
        <w:t xml:space="preserve"> </w:t>
      </w:r>
      <w:r>
        <w:rPr>
          <w:rStyle w:val="CaptionText"/>
        </w:rPr>
        <w:t xml:space="preserve">Summary of the multi-stage corpus prefiltering and inference funnel.</w:t>
      </w:r>
    </w:p>
    <w:tbl>
      <w:tblPr>
        <w:tblStyle w:val="Table"/>
        <w:tblW w:type="auto" w:w="0"/>
        <w:jc w:val="center"/>
        <w:tblLook w:firstRow="1" w:lastRow="0" w:firstColumn="0" w:lastColumn="0" w:noHBand="0" w:noVBand="0" w:val="0020"/>
        <w:tblBorders>
          <w:top w:val="single" w:sz="8" w:space="0" w:color="0F172A"/>
          <w:bottom w:val="single" w:sz="8" w:space="0" w:color="0F172A"/>
          <w:left w:val="none"/>
          <w:right w:val="none"/>
          <w:insideH w:val="single" w:sz="4" w:space="0" w:color="E2E8F0"/>
          <w:insideV w:val="none"/>
        </w:tblBorders>
        <w:tblCellMar>
          <w:top w:w="22" w:type="dxa"/>
          <w:bottom w:w="22" w:type="dxa"/>
          <w:left w:w="40" w:type="dxa"/>
          <w:right w:w="40" w:type="dxa"/>
        </w:tblCellMar>
      </w:tblPr>
      <w:tblGrid>
        <w:gridCol w:w="1584"/>
        <w:gridCol w:w="1584"/>
        <w:gridCol w:w="1584"/>
        <w:gridCol w:w="1584"/>
        <w:gridCol w:w="1584"/>
      </w:tblGrid>
      <w:tr>
        <w:trPr>
          <w:tblHeader w:val="on"/>
          <w:cantSplit/>
          <w:tblHeader/>
        </w:trPr>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5"/>
              </w:rPr>
              <w:t xml:space="preserve">Stage</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5"/>
              </w:rPr>
              <w:t xml:space="preserve">Unit of Observation</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5"/>
              </w:rPr>
              <w:t xml:space="preserve">Operational Filter</w:t>
            </w:r>
          </w:p>
        </w:tc>
        <w:tc>
          <w:tcPr>
            <w:shd w:fill="F1F5F9"/>
            <w:tcBorders>
              <w:bottom w:val="single" w:sz="8" w:space="0" w:color="475569"/>
            </w:tcBorders>
          </w:tcPr>
          <w:p>
            <w:pPr>
              <w:pStyle w:val="Compact"/>
              <w:keepNext/>
              <w:spacing w:before="8" w:after="8" w:line="240" w:lineRule="auto"/>
              <w:ind w:firstLine="0" w:left="0" w:right="0"/>
              <w:jc w:val="right"/>
              <w:jc w:val="center"/>
            </w:pPr>
            <w:r>
              <w:rPr>
                <w:rFonts w:ascii="Calibri" w:hAnsi="Calibri"/>
                <w:b/>
                <w:color w:val="0F172A"/>
                <w:sz w:val="15"/>
              </w:rPr>
              <w:t xml:space="preserve">Retained Volume</w:t>
            </w:r>
          </w:p>
        </w:tc>
        <w:tc>
          <w:tcPr>
            <w:shd w:fill="F1F5F9"/>
            <w:tcBorders>
              <w:bottom w:val="single" w:sz="8" w:space="0" w:color="475569"/>
            </w:tcBorders>
          </w:tcPr>
          <w:p>
            <w:pPr>
              <w:pStyle w:val="Compact"/>
              <w:keepNext/>
              <w:spacing w:before="8" w:after="8" w:line="240" w:lineRule="auto"/>
              <w:ind w:firstLine="0" w:left="0" w:right="0"/>
              <w:jc w:val="right"/>
              <w:jc w:val="center"/>
            </w:pPr>
            <w:r>
              <w:rPr>
                <w:rFonts w:ascii="Calibri" w:hAnsi="Calibri"/>
                <w:b/>
                <w:color w:val="0F172A"/>
                <w:sz w:val="15"/>
              </w:rPr>
              <w:t xml:space="preserve">Share of Raw</w:t>
            </w:r>
          </w:p>
        </w:tc>
      </w:tr>
      <w:tr>
        <w:trPr>
          <w:cantSplit/>
        </w:trPr>
        <w:tc>
          <w:tcPr/>
          <w:p>
            <w:pPr>
              <w:pStyle w:val="Compact"/>
              <w:keepNext/>
              <w:spacing w:before="8" w:after="8" w:line="240" w:lineRule="auto"/>
              <w:ind w:firstLine="0" w:left="0" w:right="0"/>
              <w:jc w:val="left"/>
              <w:jc w:val="center"/>
            </w:pPr>
            <w:r>
              <w:rPr>
                <w:rFonts w:ascii="Calibri" w:hAnsi="Calibri"/>
                <w:sz w:val="15"/>
              </w:rPr>
              <w:t xml:space="preserve">1. Raw Corpus</w:t>
            </w:r>
          </w:p>
        </w:tc>
        <w:tc>
          <w:tcPr/>
          <w:p>
            <w:pPr>
              <w:pStyle w:val="Compact"/>
              <w:keepNext/>
              <w:spacing w:before="8" w:after="8" w:line="240" w:lineRule="auto"/>
              <w:ind w:firstLine="0" w:left="0" w:right="0"/>
              <w:jc w:val="left"/>
              <w:jc w:val="center"/>
            </w:pPr>
            <w:r>
              <w:rPr>
                <w:rFonts w:ascii="Calibri" w:hAnsi="Calibri"/>
                <w:sz w:val="15"/>
              </w:rPr>
              <w:t xml:space="preserve">Paragraph instances</w:t>
            </w:r>
          </w:p>
        </w:tc>
        <w:tc>
          <w:tcPr/>
          <w:p>
            <w:pPr>
              <w:pStyle w:val="Compact"/>
              <w:keepNext/>
              <w:spacing w:before="8" w:after="8" w:line="240" w:lineRule="auto"/>
              <w:ind w:firstLine="0" w:left="0" w:right="0"/>
              <w:jc w:val="left"/>
              <w:jc w:val="center"/>
            </w:pPr>
            <w:r>
              <w:rPr>
                <w:rFonts w:ascii="Calibri" w:hAnsi="Calibri"/>
                <w:sz w:val="15"/>
              </w:rPr>
              <w:t xml:space="preserve">Raw segmentation across 59,820 filings &amp; calls</w:t>
            </w:r>
          </w:p>
        </w:tc>
        <w:tc>
          <w:tcPr/>
          <w:p>
            <w:pPr>
              <w:pStyle w:val="Compact"/>
              <w:keepNext/>
              <w:spacing w:before="8" w:after="8" w:line="240" w:lineRule="auto"/>
              <w:ind w:firstLine="0" w:left="0" w:right="0"/>
              <w:jc w:val="right"/>
              <w:jc w:val="center"/>
            </w:pPr>
            <w:r>
              <w:rPr>
                <w:rFonts w:ascii="Calibri" w:hAnsi="Calibri"/>
                <w:sz w:val="15"/>
              </w:rPr>
              <w:t xml:space="preserve">9,714,405</w:t>
            </w:r>
          </w:p>
        </w:tc>
        <w:tc>
          <w:tcPr/>
          <w:p>
            <w:pPr>
              <w:pStyle w:val="Compact"/>
              <w:keepNext/>
              <w:spacing w:before="8" w:after="8" w:line="240" w:lineRule="auto"/>
              <w:ind w:firstLine="0" w:left="0" w:right="0"/>
              <w:jc w:val="right"/>
              <w:jc w:val="center"/>
            </w:pPr>
            <w:r>
              <w:rPr>
                <w:rFonts w:ascii="Calibri" w:hAnsi="Calibri"/>
                <w:sz w:val="15"/>
              </w:rPr>
              <w:t xml:space="preserve">100.00%</w:t>
            </w:r>
          </w:p>
        </w:tc>
      </w:tr>
      <w:tr>
        <w:trPr>
          <w:cantSplit/>
        </w:trPr>
        <w:tc>
          <w:tcPr/>
          <w:p>
            <w:pPr>
              <w:pStyle w:val="Compact"/>
              <w:keepNext/>
              <w:spacing w:before="8" w:after="8" w:line="240" w:lineRule="auto"/>
              <w:ind w:firstLine="0" w:left="0" w:right="0"/>
              <w:jc w:val="left"/>
              <w:jc w:val="center"/>
            </w:pPr>
            <w:r>
              <w:rPr>
                <w:rFonts w:ascii="Calibri" w:hAnsi="Calibri"/>
                <w:sz w:val="15"/>
              </w:rPr>
              <w:t xml:space="preserve">2. Scorable Filter</w:t>
            </w:r>
          </w:p>
        </w:tc>
        <w:tc>
          <w:tcPr/>
          <w:p>
            <w:pPr>
              <w:pStyle w:val="Compact"/>
              <w:keepNext/>
              <w:spacing w:before="8" w:after="8" w:line="240" w:lineRule="auto"/>
              <w:ind w:firstLine="0" w:left="0" w:right="0"/>
              <w:jc w:val="left"/>
              <w:jc w:val="center"/>
            </w:pPr>
            <w:r>
              <w:rPr>
                <w:rFonts w:ascii="Calibri" w:hAnsi="Calibri"/>
                <w:sz w:val="15"/>
              </w:rPr>
              <w:t xml:space="preserve">Scorable instances</w:t>
            </w:r>
          </w:p>
        </w:tc>
        <w:tc>
          <w:tcPr/>
          <w:p>
            <w:pPr>
              <w:pStyle w:val="Compact"/>
              <w:keepNext/>
              <w:spacing w:before="8" w:after="8" w:line="240" w:lineRule="auto"/>
              <w:ind w:firstLine="0" w:left="0" w:right="0"/>
              <w:jc w:val="left"/>
              <w:jc w:val="center"/>
            </w:pPr>
            <w:r>
              <w:rPr>
                <w:rFonts w:ascii="Calibri" w:hAnsi="Calibri"/>
                <w:sz w:val="15"/>
              </w:rPr>
              <w:t xml:space="preserve">Length (&gt;3 chars) &amp; alphanumeric content</w:t>
            </w:r>
          </w:p>
        </w:tc>
        <w:tc>
          <w:tcPr/>
          <w:p>
            <w:pPr>
              <w:pStyle w:val="Compact"/>
              <w:keepNext/>
              <w:spacing w:before="8" w:after="8" w:line="240" w:lineRule="auto"/>
              <w:ind w:firstLine="0" w:left="0" w:right="0"/>
              <w:jc w:val="right"/>
              <w:jc w:val="center"/>
            </w:pPr>
            <w:r>
              <w:rPr>
                <w:rFonts w:ascii="Calibri" w:hAnsi="Calibri"/>
                <w:sz w:val="15"/>
              </w:rPr>
              <w:t xml:space="preserve">8,891,944</w:t>
            </w:r>
          </w:p>
        </w:tc>
        <w:tc>
          <w:tcPr/>
          <w:p>
            <w:pPr>
              <w:pStyle w:val="Compact"/>
              <w:keepNext/>
              <w:spacing w:before="8" w:after="8" w:line="240" w:lineRule="auto"/>
              <w:ind w:firstLine="0" w:left="0" w:right="0"/>
              <w:jc w:val="right"/>
              <w:jc w:val="center"/>
            </w:pPr>
            <w:r>
              <w:rPr>
                <w:rFonts w:ascii="Calibri" w:hAnsi="Calibri"/>
                <w:sz w:val="15"/>
              </w:rPr>
              <w:t xml:space="preserve">91.53%</w:t>
            </w:r>
          </w:p>
        </w:tc>
      </w:tr>
      <w:tr>
        <w:trPr>
          <w:cantSplit/>
        </w:trPr>
        <w:tc>
          <w:tcPr/>
          <w:p>
            <w:pPr>
              <w:pStyle w:val="Compact"/>
              <w:keepNext/>
              <w:spacing w:before="8" w:after="8" w:line="240" w:lineRule="auto"/>
              <w:ind w:firstLine="0" w:left="0" w:right="0"/>
              <w:jc w:val="left"/>
              <w:jc w:val="center"/>
            </w:pPr>
            <w:r>
              <w:rPr>
                <w:rFonts w:ascii="Calibri" w:hAnsi="Calibri"/>
                <w:sz w:val="15"/>
              </w:rPr>
              <w:t xml:space="preserve">3. Deduplication</w:t>
            </w:r>
          </w:p>
        </w:tc>
        <w:tc>
          <w:tcPr/>
          <w:p>
            <w:pPr>
              <w:pStyle w:val="Compact"/>
              <w:keepNext/>
              <w:spacing w:before="8" w:after="8" w:line="240" w:lineRule="auto"/>
              <w:ind w:firstLine="0" w:left="0" w:right="0"/>
              <w:jc w:val="left"/>
              <w:jc w:val="center"/>
            </w:pPr>
            <w:r>
              <w:rPr>
                <w:rFonts w:ascii="Calibri" w:hAnsi="Calibri"/>
                <w:sz w:val="15"/>
              </w:rPr>
              <w:t xml:space="preserve">Unique scorable texts</w:t>
            </w:r>
          </w:p>
        </w:tc>
        <w:tc>
          <w:tcPr/>
          <w:p>
            <w:pPr>
              <w:pStyle w:val="Compact"/>
              <w:keepNext/>
              <w:spacing w:before="8" w:after="8" w:line="240" w:lineRule="auto"/>
              <w:ind w:firstLine="0" w:left="0" w:right="0"/>
              <w:jc w:val="left"/>
              <w:jc w:val="center"/>
            </w:pPr>
            <w:r>
              <w:rPr>
                <w:rFonts w:ascii="Calibri" w:hAnsi="Calibri"/>
                <w:sz w:val="15"/>
              </w:rPr>
              <w:t xml:space="preserve">BLAKE2b content hash</w:t>
            </w:r>
          </w:p>
        </w:tc>
        <w:tc>
          <w:tcPr/>
          <w:p>
            <w:pPr>
              <w:pStyle w:val="Compact"/>
              <w:keepNext/>
              <w:spacing w:before="8" w:after="8" w:line="240" w:lineRule="auto"/>
              <w:ind w:firstLine="0" w:left="0" w:right="0"/>
              <w:jc w:val="right"/>
              <w:jc w:val="center"/>
            </w:pPr>
            <w:r>
              <w:rPr>
                <w:rFonts w:ascii="Calibri" w:hAnsi="Calibri"/>
                <w:sz w:val="15"/>
              </w:rPr>
              <w:t xml:space="preserve">5,122,492</w:t>
            </w:r>
          </w:p>
        </w:tc>
        <w:tc>
          <w:tcPr/>
          <w:p>
            <w:pPr>
              <w:pStyle w:val="Compact"/>
              <w:keepNext/>
              <w:spacing w:before="8" w:after="8" w:line="240" w:lineRule="auto"/>
              <w:ind w:firstLine="0" w:left="0" w:right="0"/>
              <w:jc w:val="right"/>
              <w:jc w:val="center"/>
            </w:pPr>
            <w:r>
              <w:rPr>
                <w:rFonts w:ascii="Calibri" w:hAnsi="Calibri"/>
                <w:sz w:val="15"/>
              </w:rPr>
              <w:t xml:space="preserve">52.73%</w:t>
            </w:r>
          </w:p>
        </w:tc>
      </w:tr>
      <w:tr>
        <w:trPr>
          <w:cantSplit/>
        </w:trPr>
        <w:tc>
          <w:tcPr/>
          <w:p>
            <w:pPr>
              <w:pStyle w:val="Compact"/>
              <w:keepNext/>
              <w:spacing w:before="8" w:after="8" w:line="240" w:lineRule="auto"/>
              <w:ind w:firstLine="0" w:left="0" w:right="0"/>
              <w:jc w:val="left"/>
              <w:jc w:val="center"/>
            </w:pPr>
            <w:r>
              <w:rPr>
                <w:rFonts w:ascii="Calibri" w:hAnsi="Calibri"/>
                <w:sz w:val="15"/>
              </w:rPr>
              <w:t xml:space="preserve">4. Machine Learning Gate</w:t>
            </w:r>
          </w:p>
        </w:tc>
        <w:tc>
          <w:tcPr/>
          <w:p>
            <w:pPr>
              <w:pStyle w:val="Compact"/>
              <w:keepNext/>
              <w:spacing w:before="8" w:after="8" w:line="240" w:lineRule="auto"/>
              <w:ind w:firstLine="0" w:left="0" w:right="0"/>
              <w:jc w:val="left"/>
              <w:jc w:val="center"/>
            </w:pPr>
            <w:r>
              <w:rPr>
                <w:rFonts w:ascii="Calibri" w:hAnsi="Calibri"/>
                <w:sz w:val="15"/>
              </w:rPr>
              <w:t xml:space="preserve">Candidate unique texts</w:t>
            </w:r>
          </w:p>
        </w:tc>
        <w:tc>
          <w:tcPr/>
          <w:p>
            <w:pPr>
              <w:pStyle w:val="Compact"/>
              <w:keepNext/>
              <w:spacing w:before="8" w:after="8" w:line="240" w:lineRule="auto"/>
              <w:ind w:firstLine="0" w:left="0" w:right="0"/>
              <w:jc w:val="left"/>
              <w:jc w:val="center"/>
            </w:pPr>
            <w:r>
              <w:rPr>
                <w:rFonts w:ascii="Calibri" w:hAnsi="Calibri"/>
                <w:sz w:val="15"/>
              </w:rPr>
              <w:t xml:space="preserve">Supervised GBDT (tau=0.17, 39 signals)</w:t>
            </w:r>
          </w:p>
        </w:tc>
        <w:tc>
          <w:tcPr/>
          <w:p>
            <w:pPr>
              <w:pStyle w:val="Compact"/>
              <w:keepNext/>
              <w:spacing w:before="8" w:after="8" w:line="240" w:lineRule="auto"/>
              <w:ind w:firstLine="0" w:left="0" w:right="0"/>
              <w:jc w:val="right"/>
              <w:jc w:val="center"/>
            </w:pPr>
            <w:r>
              <w:rPr>
                <w:rFonts w:ascii="Calibri" w:hAnsi="Calibri"/>
                <w:sz w:val="15"/>
              </w:rPr>
              <w:t xml:space="preserve">38,440</w:t>
            </w:r>
          </w:p>
        </w:tc>
        <w:tc>
          <w:tcPr/>
          <w:p>
            <w:pPr>
              <w:pStyle w:val="Compact"/>
              <w:keepNext/>
              <w:spacing w:before="8" w:after="8" w:line="240" w:lineRule="auto"/>
              <w:ind w:firstLine="0" w:left="0" w:right="0"/>
              <w:jc w:val="right"/>
              <w:jc w:val="center"/>
            </w:pPr>
            <w:r>
              <w:rPr>
                <w:rFonts w:ascii="Calibri" w:hAnsi="Calibri"/>
                <w:sz w:val="15"/>
              </w:rPr>
              <w:t xml:space="preserve">0.40%</w:t>
            </w:r>
          </w:p>
        </w:tc>
      </w:tr>
      <w:tr>
        <w:trPr>
          <w:cantSplit/>
        </w:trPr>
        <w:tc>
          <w:tcPr/>
          <w:p>
            <w:pPr>
              <w:pStyle w:val="Compact"/>
              <w:keepNext/>
              <w:spacing w:before="8" w:after="8" w:line="240" w:lineRule="auto"/>
              <w:ind w:firstLine="0" w:left="0" w:right="0"/>
              <w:jc w:val="left"/>
              <w:jc w:val="center"/>
            </w:pPr>
            <w:r>
              <w:rPr>
                <w:rFonts w:ascii="Calibri" w:hAnsi="Calibri"/>
                <w:sz w:val="15"/>
              </w:rPr>
              <w:t xml:space="preserve">5. Semantic Frames</w:t>
            </w:r>
          </w:p>
        </w:tc>
        <w:tc>
          <w:tcPr/>
          <w:p>
            <w:pPr>
              <w:pStyle w:val="Compact"/>
              <w:keepNext/>
              <w:spacing w:before="8" w:after="8" w:line="240" w:lineRule="auto"/>
              <w:ind w:firstLine="0" w:left="0" w:right="0"/>
              <w:jc w:val="left"/>
              <w:jc w:val="center"/>
            </w:pPr>
            <w:r>
              <w:rPr>
                <w:rFonts w:ascii="Calibri" w:hAnsi="Calibri"/>
                <w:sz w:val="15"/>
              </w:rPr>
              <w:t xml:space="preserve">Texts with &gt;=1 frame</w:t>
            </w:r>
          </w:p>
        </w:tc>
        <w:tc>
          <w:tcPr/>
          <w:p>
            <w:pPr>
              <w:pStyle w:val="Compact"/>
              <w:keepNext/>
              <w:spacing w:before="8" w:after="8" w:line="240" w:lineRule="auto"/>
              <w:ind w:firstLine="0" w:left="0" w:right="0"/>
              <w:jc w:val="left"/>
              <w:jc w:val="center"/>
            </w:pPr>
            <w:r>
              <w:rPr>
                <w:rFonts w:ascii="Calibri" w:hAnsi="Calibri"/>
                <w:sz w:val="15"/>
              </w:rPr>
              <w:t xml:space="preserve">Zero-shot LLM extractor (yields 70,169 claims)</w:t>
            </w:r>
          </w:p>
        </w:tc>
        <w:tc>
          <w:tcPr/>
          <w:p>
            <w:pPr>
              <w:pStyle w:val="Compact"/>
              <w:keepNext/>
              <w:spacing w:before="8" w:after="8" w:line="240" w:lineRule="auto"/>
              <w:ind w:firstLine="0" w:left="0" w:right="0"/>
              <w:jc w:val="right"/>
              <w:jc w:val="center"/>
            </w:pPr>
            <w:r>
              <w:rPr>
                <w:rFonts w:ascii="Calibri" w:hAnsi="Calibri"/>
                <w:sz w:val="15"/>
              </w:rPr>
              <w:t xml:space="preserve">31,550</w:t>
            </w:r>
          </w:p>
        </w:tc>
        <w:tc>
          <w:tcPr/>
          <w:p>
            <w:pPr>
              <w:pStyle w:val="Compact"/>
              <w:keepNext/>
              <w:spacing w:before="8" w:after="8" w:line="240" w:lineRule="auto"/>
              <w:ind w:firstLine="0" w:left="0" w:right="0"/>
              <w:jc w:val="right"/>
              <w:jc w:val="center"/>
            </w:pPr>
            <w:r>
              <w:rPr>
                <w:rFonts w:ascii="Calibri" w:hAnsi="Calibri"/>
                <w:sz w:val="15"/>
              </w:rPr>
              <w:t xml:space="preserve">0.32%</w:t>
            </w:r>
          </w:p>
        </w:tc>
      </w:tr>
      <w:tr>
        <w:trPr>
          <w:cantSplit/>
        </w:trPr>
        <w:tc>
          <w:tcPr/>
          <w:p>
            <w:pPr>
              <w:pStyle w:val="Compact"/>
              <w:spacing w:before="8" w:after="8" w:line="240" w:lineRule="auto"/>
              <w:ind w:firstLine="0" w:left="0" w:right="0"/>
              <w:jc w:val="left"/>
              <w:jc w:val="center"/>
            </w:pPr>
            <w:r>
              <w:rPr>
                <w:rFonts w:ascii="Calibri" w:hAnsi="Calibri"/>
                <w:sz w:val="15"/>
              </w:rPr>
              <w:t xml:space="preserve">6. Disclosed AI Activities</w:t>
            </w:r>
          </w:p>
        </w:tc>
        <w:tc>
          <w:tcPr/>
          <w:p>
            <w:pPr>
              <w:pStyle w:val="Compact"/>
              <w:spacing w:before="8" w:after="8" w:line="240" w:lineRule="auto"/>
              <w:ind w:firstLine="0" w:left="0" w:right="0"/>
              <w:jc w:val="left"/>
              <w:jc w:val="center"/>
            </w:pPr>
            <w:r>
              <w:rPr>
                <w:rFonts w:ascii="Calibri" w:hAnsi="Calibri"/>
                <w:sz w:val="15"/>
              </w:rPr>
              <w:t xml:space="preserve">Texts with firm action</w:t>
            </w:r>
          </w:p>
        </w:tc>
        <w:tc>
          <w:tcPr/>
          <w:p>
            <w:pPr>
              <w:pStyle w:val="Compact"/>
              <w:spacing w:before="8" w:after="8" w:line="240" w:lineRule="auto"/>
              <w:ind w:firstLine="0" w:left="0" w:right="0"/>
              <w:jc w:val="left"/>
              <w:jc w:val="center"/>
            </w:pPr>
            <w:r>
              <w:rPr>
                <w:rFonts w:ascii="Calibri" w:hAnsi="Calibri"/>
                <w:sz w:val="15"/>
              </w:rPr>
              <w:t xml:space="preserve">Firm-conditioned LLM (yields 46,855 activities)</w:t>
            </w:r>
          </w:p>
        </w:tc>
        <w:tc>
          <w:tcPr/>
          <w:p>
            <w:pPr>
              <w:pStyle w:val="Compact"/>
              <w:spacing w:before="8" w:after="8" w:line="240" w:lineRule="auto"/>
              <w:ind w:firstLine="0" w:left="0" w:right="0"/>
              <w:jc w:val="right"/>
              <w:jc w:val="center"/>
            </w:pPr>
            <w:r>
              <w:rPr>
                <w:rFonts w:ascii="Calibri" w:hAnsi="Calibri"/>
                <w:sz w:val="15"/>
              </w:rPr>
              <w:t xml:space="preserve">28,229</w:t>
            </w:r>
          </w:p>
        </w:tc>
        <w:tc>
          <w:tcPr/>
          <w:p>
            <w:pPr>
              <w:pStyle w:val="Compact"/>
              <w:spacing w:before="8" w:after="8" w:line="240" w:lineRule="auto"/>
              <w:ind w:firstLine="0" w:left="0" w:right="0"/>
              <w:jc w:val="right"/>
              <w:jc w:val="center"/>
            </w:pPr>
            <w:r>
              <w:rPr>
                <w:rFonts w:ascii="Calibri" w:hAnsi="Calibri"/>
                <w:sz w:val="15"/>
              </w:rPr>
              <w:t xml:space="preserve">0.29%</w:t>
            </w:r>
          </w:p>
        </w:tc>
      </w:tr>
    </w:tbl>
    <w:bookmarkEnd w:id="176"/>
    <w:p>
      <w:pPr>
        <w:pStyle w:val="FigureNote"/>
        <w:ind w:firstLine="0" w:left="0" w:right="0"/>
        <w:spacing w:before="0" w:after="120"/>
      </w:pPr>
      <w:r>
        <w:rPr>
          <w:i/>
          <w:iCs/>
        </w:rPr>
        <w:t xml:space="preserve">Notes:</w:t>
      </w:r>
      <w:r>
        <w:t xml:space="preserve"> </w:t>
      </w:r>
      <w:r>
        <w:t xml:space="preserve">Multi-stage inference funnel identifying corporate AI disclosures across 59,820 filings and calls. Stages 1-2 track raw and scorable paragraph instances; stages 3-6 track unique text passages through deduplication, GBDT prefiltering and zero-shot LLM evaluation.</w:t>
      </w:r>
    </w:p>
    <w:bookmarkEnd w:id="177"/>
    <w:bookmarkStart w:id="180" w:name="appendix-a5"/>
    <w:p>
      <w:pPr>
        <w:pStyle w:val="Ttulo3"/>
      </w:pPr>
      <w:r>
        <w:t xml:space="preserve">A.5 Structured extraction and schema taxonomies</w:t>
      </w:r>
    </w:p>
    <w:p>
      <w:pPr>
        <w:pStyle w:val="FirstParagraph"/>
      </w:pPr>
      <w:r>
        <w:rPr>
          <w:b/>
          <w:bCs/>
        </w:rPr>
        <w:t xml:space="preserve">Extraction model selection.</w:t>
      </w:r>
      <w:r>
        <w:t xml:space="preserve"> </w:t>
      </w:r>
      <w:r>
        <w:t xml:space="preserve">The production extraction model,</w:t>
      </w:r>
      <w:r>
        <w:t xml:space="preserve"> </w:t>
      </w:r>
      <w:r>
        <w:rPr>
          <w:rStyle w:val="VerbatimChar"/>
        </w:rPr>
        <w:t xml:space="preserve">openai/gpt-5.6-luna</w:t>
      </w:r>
      <w:r>
        <w:t xml:space="preserve"> </w:t>
      </w:r>
      <w:r>
        <w:t xml:space="preserve">(hosted on Amazon Bedrock in</w:t>
      </w:r>
      <w:r>
        <w:t xml:space="preserve"> </w:t>
      </w:r>
      <w:r>
        <w:rPr>
          <w:rStyle w:val="VerbatimChar"/>
        </w:rPr>
        <w:t xml:space="preserve">us-east-1</w:t>
      </w:r>
      <w:r>
        <w:t xml:space="preserve">, operating with zero reasoning effort), was chosen after an adversarial benchmark of seven candidate models on real 10-K disclosure excerpts (</w:t>
      </w:r>
      <w:hyperlink w:anchor="tbl-a0-judge-selection">
        <w:r>
          <w:rPr>
            <w:rStyle w:val="Hipervnculo"/>
          </w:rPr>
          <w:t xml:space="preserve">Table 28</w:t>
        </w:r>
      </w:hyperlink>
      <w:r>
        <w:t xml:space="preserve">). The comparison looked at internal field consistency, call latency, output fragmentation and the cost of processing the whole corpus.</w:t>
      </w:r>
      <w:r>
        <w:t xml:space="preserve"> </w:t>
      </w:r>
      <w:r>
        <w:rPr>
          <w:rStyle w:val="VerbatimChar"/>
        </w:rPr>
        <w:t xml:space="preserve">gpt-5.6-luna</w:t>
      </w:r>
      <w:r>
        <w:t xml:space="preserve"> </w:t>
      </w:r>
      <w:r>
        <w:t xml:space="preserve">produced no logical contradictions between fields, ran at a predictable speed of about 3 seconds per paragraph, and was competitive on cost.</w:t>
      </w:r>
    </w:p>
    <w:bookmarkStart w:id="181" w:name="tbl-a0-judge-selection"/>
    <w:p>
      <w:pPr>
        <w:keepNext/>
        <w:pStyle w:val="ImageCaption"/>
        <w:jc w:val="left"/>
        <w:spacing w:before="200"/>
        <w:ind w:firstLine="0" w:left="0" w:right="0"/>
      </w:pPr>
      <w:r>
        <w:t xml:space="preserve">Table 28:</w:t>
      </w:r>
      <w:r>
        <w:t xml:space="preserve"> </w:t>
      </w:r>
      <w:r>
        <w:rPr>
          <w:rStyle w:val="CaptionText"/>
        </w:rPr>
        <w:t xml:space="preserve">Judge model, provider, and reasoning-effort comparison on challenging benchmark paragraphs, with estimated full-corpus classification costs.</w:t>
      </w:r>
    </w:p>
    <w:tbl>
      <w:tblPr>
        <w:tblStyle w:val="Table"/>
        <w:tblW w:type="auto" w:w="0"/>
        <w:jc w:val="center"/>
        <w:tblLook w:firstRow="1" w:lastRow="0" w:firstColumn="0" w:lastColumn="0" w:noHBand="0" w:noVBand="0" w:val="0020"/>
        <w:tblBorders>
          <w:top w:val="single" w:sz="8" w:space="0" w:color="0F172A"/>
          <w:bottom w:val="single" w:sz="8" w:space="0" w:color="0F172A"/>
          <w:left w:val="none"/>
          <w:right w:val="none"/>
          <w:insideH w:val="single" w:sz="4" w:space="0" w:color="E2E8F0"/>
          <w:insideV w:val="none"/>
        </w:tblBorders>
        <w:tblCellMar>
          <w:top w:w="22" w:type="dxa"/>
          <w:bottom w:w="22" w:type="dxa"/>
          <w:left w:w="40" w:type="dxa"/>
          <w:right w:w="40" w:type="dxa"/>
        </w:tblCellMar>
      </w:tblPr>
      <w:tblGrid>
        <w:gridCol w:w="1131"/>
        <w:gridCol w:w="1131"/>
        <w:gridCol w:w="1131"/>
        <w:gridCol w:w="1131"/>
        <w:gridCol w:w="1131"/>
        <w:gridCol w:w="1131"/>
        <w:gridCol w:w="1131"/>
      </w:tblGrid>
      <w:tr>
        <w:trPr>
          <w:tblHeader w:val="on"/>
          <w:cantSplit/>
          <w:tblHeader/>
        </w:trPr>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5"/>
              </w:rPr>
              <w:t xml:space="preserve">Model</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5"/>
              </w:rPr>
              <w:t xml:space="preserve">Provider</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5"/>
              </w:rPr>
              <w:t xml:space="preserve">Reasoning</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5"/>
              </w:rPr>
              <w:t xml:space="preserve">Latency/call</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5"/>
              </w:rPr>
              <w:t xml:space="preserve">Inconsistency</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5"/>
              </w:rPr>
              <w:t xml:space="preserve">Recall / stability note</w:t>
            </w:r>
          </w:p>
        </w:tc>
        <w:tc>
          <w:tcPr>
            <w:shd w:fill="F1F5F9"/>
            <w:tcBorders>
              <w:bottom w:val="single" w:sz="8" w:space="0" w:color="475569"/>
            </w:tcBorders>
          </w:tcPr>
          <w:p>
            <w:pPr>
              <w:pStyle w:val="Compact"/>
              <w:keepNext/>
              <w:spacing w:before="8" w:after="8" w:line="240" w:lineRule="auto"/>
              <w:ind w:firstLine="0" w:left="0" w:right="0"/>
              <w:jc w:val="right"/>
              <w:jc w:val="center"/>
            </w:pPr>
            <w:r>
              <w:rPr>
                <w:rFonts w:ascii="Calibri" w:hAnsi="Calibri"/>
                <w:b/>
                <w:color w:val="0F172A"/>
                <w:sz w:val="15"/>
              </w:rPr>
              <w:t xml:space="preserve">Est. cost (42,359 pars)</w:t>
            </w:r>
          </w:p>
        </w:tc>
      </w:tr>
      <w:tr>
        <w:trPr>
          <w:cantSplit/>
        </w:trPr>
        <w:tc>
          <w:tcPr/>
          <w:p>
            <w:pPr>
              <w:pStyle w:val="Compact"/>
              <w:keepNext/>
              <w:spacing w:before="8" w:after="8" w:line="240" w:lineRule="auto"/>
              <w:ind w:firstLine="0" w:left="0" w:right="0"/>
              <w:jc w:val="left"/>
              <w:jc w:val="center"/>
            </w:pPr>
            <w:r>
              <w:rPr>
                <w:rStyle w:val="VerbatimChar"/>
                <w:rFonts w:ascii="Calibri" w:hAnsi="Calibri"/>
                <w:sz w:val="15"/>
              </w:rPr>
              <w:t xml:space="preserve">google/gemini-3.8-flash</w:t>
            </w:r>
          </w:p>
        </w:tc>
        <w:tc>
          <w:tcPr/>
          <w:p>
            <w:pPr>
              <w:pStyle w:val="Compact"/>
              <w:keepNext/>
              <w:spacing w:before="8" w:after="8" w:line="240" w:lineRule="auto"/>
              <w:ind w:firstLine="0" w:left="0" w:right="0"/>
              <w:jc w:val="left"/>
              <w:jc w:val="center"/>
            </w:pPr>
            <w:r>
              <w:rPr>
                <w:rFonts w:ascii="Calibri" w:hAnsi="Calibri"/>
                <w:sz w:val="15"/>
              </w:rPr>
              <w:t xml:space="preserve">(default)</w:t>
            </w:r>
          </w:p>
        </w:tc>
        <w:tc>
          <w:tcPr/>
          <w:p>
            <w:pPr>
              <w:pStyle w:val="Compact"/>
              <w:keepNext/>
              <w:spacing w:before="8" w:after="8" w:line="240" w:lineRule="auto"/>
              <w:ind w:firstLine="0" w:left="0" w:right="0"/>
              <w:jc w:val="left"/>
              <w:jc w:val="center"/>
            </w:pPr>
            <w:r>
              <w:rPr>
                <w:rFonts w:ascii="Calibri" w:hAnsi="Calibri"/>
                <w:sz w:val="15"/>
              </w:rPr>
              <w:t xml:space="preserve">(default)</w:t>
            </w:r>
          </w:p>
        </w:tc>
        <w:tc>
          <w:tcPr/>
          <w:p>
            <w:pPr>
              <w:pStyle w:val="Compact"/>
              <w:keepNext/>
              <w:spacing w:before="8" w:after="8" w:line="240" w:lineRule="auto"/>
              <w:ind w:firstLine="0" w:left="0" w:right="0"/>
              <w:jc w:val="left"/>
              <w:jc w:val="center"/>
            </w:pPr>
            <w:r>
              <w:rPr>
                <w:rFonts w:ascii="Calibri" w:hAnsi="Calibri"/>
                <w:sz w:val="15"/>
              </w:rPr>
              <w:t xml:space="preserve">~22s</w:t>
            </w:r>
          </w:p>
        </w:tc>
        <w:tc>
          <w:tcPr/>
          <w:p>
            <w:pPr>
              <w:pStyle w:val="Compact"/>
              <w:keepNext/>
              <w:spacing w:before="8" w:after="8" w:line="240" w:lineRule="auto"/>
              <w:ind w:firstLine="0" w:left="0" w:right="0"/>
              <w:jc w:val="left"/>
              <w:jc w:val="center"/>
            </w:pPr>
            <w:r>
              <w:rPr>
                <w:rFonts w:ascii="Calibri" w:hAnsi="Calibri"/>
                <w:sz w:val="15"/>
              </w:rPr>
              <w:t xml:space="preserve">–</w:t>
            </w:r>
          </w:p>
        </w:tc>
        <w:tc>
          <w:tcPr/>
          <w:p>
            <w:pPr>
              <w:pStyle w:val="Compact"/>
              <w:keepNext/>
              <w:spacing w:before="8" w:after="8" w:line="240" w:lineRule="auto"/>
              <w:ind w:firstLine="0" w:left="0" w:right="0"/>
              <w:jc w:val="left"/>
              <w:jc w:val="center"/>
            </w:pPr>
            <w:r>
              <w:rPr>
                <w:rFonts w:ascii="Calibri" w:hAnsi="Calibri"/>
                <w:sz w:val="15"/>
              </w:rPr>
              <w:t xml:space="preserve">runaway output (up to 7,473 tok/call, unbounded reasoning)</w:t>
            </w:r>
          </w:p>
        </w:tc>
        <w:tc>
          <w:tcPr/>
          <w:p>
            <w:pPr>
              <w:pStyle w:val="Compact"/>
              <w:keepNext/>
              <w:spacing w:before="8" w:after="8" w:line="240" w:lineRule="auto"/>
              <w:ind w:firstLine="0" w:left="0" w:right="0"/>
              <w:jc w:val="left"/>
              <w:jc w:val="center"/>
            </w:pPr>
            <w:r>
              <w:rPr>
                <w:rFonts w:ascii="Calibri" w:hAnsi="Calibri"/>
                <w:sz w:val="15"/>
              </w:rPr>
              <w:t xml:space="preserve">n/a</w:t>
            </w:r>
          </w:p>
        </w:tc>
      </w:tr>
      <w:tr>
        <w:trPr>
          <w:cantSplit/>
        </w:trPr>
        <w:tc>
          <w:tcPr/>
          <w:p>
            <w:pPr>
              <w:pStyle w:val="Compact"/>
              <w:keepNext/>
              <w:spacing w:before="8" w:after="8" w:line="240" w:lineRule="auto"/>
              <w:ind w:firstLine="0" w:left="0" w:right="0"/>
              <w:jc w:val="left"/>
              <w:jc w:val="center"/>
            </w:pPr>
            <w:r>
              <w:rPr>
                <w:rStyle w:val="VerbatimChar"/>
                <w:rFonts w:ascii="Calibri" w:hAnsi="Calibri"/>
                <w:sz w:val="15"/>
              </w:rPr>
              <w:t xml:space="preserve">qwen/qwen3.8-flash</w:t>
            </w:r>
          </w:p>
        </w:tc>
        <w:tc>
          <w:tcPr/>
          <w:p>
            <w:pPr>
              <w:pStyle w:val="Compact"/>
              <w:keepNext/>
              <w:spacing w:before="8" w:after="8" w:line="240" w:lineRule="auto"/>
              <w:ind w:firstLine="0" w:left="0" w:right="0"/>
              <w:jc w:val="left"/>
              <w:jc w:val="center"/>
            </w:pPr>
            <w:r>
              <w:rPr>
                <w:rFonts w:ascii="Calibri" w:hAnsi="Calibri"/>
                <w:sz w:val="15"/>
              </w:rPr>
              <w:t xml:space="preserve">makora</w:t>
            </w:r>
          </w:p>
        </w:tc>
        <w:tc>
          <w:tcPr/>
          <w:p>
            <w:pPr>
              <w:pStyle w:val="Compact"/>
              <w:keepNext/>
              <w:spacing w:before="8" w:after="8" w:line="240" w:lineRule="auto"/>
              <w:ind w:firstLine="0" w:left="0" w:right="0"/>
              <w:jc w:val="left"/>
              <w:jc w:val="center"/>
            </w:pPr>
            <w:r>
              <w:rPr>
                <w:rFonts w:ascii="Calibri" w:hAnsi="Calibri"/>
                <w:sz w:val="15"/>
              </w:rPr>
              <w:t xml:space="preserve">none</w:t>
            </w:r>
          </w:p>
        </w:tc>
        <w:tc>
          <w:tcPr/>
          <w:p>
            <w:pPr>
              <w:pStyle w:val="Compact"/>
              <w:keepNext/>
              <w:spacing w:before="8" w:after="8" w:line="240" w:lineRule="auto"/>
              <w:ind w:firstLine="0" w:left="0" w:right="0"/>
              <w:jc w:val="left"/>
              <w:jc w:val="center"/>
            </w:pPr>
            <w:r>
              <w:rPr>
                <w:rFonts w:ascii="Calibri" w:hAnsi="Calibri"/>
                <w:sz w:val="15"/>
              </w:rPr>
              <w:t xml:space="preserve">~2s</w:t>
            </w:r>
          </w:p>
        </w:tc>
        <w:tc>
          <w:tcPr/>
          <w:p>
            <w:pPr>
              <w:pStyle w:val="Compact"/>
              <w:keepNext/>
              <w:spacing w:before="8" w:after="8" w:line="240" w:lineRule="auto"/>
              <w:ind w:firstLine="0" w:left="0" w:right="0"/>
              <w:jc w:val="left"/>
              <w:jc w:val="center"/>
            </w:pPr>
            <w:r>
              <w:rPr>
                <w:rFonts w:ascii="Calibri" w:hAnsi="Calibri"/>
                <w:sz w:val="15"/>
              </w:rPr>
              <w:t xml:space="preserve">25-33%</w:t>
            </w:r>
          </w:p>
        </w:tc>
        <w:tc>
          <w:tcPr/>
          <w:p>
            <w:pPr>
              <w:pStyle w:val="Compact"/>
              <w:keepNext/>
              <w:spacing w:before="8" w:after="8" w:line="240" w:lineRule="auto"/>
              <w:ind w:firstLine="0" w:left="0" w:right="0"/>
              <w:jc w:val="left"/>
              <w:jc w:val="center"/>
            </w:pPr>
            <w:r>
              <w:rPr>
                <w:rFonts w:ascii="Calibri" w:hAnsi="Calibri"/>
                <w:sz w:val="15"/>
              </w:rPr>
              <w:t xml:space="preserve">1 transient failure (did not reproduce isolated)</w:t>
            </w:r>
          </w:p>
        </w:tc>
        <w:tc>
          <w:tcPr/>
          <w:p>
            <w:pPr>
              <w:pStyle w:val="Compact"/>
              <w:keepNext/>
              <w:spacing w:before="8" w:after="8" w:line="240" w:lineRule="auto"/>
              <w:ind w:firstLine="0" w:left="0" w:right="0"/>
              <w:jc w:val="right"/>
              <w:jc w:val="center"/>
            </w:pPr>
            <w:r>
              <w:rPr>
                <w:rFonts w:ascii="Calibri" w:hAnsi="Calibri"/>
                <w:sz w:val="15"/>
              </w:rPr>
              <w:t xml:space="preserve">$23</w:t>
            </w:r>
          </w:p>
        </w:tc>
      </w:tr>
      <w:tr>
        <w:trPr>
          <w:cantSplit/>
        </w:trPr>
        <w:tc>
          <w:tcPr/>
          <w:p>
            <w:pPr>
              <w:pStyle w:val="Compact"/>
              <w:keepNext/>
              <w:spacing w:before="8" w:after="8" w:line="240" w:lineRule="auto"/>
              <w:ind w:firstLine="0" w:left="0" w:right="0"/>
              <w:jc w:val="left"/>
              <w:jc w:val="center"/>
            </w:pPr>
            <w:r>
              <w:rPr>
                <w:rStyle w:val="VerbatimChar"/>
                <w:rFonts w:ascii="Calibri" w:hAnsi="Calibri"/>
                <w:sz w:val="15"/>
              </w:rPr>
              <w:t xml:space="preserve">openai/gpt-5.4-nano</w:t>
            </w:r>
          </w:p>
        </w:tc>
        <w:tc>
          <w:tcPr/>
          <w:p>
            <w:pPr>
              <w:pStyle w:val="Compact"/>
              <w:keepNext/>
              <w:spacing w:before="8" w:after="8" w:line="240" w:lineRule="auto"/>
              <w:ind w:firstLine="0" w:left="0" w:right="0"/>
              <w:jc w:val="left"/>
              <w:jc w:val="center"/>
            </w:pPr>
            <w:r>
              <w:rPr>
                <w:rFonts w:ascii="Calibri" w:hAnsi="Calibri"/>
                <w:sz w:val="15"/>
              </w:rPr>
              <w:t xml:space="preserve">openai/flex</w:t>
            </w:r>
          </w:p>
        </w:tc>
        <w:tc>
          <w:tcPr/>
          <w:p>
            <w:pPr>
              <w:pStyle w:val="Compact"/>
              <w:keepNext/>
              <w:spacing w:before="8" w:after="8" w:line="240" w:lineRule="auto"/>
              <w:ind w:firstLine="0" w:left="0" w:right="0"/>
              <w:jc w:val="left"/>
              <w:jc w:val="center"/>
            </w:pPr>
            <w:r>
              <w:rPr>
                <w:rFonts w:ascii="Calibri" w:hAnsi="Calibri"/>
                <w:sz w:val="15"/>
              </w:rPr>
              <w:t xml:space="preserve">(default)</w:t>
            </w:r>
          </w:p>
        </w:tc>
        <w:tc>
          <w:tcPr/>
          <w:p>
            <w:pPr>
              <w:pStyle w:val="Compact"/>
              <w:keepNext/>
              <w:spacing w:before="8" w:after="8" w:line="240" w:lineRule="auto"/>
              <w:ind w:firstLine="0" w:left="0" w:right="0"/>
              <w:jc w:val="left"/>
              <w:jc w:val="center"/>
            </w:pPr>
            <w:r>
              <w:rPr>
                <w:rFonts w:ascii="Calibri" w:hAnsi="Calibri"/>
                <w:sz w:val="15"/>
              </w:rPr>
              <w:t xml:space="preserve">~3s</w:t>
            </w:r>
          </w:p>
        </w:tc>
        <w:tc>
          <w:tcPr/>
          <w:p>
            <w:pPr>
              <w:pStyle w:val="Compact"/>
              <w:keepNext/>
              <w:spacing w:before="8" w:after="8" w:line="240" w:lineRule="auto"/>
              <w:ind w:firstLine="0" w:left="0" w:right="0"/>
              <w:jc w:val="right"/>
              <w:jc w:val="center"/>
            </w:pPr>
            <w:r>
              <w:rPr>
                <w:rFonts w:ascii="Calibri" w:hAnsi="Calibri"/>
                <w:sz w:val="15"/>
              </w:rPr>
              <w:t xml:space="preserve">9%</w:t>
            </w:r>
          </w:p>
        </w:tc>
        <w:tc>
          <w:tcPr/>
          <w:p>
            <w:pPr>
              <w:pStyle w:val="Compact"/>
              <w:keepNext/>
              <w:spacing w:before="8" w:after="8" w:line="240" w:lineRule="auto"/>
              <w:ind w:firstLine="0" w:left="0" w:right="0"/>
              <w:jc w:val="left"/>
              <w:jc w:val="center"/>
            </w:pPr>
            <w:r>
              <w:rPr>
                <w:rFonts w:ascii="Calibri" w:hAnsi="Calibri"/>
                <w:sz w:val="15"/>
              </w:rPr>
              <w:t xml:space="preserve">activity fragmentation (fixed post-hoc)</w:t>
            </w:r>
          </w:p>
        </w:tc>
        <w:tc>
          <w:tcPr/>
          <w:p>
            <w:pPr>
              <w:pStyle w:val="Compact"/>
              <w:keepNext/>
              <w:spacing w:before="8" w:after="8" w:line="240" w:lineRule="auto"/>
              <w:ind w:firstLine="0" w:left="0" w:right="0"/>
              <w:jc w:val="right"/>
              <w:jc w:val="center"/>
            </w:pPr>
            <w:r>
              <w:rPr>
                <w:rFonts w:ascii="Calibri" w:hAnsi="Calibri"/>
                <w:sz w:val="15"/>
              </w:rPr>
              <w:t xml:space="preserve">$10</w:t>
            </w:r>
          </w:p>
        </w:tc>
      </w:tr>
      <w:tr>
        <w:trPr>
          <w:cantSplit/>
        </w:trPr>
        <w:tc>
          <w:tcPr/>
          <w:p>
            <w:pPr>
              <w:pStyle w:val="Compact"/>
              <w:keepNext/>
              <w:spacing w:before="8" w:after="8" w:line="240" w:lineRule="auto"/>
              <w:ind w:firstLine="0" w:left="0" w:right="0"/>
              <w:jc w:val="left"/>
              <w:jc w:val="center"/>
            </w:pPr>
            <w:r>
              <w:rPr>
                <w:rStyle w:val="VerbatimChar"/>
                <w:rFonts w:ascii="Calibri" w:hAnsi="Calibri"/>
                <w:sz w:val="15"/>
              </w:rPr>
              <w:t xml:space="preserve">minimax/minimax-m3</w:t>
            </w:r>
          </w:p>
        </w:tc>
        <w:tc>
          <w:tcPr/>
          <w:p>
            <w:pPr>
              <w:pStyle w:val="Compact"/>
              <w:keepNext/>
              <w:spacing w:before="8" w:after="8" w:line="240" w:lineRule="auto"/>
              <w:ind w:firstLine="0" w:left="0" w:right="0"/>
              <w:jc w:val="left"/>
              <w:jc w:val="center"/>
            </w:pPr>
            <w:r>
              <w:rPr>
                <w:rFonts w:ascii="Calibri" w:hAnsi="Calibri"/>
                <w:sz w:val="15"/>
              </w:rPr>
              <w:t xml:space="preserve">coreweave/fp4</w:t>
            </w:r>
          </w:p>
        </w:tc>
        <w:tc>
          <w:tcPr/>
          <w:p>
            <w:pPr>
              <w:pStyle w:val="Compact"/>
              <w:keepNext/>
              <w:spacing w:before="8" w:after="8" w:line="240" w:lineRule="auto"/>
              <w:ind w:firstLine="0" w:left="0" w:right="0"/>
              <w:jc w:val="left"/>
              <w:jc w:val="center"/>
            </w:pPr>
            <w:r>
              <w:rPr>
                <w:rFonts w:ascii="Calibri" w:hAnsi="Calibri"/>
                <w:sz w:val="15"/>
              </w:rPr>
              <w:t xml:space="preserve">(default)</w:t>
            </w:r>
          </w:p>
        </w:tc>
        <w:tc>
          <w:tcPr/>
          <w:p>
            <w:pPr>
              <w:pStyle w:val="Compact"/>
              <w:keepNext/>
              <w:spacing w:before="8" w:after="8" w:line="240" w:lineRule="auto"/>
              <w:ind w:firstLine="0" w:left="0" w:right="0"/>
              <w:jc w:val="left"/>
              <w:jc w:val="center"/>
            </w:pPr>
            <w:r>
              <w:rPr>
                <w:rFonts w:ascii="Calibri" w:hAnsi="Calibri"/>
                <w:sz w:val="15"/>
              </w:rPr>
              <w:t xml:space="preserve">30-183s</w:t>
            </w:r>
          </w:p>
        </w:tc>
        <w:tc>
          <w:tcPr/>
          <w:p>
            <w:pPr>
              <w:pStyle w:val="Compact"/>
              <w:keepNext/>
              <w:spacing w:before="8" w:after="8" w:line="240" w:lineRule="auto"/>
              <w:ind w:firstLine="0" w:left="0" w:right="0"/>
              <w:jc w:val="left"/>
              <w:jc w:val="center"/>
            </w:pPr>
            <w:r>
              <w:rPr>
                <w:rFonts w:ascii="Calibri" w:hAnsi="Calibri"/>
                <w:sz w:val="15"/>
              </w:rPr>
              <w:t xml:space="preserve">–</w:t>
            </w:r>
          </w:p>
        </w:tc>
        <w:tc>
          <w:tcPr/>
          <w:p>
            <w:pPr>
              <w:pStyle w:val="Compact"/>
              <w:keepNext/>
              <w:spacing w:before="8" w:after="8" w:line="240" w:lineRule="auto"/>
              <w:ind w:firstLine="0" w:left="0" w:right="0"/>
              <w:jc w:val="left"/>
              <w:jc w:val="center"/>
            </w:pPr>
            <w:r>
              <w:rPr>
                <w:rFonts w:ascii="Calibri" w:hAnsi="Calibri"/>
                <w:sz w:val="15"/>
              </w:rPr>
              <w:t xml:space="preserve">4/6 calls failed outright</w:t>
            </w:r>
          </w:p>
        </w:tc>
        <w:tc>
          <w:tcPr/>
          <w:p>
            <w:pPr>
              <w:pStyle w:val="Compact"/>
              <w:keepNext/>
              <w:spacing w:before="8" w:after="8" w:line="240" w:lineRule="auto"/>
              <w:ind w:firstLine="0" w:left="0" w:right="0"/>
              <w:jc w:val="left"/>
              <w:jc w:val="center"/>
            </w:pPr>
            <w:r>
              <w:rPr>
                <w:rFonts w:ascii="Calibri" w:hAnsi="Calibri"/>
                <w:sz w:val="15"/>
              </w:rPr>
              <w:t xml:space="preserve">n/a</w:t>
            </w:r>
          </w:p>
        </w:tc>
      </w:tr>
      <w:tr>
        <w:trPr>
          <w:cantSplit/>
        </w:trPr>
        <w:tc>
          <w:tcPr/>
          <w:p>
            <w:pPr>
              <w:pStyle w:val="Compact"/>
              <w:keepNext/>
              <w:spacing w:before="8" w:after="8" w:line="240" w:lineRule="auto"/>
              <w:ind w:firstLine="0" w:left="0" w:right="0"/>
              <w:jc w:val="left"/>
              <w:jc w:val="center"/>
            </w:pPr>
            <w:r>
              <w:rPr>
                <w:rStyle w:val="VerbatimChar"/>
                <w:rFonts w:ascii="Calibri" w:hAnsi="Calibri"/>
                <w:sz w:val="15"/>
              </w:rPr>
              <w:t xml:space="preserve">deepseek/deepseek-v4.1-flash</w:t>
            </w:r>
          </w:p>
        </w:tc>
        <w:tc>
          <w:tcPr/>
          <w:p>
            <w:pPr>
              <w:pStyle w:val="Compact"/>
              <w:keepNext/>
              <w:spacing w:before="8" w:after="8" w:line="240" w:lineRule="auto"/>
              <w:ind w:firstLine="0" w:left="0" w:right="0"/>
              <w:jc w:val="left"/>
              <w:jc w:val="center"/>
            </w:pPr>
            <w:r>
              <w:rPr>
                <w:rFonts w:ascii="Calibri" w:hAnsi="Calibri"/>
                <w:sz w:val="15"/>
              </w:rPr>
              <w:t xml:space="preserve">siliconflow/fp8</w:t>
            </w:r>
          </w:p>
        </w:tc>
        <w:tc>
          <w:tcPr/>
          <w:p>
            <w:pPr>
              <w:pStyle w:val="Compact"/>
              <w:keepNext/>
              <w:spacing w:before="8" w:after="8" w:line="240" w:lineRule="auto"/>
              <w:ind w:firstLine="0" w:left="0" w:right="0"/>
              <w:jc w:val="left"/>
              <w:jc w:val="center"/>
            </w:pPr>
            <w:r>
              <w:rPr>
                <w:rFonts w:ascii="Calibri" w:hAnsi="Calibri"/>
                <w:sz w:val="15"/>
              </w:rPr>
              <w:t xml:space="preserve">low</w:t>
            </w:r>
          </w:p>
        </w:tc>
        <w:tc>
          <w:tcPr/>
          <w:p>
            <w:pPr>
              <w:pStyle w:val="Compact"/>
              <w:keepNext/>
              <w:spacing w:before="8" w:after="8" w:line="240" w:lineRule="auto"/>
              <w:ind w:firstLine="0" w:left="0" w:right="0"/>
              <w:jc w:val="left"/>
              <w:jc w:val="center"/>
            </w:pPr>
            <w:r>
              <w:rPr>
                <w:rFonts w:ascii="Calibri" w:hAnsi="Calibri"/>
                <w:sz w:val="15"/>
              </w:rPr>
              <w:t xml:space="preserve">11-67s</w:t>
            </w:r>
          </w:p>
        </w:tc>
        <w:tc>
          <w:tcPr/>
          <w:p>
            <w:pPr>
              <w:pStyle w:val="Compact"/>
              <w:keepNext/>
              <w:spacing w:before="8" w:after="8" w:line="240" w:lineRule="auto"/>
              <w:ind w:firstLine="0" w:left="0" w:right="0"/>
              <w:jc w:val="left"/>
              <w:jc w:val="center"/>
            </w:pPr>
            <w:r>
              <w:rPr>
                <w:rFonts w:ascii="Calibri" w:hAnsi="Calibri"/>
                <w:sz w:val="15"/>
              </w:rPr>
              <w:t xml:space="preserve">–</w:t>
            </w:r>
          </w:p>
        </w:tc>
        <w:tc>
          <w:tcPr/>
          <w:p>
            <w:pPr>
              <w:pStyle w:val="Compact"/>
              <w:keepNext/>
              <w:spacing w:before="8" w:after="8" w:line="240" w:lineRule="auto"/>
              <w:ind w:firstLine="0" w:left="0" w:right="0"/>
              <w:jc w:val="left"/>
              <w:jc w:val="center"/>
            </w:pPr>
            <w:r>
              <w:rPr>
                <w:rFonts w:ascii="Calibri" w:hAnsi="Calibri"/>
                <w:sz w:val="15"/>
              </w:rPr>
              <w:t xml:space="preserve">poor recall vs. other candidates on the same paragraphs</w:t>
            </w:r>
          </w:p>
        </w:tc>
        <w:tc>
          <w:tcPr/>
          <w:p>
            <w:pPr>
              <w:pStyle w:val="Compact"/>
              <w:keepNext/>
              <w:spacing w:before="8" w:after="8" w:line="240" w:lineRule="auto"/>
              <w:ind w:firstLine="0" w:left="0" w:right="0"/>
              <w:jc w:val="right"/>
              <w:jc w:val="center"/>
            </w:pPr>
            <w:r>
              <w:rPr>
                <w:rFonts w:ascii="Calibri" w:hAnsi="Calibri"/>
                <w:sz w:val="15"/>
              </w:rPr>
              <w:t xml:space="preserve">$67</w:t>
            </w:r>
          </w:p>
        </w:tc>
      </w:tr>
      <w:tr>
        <w:trPr>
          <w:cantSplit/>
        </w:trPr>
        <w:tc>
          <w:tcPr/>
          <w:p>
            <w:pPr>
              <w:pStyle w:val="Compact"/>
              <w:keepNext/>
              <w:spacing w:before="8" w:after="8" w:line="240" w:lineRule="auto"/>
              <w:ind w:firstLine="0" w:left="0" w:right="0"/>
              <w:jc w:val="left"/>
              <w:jc w:val="center"/>
            </w:pPr>
            <w:r>
              <w:rPr>
                <w:rStyle w:val="VerbatimChar"/>
                <w:rFonts w:ascii="Calibri" w:hAnsi="Calibri"/>
                <w:sz w:val="15"/>
              </w:rPr>
              <w:t xml:space="preserve">openai/gpt-5.6-luna</w:t>
            </w:r>
          </w:p>
        </w:tc>
        <w:tc>
          <w:tcPr/>
          <w:p>
            <w:pPr>
              <w:pStyle w:val="Compact"/>
              <w:keepNext/>
              <w:spacing w:before="8" w:after="8" w:line="240" w:lineRule="auto"/>
              <w:ind w:firstLine="0" w:left="0" w:right="0"/>
              <w:jc w:val="left"/>
              <w:jc w:val="center"/>
            </w:pPr>
            <w:r>
              <w:rPr>
                <w:rFonts w:ascii="Calibri" w:hAnsi="Calibri"/>
                <w:sz w:val="15"/>
              </w:rPr>
              <w:t xml:space="preserve">amazon-bedrock/us-east-1</w:t>
            </w:r>
          </w:p>
        </w:tc>
        <w:tc>
          <w:tcPr/>
          <w:p>
            <w:pPr>
              <w:pStyle w:val="Compact"/>
              <w:keepNext/>
              <w:spacing w:before="8" w:after="8" w:line="240" w:lineRule="auto"/>
              <w:ind w:firstLine="0" w:left="0" w:right="0"/>
              <w:jc w:val="left"/>
              <w:jc w:val="center"/>
            </w:pPr>
            <w:r>
              <w:rPr>
                <w:rFonts w:ascii="Calibri" w:hAnsi="Calibri"/>
                <w:sz w:val="15"/>
              </w:rPr>
              <w:t xml:space="preserve">none</w:t>
            </w:r>
          </w:p>
        </w:tc>
        <w:tc>
          <w:tcPr/>
          <w:p>
            <w:pPr>
              <w:pStyle w:val="Compact"/>
              <w:keepNext/>
              <w:spacing w:before="8" w:after="8" w:line="240" w:lineRule="auto"/>
              <w:ind w:firstLine="0" w:left="0" w:right="0"/>
              <w:jc w:val="left"/>
              <w:jc w:val="center"/>
            </w:pPr>
            <w:r>
              <w:rPr>
                <w:rFonts w:ascii="Calibri" w:hAnsi="Calibri"/>
                <w:sz w:val="15"/>
              </w:rPr>
              <w:t xml:space="preserve">~3s</w:t>
            </w:r>
          </w:p>
        </w:tc>
        <w:tc>
          <w:tcPr/>
          <w:p>
            <w:pPr>
              <w:pStyle w:val="Compact"/>
              <w:keepNext/>
              <w:spacing w:before="8" w:after="8" w:line="240" w:lineRule="auto"/>
              <w:ind w:firstLine="0" w:left="0" w:right="0"/>
              <w:jc w:val="right"/>
              <w:jc w:val="center"/>
            </w:pPr>
            <w:r>
              <w:rPr>
                <w:rFonts w:ascii="Calibri" w:hAnsi="Calibri"/>
                <w:sz w:val="15"/>
              </w:rPr>
              <w:t xml:space="preserve">0%</w:t>
            </w:r>
          </w:p>
        </w:tc>
        <w:tc>
          <w:tcPr/>
          <w:p>
            <w:pPr>
              <w:pStyle w:val="Compact"/>
              <w:keepNext/>
              <w:spacing w:before="8" w:after="8" w:line="240" w:lineRule="auto"/>
              <w:ind w:firstLine="0" w:left="0" w:right="0"/>
              <w:jc w:val="left"/>
              <w:jc w:val="center"/>
            </w:pPr>
            <w:r>
              <w:rPr>
                <w:rFonts w:ascii="Calibri" w:hAnsi="Calibri"/>
                <w:sz w:val="15"/>
              </w:rPr>
              <w:t xml:space="preserve">no failures, no pathological fragmentation</w:t>
            </w:r>
          </w:p>
        </w:tc>
        <w:tc>
          <w:tcPr/>
          <w:p>
            <w:pPr>
              <w:pStyle w:val="Compact"/>
              <w:keepNext/>
              <w:spacing w:before="8" w:after="8" w:line="240" w:lineRule="auto"/>
              <w:ind w:firstLine="0" w:left="0" w:right="0"/>
              <w:jc w:val="right"/>
              <w:jc w:val="center"/>
            </w:pPr>
            <w:r>
              <w:rPr>
                <w:rFonts w:ascii="Calibri" w:hAnsi="Calibri"/>
                <w:sz w:val="15"/>
              </w:rPr>
              <w:t xml:space="preserve">$20</w:t>
            </w:r>
          </w:p>
        </w:tc>
      </w:tr>
      <w:tr>
        <w:trPr>
          <w:cantSplit/>
        </w:trPr>
        <w:tc>
          <w:tcPr/>
          <w:p>
            <w:pPr>
              <w:pStyle w:val="Compact"/>
              <w:keepNext/>
              <w:spacing w:before="8" w:after="8" w:line="240" w:lineRule="auto"/>
              <w:ind w:firstLine="0" w:left="0" w:right="0"/>
              <w:jc w:val="left"/>
              <w:jc w:val="center"/>
            </w:pPr>
            <w:r>
              <w:rPr>
                <w:rStyle w:val="VerbatimChar"/>
                <w:rFonts w:ascii="Calibri" w:hAnsi="Calibri"/>
                <w:sz w:val="15"/>
              </w:rPr>
              <w:t xml:space="preserve">z-ai/glm-5.3-flash</w:t>
            </w:r>
          </w:p>
        </w:tc>
        <w:tc>
          <w:tcPr/>
          <w:p>
            <w:pPr>
              <w:pStyle w:val="Compact"/>
              <w:keepNext/>
              <w:spacing w:before="8" w:after="8" w:line="240" w:lineRule="auto"/>
              <w:ind w:firstLine="0" w:left="0" w:right="0"/>
              <w:jc w:val="left"/>
              <w:jc w:val="center"/>
            </w:pPr>
            <w:r>
              <w:rPr>
                <w:rFonts w:ascii="Calibri" w:hAnsi="Calibri"/>
                <w:sz w:val="15"/>
              </w:rPr>
              <w:t xml:space="preserve">baseten/fp8</w:t>
            </w:r>
          </w:p>
        </w:tc>
        <w:tc>
          <w:tcPr/>
          <w:p>
            <w:pPr>
              <w:pStyle w:val="Compact"/>
              <w:keepNext/>
              <w:spacing w:before="8" w:after="8" w:line="240" w:lineRule="auto"/>
              <w:ind w:firstLine="0" w:left="0" w:right="0"/>
              <w:jc w:val="left"/>
              <w:jc w:val="center"/>
            </w:pPr>
            <w:r>
              <w:rPr>
                <w:rFonts w:ascii="Calibri" w:hAnsi="Calibri"/>
                <w:sz w:val="15"/>
              </w:rPr>
              <w:t xml:space="preserve">low</w:t>
            </w:r>
          </w:p>
        </w:tc>
        <w:tc>
          <w:tcPr/>
          <w:p>
            <w:pPr>
              <w:pStyle w:val="Compact"/>
              <w:keepNext/>
              <w:spacing w:before="8" w:after="8" w:line="240" w:lineRule="auto"/>
              <w:ind w:firstLine="0" w:left="0" w:right="0"/>
              <w:jc w:val="left"/>
              <w:jc w:val="center"/>
            </w:pPr>
            <w:r>
              <w:rPr>
                <w:rFonts w:ascii="Calibri" w:hAnsi="Calibri"/>
                <w:sz w:val="15"/>
              </w:rPr>
              <w:t xml:space="preserve">8-250s</w:t>
            </w:r>
          </w:p>
        </w:tc>
        <w:tc>
          <w:tcPr/>
          <w:p>
            <w:pPr>
              <w:pStyle w:val="Compact"/>
              <w:keepNext/>
              <w:spacing w:before="8" w:after="8" w:line="240" w:lineRule="auto"/>
              <w:ind w:firstLine="0" w:left="0" w:right="0"/>
              <w:jc w:val="left"/>
              <w:jc w:val="center"/>
            </w:pPr>
            <w:r>
              <w:rPr>
                <w:rFonts w:ascii="Calibri" w:hAnsi="Calibri"/>
                <w:sz w:val="15"/>
              </w:rPr>
              <w:t xml:space="preserve">–</w:t>
            </w:r>
          </w:p>
        </w:tc>
        <w:tc>
          <w:tcPr/>
          <w:p>
            <w:pPr>
              <w:pStyle w:val="Compact"/>
              <w:keepNext/>
              <w:spacing w:before="8" w:after="8" w:line="240" w:lineRule="auto"/>
              <w:ind w:firstLine="0" w:left="0" w:right="0"/>
              <w:jc w:val="left"/>
              <w:jc w:val="center"/>
            </w:pPr>
            <w:r>
              <w:rPr>
                <w:rFonts w:ascii="Calibri" w:hAnsi="Calibri"/>
                <w:sz w:val="15"/>
              </w:rPr>
              <w:t xml:space="preserve">poor recall, worst latency of the comparison</w:t>
            </w:r>
          </w:p>
        </w:tc>
        <w:tc>
          <w:tcPr/>
          <w:p>
            <w:pPr>
              <w:pStyle w:val="Compact"/>
              <w:keepNext/>
              <w:spacing w:before="8" w:after="8" w:line="240" w:lineRule="auto"/>
              <w:ind w:firstLine="0" w:left="0" w:right="0"/>
              <w:jc w:val="right"/>
              <w:jc w:val="center"/>
            </w:pPr>
            <w:r>
              <w:rPr>
                <w:rFonts w:ascii="Calibri" w:hAnsi="Calibri"/>
                <w:sz w:val="15"/>
              </w:rPr>
              <w:t xml:space="preserve">$66</w:t>
            </w:r>
          </w:p>
        </w:tc>
      </w:tr>
      <w:tr>
        <w:trPr>
          <w:cantSplit/>
        </w:trPr>
        <w:tc>
          <w:tcPr/>
          <w:p>
            <w:pPr>
              <w:pStyle w:val="Compact"/>
              <w:spacing w:before="8" w:after="8" w:line="240" w:lineRule="auto"/>
              <w:ind w:firstLine="0" w:left="0" w:right="0"/>
              <w:jc w:val="left"/>
              <w:jc w:val="center"/>
            </w:pPr>
            <w:r>
              <w:rPr>
                <w:rStyle w:val="VerbatimChar"/>
                <w:rFonts w:ascii="Calibri" w:hAnsi="Calibri"/>
                <w:sz w:val="15"/>
              </w:rPr>
              <w:t xml:space="preserve">anthropic/claude-haiku-4.5</w:t>
            </w:r>
          </w:p>
        </w:tc>
        <w:tc>
          <w:tcPr/>
          <w:p>
            <w:pPr>
              <w:pStyle w:val="Compact"/>
              <w:spacing w:before="8" w:after="8" w:line="240" w:lineRule="auto"/>
              <w:ind w:firstLine="0" w:left="0" w:right="0"/>
              <w:jc w:val="left"/>
              <w:jc w:val="center"/>
            </w:pPr>
            <w:r>
              <w:rPr>
                <w:rFonts w:ascii="Calibri" w:hAnsi="Calibri"/>
                <w:sz w:val="15"/>
              </w:rPr>
              <w:t xml:space="preserve">(not tested)</w:t>
            </w:r>
          </w:p>
        </w:tc>
        <w:tc>
          <w:tcPr/>
          <w:p>
            <w:pPr>
              <w:pStyle w:val="Compact"/>
              <w:spacing w:before="8" w:after="8" w:line="240" w:lineRule="auto"/>
              <w:ind w:firstLine="0" w:left="0" w:right="0"/>
              <w:jc w:val="left"/>
              <w:jc w:val="center"/>
            </w:pPr>
            <w:r>
              <w:rPr>
                <w:rFonts w:ascii="Calibri" w:hAnsi="Calibri"/>
                <w:sz w:val="15"/>
              </w:rPr>
              <w:t xml:space="preserve">n/a</w:t>
            </w:r>
          </w:p>
        </w:tc>
        <w:tc>
          <w:tcPr/>
          <w:p>
            <w:pPr>
              <w:pStyle w:val="Compact"/>
              <w:spacing w:before="8" w:after="8" w:line="240" w:lineRule="auto"/>
              <w:ind w:firstLine="0" w:left="0" w:right="0"/>
              <w:jc w:val="left"/>
              <w:jc w:val="center"/>
            </w:pPr>
            <w:r>
              <w:rPr>
                <w:rFonts w:ascii="Calibri" w:hAnsi="Calibri"/>
                <w:sz w:val="15"/>
              </w:rPr>
              <w:t xml:space="preserve">not tested</w:t>
            </w:r>
          </w:p>
        </w:tc>
        <w:tc>
          <w:tcPr/>
          <w:p>
            <w:pPr>
              <w:pStyle w:val="Compact"/>
              <w:spacing w:before="8" w:after="8" w:line="240" w:lineRule="auto"/>
              <w:ind w:firstLine="0" w:left="0" w:right="0"/>
              <w:jc w:val="left"/>
              <w:jc w:val="center"/>
            </w:pPr>
            <w:r>
              <w:rPr>
                <w:rFonts w:ascii="Calibri" w:hAnsi="Calibri"/>
                <w:sz w:val="15"/>
              </w:rPr>
              <w:t xml:space="preserve">not tested</w:t>
            </w:r>
          </w:p>
        </w:tc>
        <w:tc>
          <w:tcPr/>
          <w:p>
            <w:pPr>
              <w:pStyle w:val="Compact"/>
              <w:spacing w:before="8" w:after="8" w:line="240" w:lineRule="auto"/>
              <w:ind w:firstLine="0" w:left="0" w:right="0"/>
              <w:jc w:val="left"/>
              <w:jc w:val="center"/>
            </w:pPr>
            <w:r>
              <w:rPr>
                <w:rFonts w:ascii="Calibri" w:hAnsi="Calibri"/>
                <w:sz w:val="15"/>
              </w:rPr>
              <w:t xml:space="preserve">excluded a priori: $1.00/$5.00 per 1M, 3-10x every tested candidate’s price</w:t>
            </w:r>
          </w:p>
        </w:tc>
        <w:tc>
          <w:tcPr/>
          <w:p>
            <w:pPr>
              <w:pStyle w:val="Compact"/>
              <w:spacing w:before="8" w:after="8" w:line="240" w:lineRule="auto"/>
              <w:ind w:firstLine="0" w:left="0" w:right="0"/>
              <w:jc w:val="left"/>
              <w:jc w:val="center"/>
            </w:pPr>
            <w:r>
              <w:rPr>
                <w:rFonts w:ascii="Calibri" w:hAnsi="Calibri"/>
                <w:sz w:val="15"/>
              </w:rPr>
              <w:t xml:space="preserve">n/a</w:t>
            </w:r>
          </w:p>
        </w:tc>
      </w:tr>
    </w:tbl>
    <w:bookmarkEnd w:id="178"/>
    <w:p/>
    <w:p>
      <w:pPr>
        <w:pStyle w:val="Textoindependiente"/>
      </w:pPr>
      <w:r>
        <w:rPr>
          <w:b/>
          <w:bCs/>
        </w:rPr>
        <w:t xml:space="preserve">Pass 1: Semantic frame extraction.</w:t>
      </w:r>
      <w:r>
        <w:t xml:space="preserve"> </w:t>
      </w:r>
      <w:r>
        <w:t xml:space="preserve">Candidate texts passing the GBDT prefilter (42,358 unique paragraphs) are submitted to the extraction model using constrained JSON schemas enforced via</w:t>
      </w:r>
      <w:r>
        <w:t xml:space="preserve"> </w:t>
      </w:r>
      <w:r>
        <w:rPr>
          <w:rStyle w:val="VerbatimChar"/>
        </w:rPr>
        <w:t xml:space="preserve">pydantic-ai</w:t>
      </w:r>
      <w:r>
        <w:t xml:space="preserve">. The prompt instructs the model to extract all discrete</w:t>
      </w:r>
      <w:r>
        <w:t xml:space="preserve"> </w:t>
      </w:r>
      <w:r>
        <w:rPr>
          <w:i/>
          <w:iCs/>
        </w:rPr>
        <w:t xml:space="preserve">semantic frames</w:t>
      </w:r>
      <w:r>
        <w:t xml:space="preserve"> </w:t>
      </w:r>
      <w:r>
        <w:t xml:space="preserve">(claims) describing AI, scoring each frame across seven structured dimensions (</w:t>
      </w:r>
      <w:hyperlink w:anchor="tbl-frame-schema">
        <w:r>
          <w:rPr>
            <w:rStyle w:val="Hipervnculo"/>
          </w:rPr>
          <w:t xml:space="preserve">Table 29</w:t>
        </w:r>
      </w:hyperlink>
      <w:r>
        <w:t xml:space="preserve">). Paragraphs where AI is only mentioned tangentially (e.g., general macro risk language without specific AI context) yield zero frames and are filtered out.</w:t>
      </w:r>
    </w:p>
    <w:bookmarkStart w:id="182" w:name="tbl-frame-schema"/>
    <w:p>
      <w:pPr>
        <w:keepNext/>
        <w:pStyle w:val="ImageCaption"/>
        <w:jc w:val="left"/>
        <w:spacing w:before="200"/>
        <w:ind w:firstLine="0" w:left="0" w:right="0"/>
      </w:pPr>
      <w:r>
        <w:t xml:space="preserve">Table 29:</w:t>
      </w:r>
      <w:r>
        <w:t xml:space="preserve"> </w:t>
      </w:r>
      <w:r>
        <w:rPr>
          <w:rStyle w:val="CaptionText"/>
        </w:rPr>
        <w:t xml:space="preserve">Semantic frame schema: operational definitions, categorical levels, and observed corpus distributions.</w:t>
      </w:r>
    </w:p>
    <w:tbl>
      <w:tblPr>
        <w:tblStyle w:val="Table"/>
        <w:tblW w:type="auto" w:w="0"/>
        <w:jc w:val="center"/>
        <w:tblLook w:firstRow="1" w:lastRow="0" w:firstColumn="0" w:lastColumn="0" w:noHBand="0" w:noVBand="0" w:val="0020"/>
        <w:tblBorders>
          <w:top w:val="single" w:sz="8" w:space="0" w:color="0F172A"/>
          <w:bottom w:val="single" w:sz="8" w:space="0" w:color="0F172A"/>
          <w:left w:val="none"/>
          <w:right w:val="none"/>
          <w:insideH w:val="single" w:sz="4" w:space="0" w:color="E2E8F0"/>
          <w:insideV w:val="none"/>
        </w:tblBorders>
        <w:tblCellMar>
          <w:top w:w="26" w:type="dxa"/>
          <w:bottom w:w="26" w:type="dxa"/>
          <w:left w:w="48" w:type="dxa"/>
          <w:right w:w="48" w:type="dxa"/>
        </w:tblCellMar>
      </w:tblPr>
      <w:tblGrid>
        <w:gridCol w:w="1980"/>
        <w:gridCol w:w="1980"/>
        <w:gridCol w:w="1980"/>
        <w:gridCol w:w="1980"/>
      </w:tblGrid>
      <w:tr>
        <w:trPr>
          <w:tblHeader w:val="on"/>
          <w:cantSplit/>
          <w:tblHeader/>
        </w:trPr>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6"/>
              </w:rPr>
              <w:t xml:space="preserve">Dimension</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6"/>
              </w:rPr>
              <w:t xml:space="preserve">Operational Scope</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6"/>
              </w:rPr>
              <w:t xml:space="preserve">Schema Classes</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6"/>
              </w:rPr>
              <w:t xml:space="preserve">Observed Prevalence (n=69,804)</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Subject</w:t>
            </w:r>
          </w:p>
        </w:tc>
        <w:tc>
          <w:tcPr/>
          <w:p>
            <w:pPr>
              <w:pStyle w:val="Compact"/>
              <w:keepNext/>
              <w:spacing w:before="8" w:after="8" w:line="240" w:lineRule="auto"/>
              <w:ind w:firstLine="0" w:left="0" w:right="0"/>
              <w:jc w:val="left"/>
              <w:jc w:val="center"/>
            </w:pPr>
            <w:r>
              <w:rPr>
                <w:rFonts w:ascii="Calibri" w:hAnsi="Calibri"/>
                <w:sz w:val="16"/>
              </w:rPr>
              <w:t xml:space="preserve">Identifies the focal entity of the corporate claim</w:t>
            </w:r>
          </w:p>
        </w:tc>
        <w:tc>
          <w:tcPr/>
          <w:p>
            <w:pPr>
              <w:pStyle w:val="Compact"/>
              <w:keepNext/>
              <w:spacing w:before="8" w:after="8" w:line="240" w:lineRule="auto"/>
              <w:ind w:firstLine="0" w:left="0" w:right="0"/>
              <w:jc w:val="left"/>
              <w:jc w:val="center"/>
            </w:pPr>
            <w:r>
              <w:rPr>
                <w:rFonts w:ascii="Calibri" w:hAnsi="Calibri"/>
                <w:sz w:val="16"/>
              </w:rPr>
              <w:t xml:space="preserve">Firm, partners, customers, industry, regulators</w:t>
            </w:r>
          </w:p>
        </w:tc>
        <w:tc>
          <w:tcPr/>
          <w:p>
            <w:pPr>
              <w:pStyle w:val="Compact"/>
              <w:keepNext/>
              <w:spacing w:before="8" w:after="8" w:line="240" w:lineRule="auto"/>
              <w:ind w:firstLine="0" w:left="0" w:right="0"/>
              <w:jc w:val="left"/>
              <w:jc w:val="center"/>
            </w:pPr>
            <w:r>
              <w:rPr>
                <w:rFonts w:ascii="Calibri" w:hAnsi="Calibri"/>
                <w:sz w:val="16"/>
              </w:rPr>
              <w:t xml:space="preserve">Firm: 78.9%; Customers: 8.4%; Industry: 8.4%; Partners: 2.6%; Regulators: 1.6%</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AI Category</w:t>
            </w:r>
          </w:p>
        </w:tc>
        <w:tc>
          <w:tcPr/>
          <w:p>
            <w:pPr>
              <w:pStyle w:val="Compact"/>
              <w:keepNext/>
              <w:spacing w:before="8" w:after="8" w:line="240" w:lineRule="auto"/>
              <w:ind w:firstLine="0" w:left="0" w:right="0"/>
              <w:jc w:val="left"/>
              <w:jc w:val="center"/>
            </w:pPr>
            <w:r>
              <w:rPr>
                <w:rFonts w:ascii="Calibri" w:hAnsi="Calibri"/>
                <w:sz w:val="16"/>
              </w:rPr>
              <w:t xml:space="preserve">Distinguishes generative AI from classical/predictive ML</w:t>
            </w:r>
          </w:p>
        </w:tc>
        <w:tc>
          <w:tcPr/>
          <w:p>
            <w:pPr>
              <w:pStyle w:val="Compact"/>
              <w:keepNext/>
              <w:spacing w:before="8" w:after="8" w:line="240" w:lineRule="auto"/>
              <w:ind w:firstLine="0" w:left="0" w:right="0"/>
              <w:jc w:val="left"/>
              <w:jc w:val="center"/>
            </w:pPr>
            <w:r>
              <w:rPr>
                <w:rFonts w:ascii="Calibri" w:hAnsi="Calibri"/>
                <w:sz w:val="16"/>
              </w:rPr>
              <w:t xml:space="preserve">Generative, predictive ML, unspecified general AI</w:t>
            </w:r>
          </w:p>
        </w:tc>
        <w:tc>
          <w:tcPr/>
          <w:p>
            <w:pPr>
              <w:pStyle w:val="Compact"/>
              <w:keepNext/>
              <w:spacing w:before="8" w:after="8" w:line="240" w:lineRule="auto"/>
              <w:ind w:firstLine="0" w:left="0" w:right="0"/>
              <w:jc w:val="left"/>
              <w:jc w:val="center"/>
            </w:pPr>
            <w:r>
              <w:rPr>
                <w:rFonts w:ascii="Calibri" w:hAnsi="Calibri"/>
                <w:sz w:val="16"/>
              </w:rPr>
              <w:t xml:space="preserve">Unspecified: 61.9%; Generative: 27.8%; Predictive Ml: 10.3%</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Temporal Stance</w:t>
            </w:r>
          </w:p>
        </w:tc>
        <w:tc>
          <w:tcPr/>
          <w:p>
            <w:pPr>
              <w:pStyle w:val="Compact"/>
              <w:keepNext/>
              <w:spacing w:before="8" w:after="8" w:line="240" w:lineRule="auto"/>
              <w:ind w:firstLine="0" w:left="0" w:right="0"/>
              <w:jc w:val="left"/>
              <w:jc w:val="center"/>
            </w:pPr>
            <w:r>
              <w:rPr>
                <w:rFonts w:ascii="Calibri" w:hAnsi="Calibri"/>
                <w:sz w:val="16"/>
              </w:rPr>
              <w:t xml:space="preserve">Operational tense, developmental timing, and certainty</w:t>
            </w:r>
          </w:p>
        </w:tc>
        <w:tc>
          <w:tcPr/>
          <w:p>
            <w:pPr>
              <w:pStyle w:val="Compact"/>
              <w:keepNext/>
              <w:spacing w:before="8" w:after="8" w:line="240" w:lineRule="auto"/>
              <w:ind w:firstLine="0" w:left="0" w:right="0"/>
              <w:jc w:val="left"/>
              <w:jc w:val="center"/>
            </w:pPr>
            <w:r>
              <w:rPr>
                <w:rFonts w:ascii="Calibri" w:hAnsi="Calibri"/>
                <w:sz w:val="16"/>
              </w:rPr>
              <w:t xml:space="preserve">Realized (today), forward-looking (planned or expected), hypothetical</w:t>
            </w:r>
          </w:p>
        </w:tc>
        <w:tc>
          <w:tcPr/>
          <w:p>
            <w:pPr>
              <w:pStyle w:val="Compact"/>
              <w:keepNext/>
              <w:spacing w:before="8" w:after="8" w:line="240" w:lineRule="auto"/>
              <w:ind w:firstLine="0" w:left="0" w:right="0"/>
              <w:jc w:val="left"/>
              <w:jc w:val="center"/>
            </w:pPr>
            <w:r>
              <w:rPr>
                <w:rFonts w:ascii="Calibri" w:hAnsi="Calibri"/>
                <w:sz w:val="16"/>
              </w:rPr>
              <w:t xml:space="preserve">Realized: 65.0%; Forward: 23.0%; Hypothetical: 11.9%</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Functional Concepts</w:t>
            </w:r>
          </w:p>
        </w:tc>
        <w:tc>
          <w:tcPr/>
          <w:p>
            <w:pPr>
              <w:pStyle w:val="Compact"/>
              <w:keepNext/>
              <w:spacing w:before="8" w:after="8" w:line="240" w:lineRule="auto"/>
              <w:ind w:firstLine="0" w:left="0" w:right="0"/>
              <w:jc w:val="left"/>
              <w:jc w:val="center"/>
            </w:pPr>
            <w:r>
              <w:rPr>
                <w:rFonts w:ascii="Calibri" w:hAnsi="Calibri"/>
                <w:sz w:val="16"/>
              </w:rPr>
              <w:t xml:space="preserve">Fixed multi-label vocabulary of operational and oversight stances</w:t>
            </w:r>
          </w:p>
        </w:tc>
        <w:tc>
          <w:tcPr/>
          <w:p>
            <w:pPr>
              <w:pStyle w:val="Compact"/>
              <w:keepNext/>
              <w:spacing w:before="8" w:after="8" w:line="240" w:lineRule="auto"/>
              <w:ind w:firstLine="0" w:left="0" w:right="0"/>
              <w:jc w:val="left"/>
              <w:jc w:val="center"/>
            </w:pPr>
            <w:r>
              <w:rPr>
                <w:rFonts w:ascii="Calibri" w:hAnsi="Calibri"/>
                <w:sz w:val="16"/>
              </w:rPr>
              <w:t xml:space="preserve">Adoption, capability, commercial offering, risk, governance</w:t>
            </w:r>
          </w:p>
        </w:tc>
        <w:tc>
          <w:tcPr/>
          <w:p>
            <w:pPr>
              <w:pStyle w:val="Compact"/>
              <w:keepNext/>
              <w:spacing w:before="8" w:after="8" w:line="240" w:lineRule="auto"/>
              <w:ind w:firstLine="0" w:left="0" w:right="0"/>
              <w:jc w:val="left"/>
              <w:jc w:val="center"/>
            </w:pPr>
            <w:r>
              <w:rPr>
                <w:rFonts w:ascii="Calibri" w:hAnsi="Calibri"/>
                <w:sz w:val="16"/>
              </w:rPr>
              <w:t xml:space="preserve">Adoption/deploy: 46.1%; Governance/control: 18.2%; Risk: 22.4%</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Specificity Signals</w:t>
            </w:r>
          </w:p>
        </w:tc>
        <w:tc>
          <w:tcPr/>
          <w:p>
            <w:pPr>
              <w:pStyle w:val="Compact"/>
              <w:keepNext/>
              <w:spacing w:before="8" w:after="8" w:line="240" w:lineRule="auto"/>
              <w:ind w:firstLine="0" w:left="0" w:right="0"/>
              <w:jc w:val="left"/>
              <w:jc w:val="center"/>
            </w:pPr>
            <w:r>
              <w:rPr>
                <w:rFonts w:ascii="Calibri" w:hAnsi="Calibri"/>
                <w:sz w:val="16"/>
              </w:rPr>
              <w:t xml:space="preserve">Verifiable objective anchors present in narrative text</w:t>
            </w:r>
          </w:p>
        </w:tc>
        <w:tc>
          <w:tcPr/>
          <w:p>
            <w:pPr>
              <w:pStyle w:val="Compact"/>
              <w:keepNext/>
              <w:spacing w:before="8" w:after="8" w:line="240" w:lineRule="auto"/>
              <w:ind w:firstLine="0" w:left="0" w:right="0"/>
              <w:jc w:val="left"/>
              <w:jc w:val="center"/>
            </w:pPr>
            <w:r>
              <w:rPr>
                <w:rFonts w:ascii="Calibri" w:hAnsi="Calibri"/>
                <w:sz w:val="16"/>
              </w:rPr>
              <w:t xml:space="preserve">Up to 5 tags: product/system, process, timeline, metric, vendor</w:t>
            </w:r>
          </w:p>
        </w:tc>
        <w:tc>
          <w:tcPr/>
          <w:p>
            <w:pPr>
              <w:pStyle w:val="Compact"/>
              <w:keepNext/>
              <w:spacing w:before="8" w:after="8" w:line="240" w:lineRule="auto"/>
              <w:ind w:firstLine="0" w:left="0" w:right="0"/>
              <w:jc w:val="left"/>
              <w:jc w:val="center"/>
            </w:pPr>
            <w:r>
              <w:rPr>
                <w:rFonts w:ascii="Calibri" w:hAnsi="Calibri"/>
                <w:sz w:val="16"/>
              </w:rPr>
              <w:t xml:space="preserve">Product: 47.4%; Process: 66.4%; Timeline: 14.0%; Metric: 11.2%; Vendor: 4.9%</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Promotional Register</w:t>
            </w:r>
          </w:p>
        </w:tc>
        <w:tc>
          <w:tcPr/>
          <w:p>
            <w:pPr>
              <w:pStyle w:val="Compact"/>
              <w:keepNext/>
              <w:spacing w:before="8" w:after="8" w:line="240" w:lineRule="auto"/>
              <w:ind w:firstLine="0" w:left="0" w:right="0"/>
              <w:jc w:val="left"/>
              <w:jc w:val="center"/>
            </w:pPr>
            <w:r>
              <w:rPr>
                <w:rFonts w:ascii="Calibri" w:hAnsi="Calibri"/>
                <w:sz w:val="16"/>
              </w:rPr>
              <w:t xml:space="preserve">Rhetorical framing: promotional, strategic, or hedged/cautious</w:t>
            </w:r>
          </w:p>
        </w:tc>
        <w:tc>
          <w:tcPr/>
          <w:p>
            <w:pPr>
              <w:pStyle w:val="Compact"/>
              <w:keepNext/>
              <w:spacing w:before="8" w:after="8" w:line="240" w:lineRule="auto"/>
              <w:ind w:firstLine="0" w:left="0" w:right="0"/>
              <w:jc w:val="left"/>
              <w:jc w:val="center"/>
            </w:pPr>
            <w:r>
              <w:rPr>
                <w:rFonts w:ascii="Calibri" w:hAnsi="Calibri"/>
                <w:sz w:val="16"/>
              </w:rPr>
              <w:t xml:space="preserve">Promotional, strategic importance, hedged (non-exclusive tags)</w:t>
            </w:r>
          </w:p>
        </w:tc>
        <w:tc>
          <w:tcPr/>
          <w:p>
            <w:pPr>
              <w:pStyle w:val="Compact"/>
              <w:keepNext/>
              <w:spacing w:before="8" w:after="8" w:line="240" w:lineRule="auto"/>
              <w:ind w:firstLine="0" w:left="0" w:right="0"/>
              <w:jc w:val="left"/>
              <w:jc w:val="center"/>
            </w:pPr>
            <w:r>
              <w:rPr>
                <w:rFonts w:ascii="Calibri" w:hAnsi="Calibri"/>
                <w:sz w:val="16"/>
              </w:rPr>
              <w:t xml:space="preserve">Strategic importance: 35.2%; Promotional tone: 18.3%; Hedged: 5.2%</w:t>
            </w:r>
          </w:p>
        </w:tc>
      </w:tr>
      <w:tr>
        <w:trPr>
          <w:cantSplit/>
        </w:trPr>
        <w:tc>
          <w:tcPr/>
          <w:p>
            <w:pPr>
              <w:pStyle w:val="Compact"/>
              <w:spacing w:before="8" w:after="8" w:line="240" w:lineRule="auto"/>
              <w:ind w:firstLine="0" w:left="0" w:right="0"/>
              <w:jc w:val="left"/>
              <w:jc w:val="center"/>
            </w:pPr>
            <w:r>
              <w:rPr>
                <w:rFonts w:ascii="Calibri" w:hAnsi="Calibri"/>
                <w:sz w:val="16"/>
              </w:rPr>
              <w:t xml:space="preserve">Sentence Anchors</w:t>
            </w:r>
          </w:p>
        </w:tc>
        <w:tc>
          <w:tcPr/>
          <w:p>
            <w:pPr>
              <w:pStyle w:val="Compact"/>
              <w:spacing w:before="8" w:after="8" w:line="240" w:lineRule="auto"/>
              <w:ind w:firstLine="0" w:left="0" w:right="0"/>
              <w:jc w:val="left"/>
              <w:jc w:val="center"/>
            </w:pPr>
            <w:r>
              <w:rPr>
                <w:rFonts w:ascii="Calibri" w:hAnsi="Calibri"/>
                <w:sz w:val="16"/>
              </w:rPr>
              <w:t xml:space="preserve">Sentence-level citation indices for auditability and verification</w:t>
            </w:r>
          </w:p>
        </w:tc>
        <w:tc>
          <w:tcPr/>
          <w:p>
            <w:pPr>
              <w:pStyle w:val="Compact"/>
              <w:spacing w:before="8" w:after="8" w:line="240" w:lineRule="auto"/>
              <w:ind w:firstLine="0" w:left="0" w:right="0"/>
              <w:jc w:val="left"/>
              <w:jc w:val="center"/>
            </w:pPr>
            <w:r>
              <w:rPr>
                <w:rFonts w:ascii="Calibri" w:hAnsi="Calibri"/>
                <w:sz w:val="16"/>
              </w:rPr>
              <w:t xml:space="preserve">List of 0-indexed sentence IDs supporting the frame</w:t>
            </w:r>
          </w:p>
        </w:tc>
        <w:tc>
          <w:tcPr/>
          <w:p>
            <w:pPr>
              <w:pStyle w:val="Compact"/>
              <w:spacing w:before="8" w:after="8" w:line="240" w:lineRule="auto"/>
              <w:ind w:firstLine="0" w:left="0" w:right="0"/>
              <w:jc w:val="left"/>
              <w:jc w:val="center"/>
            </w:pPr>
            <w:r>
              <w:rPr>
                <w:rFonts w:ascii="Calibri" w:hAnsi="Calibri"/>
                <w:sz w:val="16"/>
              </w:rPr>
              <w:t xml:space="preserve">100% anchored (mean 1.8 sentences per claim)</w:t>
            </w:r>
          </w:p>
        </w:tc>
      </w:tr>
    </w:tbl>
    <w:bookmarkEnd w:id="179"/>
    <w:p/>
    <w:p>
      <w:pPr>
        <w:pStyle w:val="Textoindependiente"/>
      </w:pPr>
      <w:r>
        <w:rPr>
          <w:b/>
          <w:bCs/>
        </w:rPr>
        <w:t xml:space="preserve">Pass 2: Disclosed AI activity extraction.</w:t>
      </w:r>
      <w:r>
        <w:t xml:space="preserve"> </w:t>
      </w:r>
      <w:r>
        <w:t xml:space="preserve">Passages where Pass 1 identifies a firm-subject action (25,960 unique paragraphs) are re-evaluated in Pass 2 to extract structured</w:t>
      </w:r>
      <w:r>
        <w:t xml:space="preserve"> </w:t>
      </w:r>
      <w:r>
        <w:rPr>
          <w:i/>
          <w:iCs/>
        </w:rPr>
        <w:t xml:space="preserve">corporate AI activities</w:t>
      </w:r>
      <w:r>
        <w:t xml:space="preserve">. Pass 2 decomposes unstructured assertions into discrete operational action triples (</w:t>
      </w:r>
      <w:r>
        <w:rPr>
          <w:rStyle w:val="VerbatimChar"/>
        </w:rPr>
        <w:t xml:space="preserve">action_verb</w:t>
      </w:r>
      <w:r>
        <w:t xml:space="preserve">,</w:t>
      </w:r>
      <w:r>
        <w:t xml:space="preserve"> </w:t>
      </w:r>
      <w:r>
        <w:rPr>
          <w:rStyle w:val="VerbatimChar"/>
        </w:rPr>
        <w:t xml:space="preserve">operational_object</w:t>
      </w:r>
      <w:r>
        <w:t xml:space="preserve">,</w:t>
      </w:r>
      <w:r>
        <w:t xml:space="preserve"> </w:t>
      </w:r>
      <w:r>
        <w:rPr>
          <w:rStyle w:val="VerbatimChar"/>
        </w:rPr>
        <w:t xml:space="preserve">business_function</w:t>
      </w:r>
      <w:r>
        <w:t xml:space="preserve">), while classifying lifecycle stage, technology sourcing provenance, target beneficiary, and evidentiary verification signals (</w:t>
      </w:r>
      <w:hyperlink w:anchor="tbl-activity-schema">
        <w:r>
          <w:rPr>
            <w:rStyle w:val="Hipervnculo"/>
          </w:rPr>
          <w:t xml:space="preserve">Table 30</w:t>
        </w:r>
      </w:hyperlink>
      <w:r>
        <w:t xml:space="preserve">).</w:t>
      </w:r>
    </w:p>
    <w:bookmarkStart w:id="183" w:name="tbl-activity-schema"/>
    <w:p>
      <w:pPr>
        <w:keepNext/>
        <w:pStyle w:val="ImageCaption"/>
        <w:jc w:val="left"/>
        <w:spacing w:before="200"/>
        <w:ind w:firstLine="0" w:left="0" w:right="0"/>
      </w:pPr>
      <w:r>
        <w:t xml:space="preserve">Table 30:</w:t>
      </w:r>
      <w:r>
        <w:t xml:space="preserve"> </w:t>
      </w:r>
      <w:r>
        <w:rPr>
          <w:rStyle w:val="CaptionText"/>
        </w:rPr>
        <w:t xml:space="preserve">Disclosed AI activity schema: operational definitions, taxonomic families, and observed activity volumes.</w:t>
      </w:r>
    </w:p>
    <w:tbl>
      <w:tblPr>
        <w:tblStyle w:val="Table"/>
        <w:tblW w:type="auto" w:w="0"/>
        <w:jc w:val="center"/>
        <w:tblLook w:firstRow="1" w:lastRow="0" w:firstColumn="0" w:lastColumn="0" w:noHBand="0" w:noVBand="0" w:val="0020"/>
        <w:tblBorders>
          <w:top w:val="single" w:sz="8" w:space="0" w:color="0F172A"/>
          <w:bottom w:val="single" w:sz="8" w:space="0" w:color="0F172A"/>
          <w:left w:val="none"/>
          <w:right w:val="none"/>
          <w:insideH w:val="single" w:sz="4" w:space="0" w:color="E2E8F0"/>
          <w:insideV w:val="none"/>
        </w:tblBorders>
        <w:tblCellMar>
          <w:top w:w="26" w:type="dxa"/>
          <w:bottom w:w="26" w:type="dxa"/>
          <w:left w:w="48" w:type="dxa"/>
          <w:right w:w="48" w:type="dxa"/>
        </w:tblCellMar>
      </w:tblPr>
      <w:tblGrid>
        <w:gridCol w:w="1980"/>
        <w:gridCol w:w="1980"/>
        <w:gridCol w:w="1980"/>
        <w:gridCol w:w="1980"/>
      </w:tblGrid>
      <w:tr>
        <w:trPr>
          <w:tblHeader w:val="on"/>
          <w:cantSplit/>
          <w:tblHeader/>
        </w:trPr>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6"/>
              </w:rPr>
              <w:t xml:space="preserve">Attribute</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6"/>
              </w:rPr>
              <w:t xml:space="preserve">Operational Scope</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6"/>
              </w:rPr>
              <w:t xml:space="preserve">Schema Classes &amp; Taxonomies</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6"/>
              </w:rPr>
              <w:t xml:space="preserve">Observed Distribution (n=46,865)</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Action Verb</w:t>
            </w:r>
          </w:p>
        </w:tc>
        <w:tc>
          <w:tcPr/>
          <w:p>
            <w:pPr>
              <w:pStyle w:val="Compact"/>
              <w:keepNext/>
              <w:spacing w:before="8" w:after="8" w:line="240" w:lineRule="auto"/>
              <w:ind w:firstLine="0" w:left="0" w:right="0"/>
              <w:jc w:val="left"/>
              <w:jc w:val="center"/>
            </w:pPr>
            <w:r>
              <w:rPr>
                <w:rFonts w:ascii="Calibri" w:hAnsi="Calibri"/>
                <w:sz w:val="16"/>
              </w:rPr>
              <w:t xml:space="preserve">Discrete operational action taken by the disclosing firm</w:t>
            </w:r>
          </w:p>
        </w:tc>
        <w:tc>
          <w:tcPr/>
          <w:p>
            <w:pPr>
              <w:pStyle w:val="Compact"/>
              <w:keepNext/>
              <w:spacing w:before="8" w:after="8" w:line="240" w:lineRule="auto"/>
              <w:ind w:firstLine="0" w:left="0" w:right="0"/>
              <w:jc w:val="left"/>
              <w:jc w:val="center"/>
            </w:pPr>
            <w:r>
              <w:rPr>
                <w:rFonts w:ascii="Calibri" w:hAnsi="Calibri"/>
                <w:sz w:val="16"/>
              </w:rPr>
              <w:t xml:space="preserve">Deploy, invest, scale, develop, procure, staff</w:t>
            </w:r>
          </w:p>
        </w:tc>
        <w:tc>
          <w:tcPr/>
          <w:p>
            <w:pPr>
              <w:pStyle w:val="Compact"/>
              <w:keepNext/>
              <w:spacing w:before="8" w:after="8" w:line="240" w:lineRule="auto"/>
              <w:ind w:firstLine="0" w:left="0" w:right="0"/>
              <w:jc w:val="left"/>
              <w:jc w:val="center"/>
            </w:pPr>
            <w:r>
              <w:rPr>
                <w:rFonts w:ascii="Calibri" w:hAnsi="Calibri"/>
                <w:sz w:val="16"/>
              </w:rPr>
              <w:t xml:space="preserve">Deploy: 38.6%; Develop: 30.6%; Invest: 10.0%; Scale: 6.8%</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Operational Object</w:t>
            </w:r>
          </w:p>
        </w:tc>
        <w:tc>
          <w:tcPr/>
          <w:p>
            <w:pPr>
              <w:pStyle w:val="Compact"/>
              <w:keepNext/>
              <w:spacing w:before="8" w:after="8" w:line="240" w:lineRule="auto"/>
              <w:ind w:firstLine="0" w:left="0" w:right="0"/>
              <w:jc w:val="left"/>
              <w:jc w:val="center"/>
            </w:pPr>
            <w:r>
              <w:rPr>
                <w:rFonts w:ascii="Calibri" w:hAnsi="Calibri"/>
                <w:sz w:val="16"/>
              </w:rPr>
              <w:t xml:space="preserve">Target system, model family, algorithm, or enterprise asset</w:t>
            </w:r>
          </w:p>
        </w:tc>
        <w:tc>
          <w:tcPr/>
          <w:p>
            <w:pPr>
              <w:pStyle w:val="Compact"/>
              <w:keepNext/>
              <w:spacing w:before="8" w:after="8" w:line="240" w:lineRule="auto"/>
              <w:ind w:firstLine="0" w:left="0" w:right="0"/>
              <w:jc w:val="left"/>
              <w:jc w:val="center"/>
            </w:pPr>
            <w:r>
              <w:rPr>
                <w:rFonts w:ascii="Calibri" w:hAnsi="Calibri"/>
                <w:sz w:val="16"/>
              </w:rPr>
              <w:t xml:space="preserve">Free-text extraction mapped into 21 standardized object families</w:t>
            </w:r>
          </w:p>
        </w:tc>
        <w:tc>
          <w:tcPr/>
          <w:p>
            <w:pPr>
              <w:pStyle w:val="Compact"/>
              <w:keepNext/>
              <w:spacing w:before="8" w:after="8" w:line="240" w:lineRule="auto"/>
              <w:ind w:firstLine="0" w:left="0" w:right="0"/>
              <w:jc w:val="left"/>
              <w:jc w:val="center"/>
            </w:pPr>
            <w:r>
              <w:rPr>
                <w:rFonts w:ascii="Calibri" w:hAnsi="Calibri"/>
                <w:sz w:val="16"/>
              </w:rPr>
              <w:t xml:space="preserve">Copilots/LLMs, predictive models, cloud platforms, vision, robotics</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Business Domain</w:t>
            </w:r>
          </w:p>
        </w:tc>
        <w:tc>
          <w:tcPr/>
          <w:p>
            <w:pPr>
              <w:pStyle w:val="Compact"/>
              <w:keepNext/>
              <w:spacing w:before="8" w:after="8" w:line="240" w:lineRule="auto"/>
              <w:ind w:firstLine="0" w:left="0" w:right="0"/>
              <w:jc w:val="left"/>
              <w:jc w:val="center"/>
            </w:pPr>
            <w:r>
              <w:rPr>
                <w:rFonts w:ascii="Calibri" w:hAnsi="Calibri"/>
                <w:sz w:val="16"/>
              </w:rPr>
              <w:t xml:space="preserve">Functional enterprise division where AI is implemented</w:t>
            </w:r>
          </w:p>
        </w:tc>
        <w:tc>
          <w:tcPr/>
          <w:p>
            <w:pPr>
              <w:pStyle w:val="Compact"/>
              <w:keepNext/>
              <w:spacing w:before="8" w:after="8" w:line="240" w:lineRule="auto"/>
              <w:ind w:firstLine="0" w:left="0" w:right="0"/>
              <w:jc w:val="left"/>
              <w:jc w:val="center"/>
            </w:pPr>
            <w:r>
              <w:rPr>
                <w:rFonts w:ascii="Calibri" w:hAnsi="Calibri"/>
                <w:sz w:val="16"/>
              </w:rPr>
              <w:t xml:space="preserve">Operate, Sell, Build, Control, Serve, Enable (6 domains)</w:t>
            </w:r>
          </w:p>
        </w:tc>
        <w:tc>
          <w:tcPr/>
          <w:p>
            <w:pPr>
              <w:pStyle w:val="Compact"/>
              <w:keepNext/>
              <w:spacing w:before="8" w:after="8" w:line="240" w:lineRule="auto"/>
              <w:ind w:firstLine="0" w:left="0" w:right="0"/>
              <w:jc w:val="left"/>
              <w:jc w:val="center"/>
            </w:pPr>
            <w:r>
              <w:rPr>
                <w:rFonts w:ascii="Calibri" w:hAnsi="Calibri"/>
                <w:sz w:val="16"/>
              </w:rPr>
              <w:t xml:space="preserve">Other: 35.4%; Operations And Supply Chain: 12.9%; Product Feature: 5.9%</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Maturity Stage</w:t>
            </w:r>
          </w:p>
        </w:tc>
        <w:tc>
          <w:tcPr/>
          <w:p>
            <w:pPr>
              <w:pStyle w:val="Compact"/>
              <w:keepNext/>
              <w:spacing w:before="8" w:after="8" w:line="240" w:lineRule="auto"/>
              <w:ind w:firstLine="0" w:left="0" w:right="0"/>
              <w:jc w:val="left"/>
              <w:jc w:val="center"/>
            </w:pPr>
            <w:r>
              <w:rPr>
                <w:rFonts w:ascii="Calibri" w:hAnsi="Calibri"/>
                <w:sz w:val="16"/>
              </w:rPr>
              <w:t xml:space="preserve">Operational lifecycle stage of the disclosed initiative</w:t>
            </w:r>
          </w:p>
        </w:tc>
        <w:tc>
          <w:tcPr/>
          <w:p>
            <w:pPr>
              <w:pStyle w:val="Compact"/>
              <w:keepNext/>
              <w:spacing w:before="8" w:after="8" w:line="240" w:lineRule="auto"/>
              <w:ind w:firstLine="0" w:left="0" w:right="0"/>
              <w:jc w:val="left"/>
              <w:jc w:val="center"/>
            </w:pPr>
            <w:r>
              <w:rPr>
                <w:rFonts w:ascii="Calibri" w:hAnsi="Calibri"/>
                <w:sz w:val="16"/>
              </w:rPr>
              <w:t xml:space="preserve">Deployed in production, scaled firmwide, piloting, exploring</w:t>
            </w:r>
          </w:p>
        </w:tc>
        <w:tc>
          <w:tcPr/>
          <w:p>
            <w:pPr>
              <w:pStyle w:val="Compact"/>
              <w:keepNext/>
              <w:spacing w:before="8" w:after="8" w:line="240" w:lineRule="auto"/>
              <w:ind w:firstLine="0" w:left="0" w:right="0"/>
              <w:jc w:val="left"/>
              <w:jc w:val="center"/>
            </w:pPr>
            <w:r>
              <w:rPr>
                <w:rFonts w:ascii="Calibri" w:hAnsi="Calibri"/>
                <w:sz w:val="16"/>
              </w:rPr>
              <w:t xml:space="preserve">Deployed: 68.2%; Unspecified: 17.8%; Exploring: 7.7%; Scaled: 4.1%</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Technology Sourcing</w:t>
            </w:r>
          </w:p>
        </w:tc>
        <w:tc>
          <w:tcPr/>
          <w:p>
            <w:pPr>
              <w:pStyle w:val="Compact"/>
              <w:keepNext/>
              <w:spacing w:before="8" w:after="8" w:line="240" w:lineRule="auto"/>
              <w:ind w:firstLine="0" w:left="0" w:right="0"/>
              <w:jc w:val="left"/>
              <w:jc w:val="center"/>
            </w:pPr>
            <w:r>
              <w:rPr>
                <w:rFonts w:ascii="Calibri" w:hAnsi="Calibri"/>
                <w:sz w:val="16"/>
              </w:rPr>
              <w:t xml:space="preserve">Intellectual property ownership and technology provenance</w:t>
            </w:r>
          </w:p>
        </w:tc>
        <w:tc>
          <w:tcPr/>
          <w:p>
            <w:pPr>
              <w:pStyle w:val="Compact"/>
              <w:keepNext/>
              <w:spacing w:before="8" w:after="8" w:line="240" w:lineRule="auto"/>
              <w:ind w:firstLine="0" w:left="0" w:right="0"/>
              <w:jc w:val="left"/>
              <w:jc w:val="center"/>
            </w:pPr>
            <w:r>
              <w:rPr>
                <w:rFonts w:ascii="Calibri" w:hAnsi="Calibri"/>
                <w:sz w:val="16"/>
              </w:rPr>
              <w:t xml:space="preserve">Own proprietary, third-party vendor, acquired, co-developed, open source</w:t>
            </w:r>
          </w:p>
        </w:tc>
        <w:tc>
          <w:tcPr/>
          <w:p>
            <w:pPr>
              <w:pStyle w:val="Compact"/>
              <w:keepNext/>
              <w:spacing w:before="8" w:after="8" w:line="240" w:lineRule="auto"/>
              <w:ind w:firstLine="0" w:left="0" w:right="0"/>
              <w:jc w:val="left"/>
              <w:jc w:val="center"/>
            </w:pPr>
            <w:r>
              <w:rPr>
                <w:rFonts w:ascii="Calibri" w:hAnsi="Calibri"/>
                <w:sz w:val="16"/>
              </w:rPr>
              <w:t xml:space="preserve">Own: 89.1%; Third Party: 3.2%; Co Developed: 3.1%; Mixed: 2.8%</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Target Beneficiary</w:t>
            </w:r>
          </w:p>
        </w:tc>
        <w:tc>
          <w:tcPr/>
          <w:p>
            <w:pPr>
              <w:pStyle w:val="Compact"/>
              <w:keepNext/>
              <w:spacing w:before="8" w:after="8" w:line="240" w:lineRule="auto"/>
              <w:ind w:firstLine="0" w:left="0" w:right="0"/>
              <w:jc w:val="left"/>
              <w:jc w:val="center"/>
            </w:pPr>
            <w:r>
              <w:rPr>
                <w:rFonts w:ascii="Calibri" w:hAnsi="Calibri"/>
                <w:sz w:val="16"/>
              </w:rPr>
              <w:t xml:space="preserve">Primary constituency receiving or utilizing the system</w:t>
            </w:r>
          </w:p>
        </w:tc>
        <w:tc>
          <w:tcPr/>
          <w:p>
            <w:pPr>
              <w:pStyle w:val="Compact"/>
              <w:keepNext/>
              <w:spacing w:before="8" w:after="8" w:line="240" w:lineRule="auto"/>
              <w:ind w:firstLine="0" w:left="0" w:right="0"/>
              <w:jc w:val="left"/>
              <w:jc w:val="center"/>
            </w:pPr>
            <w:r>
              <w:rPr>
                <w:rFonts w:ascii="Calibri" w:hAnsi="Calibri"/>
                <w:sz w:val="16"/>
              </w:rPr>
              <w:t xml:space="preserve">Customers, internal workflows, employees, suppliers/partners</w:t>
            </w:r>
          </w:p>
        </w:tc>
        <w:tc>
          <w:tcPr/>
          <w:p>
            <w:pPr>
              <w:pStyle w:val="Compact"/>
              <w:keepNext/>
              <w:spacing w:before="8" w:after="8" w:line="240" w:lineRule="auto"/>
              <w:ind w:firstLine="0" w:left="0" w:right="0"/>
              <w:jc w:val="left"/>
              <w:jc w:val="center"/>
            </w:pPr>
            <w:r>
              <w:rPr>
                <w:rFonts w:ascii="Calibri" w:hAnsi="Calibri"/>
                <w:sz w:val="16"/>
              </w:rPr>
              <w:t xml:space="preserve">Customers: 51.4%; Internal Process: 34.3%; Employees: 7.1%; Unspecified: 3.2%</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Evidence Attributes</w:t>
            </w:r>
          </w:p>
        </w:tc>
        <w:tc>
          <w:tcPr/>
          <w:p>
            <w:pPr>
              <w:pStyle w:val="Compact"/>
              <w:keepNext/>
              <w:spacing w:before="8" w:after="8" w:line="240" w:lineRule="auto"/>
              <w:ind w:firstLine="0" w:left="0" w:right="0"/>
              <w:jc w:val="left"/>
              <w:jc w:val="center"/>
            </w:pPr>
            <w:r>
              <w:rPr>
                <w:rFonts w:ascii="Calibri" w:hAnsi="Calibri"/>
                <w:sz w:val="16"/>
              </w:rPr>
              <w:t xml:space="preserve">Verifiable grounding strength anchoring the operational claim</w:t>
            </w:r>
          </w:p>
        </w:tc>
        <w:tc>
          <w:tcPr/>
          <w:p>
            <w:pPr>
              <w:pStyle w:val="Compact"/>
              <w:keepNext/>
              <w:spacing w:before="8" w:after="8" w:line="240" w:lineRule="auto"/>
              <w:ind w:firstLine="0" w:left="0" w:right="0"/>
              <w:jc w:val="left"/>
              <w:jc w:val="center"/>
            </w:pPr>
            <w:r>
              <w:rPr>
                <w:rFonts w:ascii="Calibri" w:hAnsi="Calibri"/>
                <w:sz w:val="16"/>
              </w:rPr>
              <w:t xml:space="preserve">Generic narrative, named product/process, metric, vendor named</w:t>
            </w:r>
          </w:p>
        </w:tc>
        <w:tc>
          <w:tcPr/>
          <w:p>
            <w:pPr>
              <w:pStyle w:val="Compact"/>
              <w:keepNext/>
              <w:spacing w:before="8" w:after="8" w:line="240" w:lineRule="auto"/>
              <w:ind w:firstLine="0" w:left="0" w:right="0"/>
              <w:jc w:val="left"/>
              <w:jc w:val="center"/>
            </w:pPr>
            <w:r>
              <w:rPr>
                <w:rFonts w:ascii="Calibri" w:hAnsi="Calibri"/>
                <w:sz w:val="16"/>
              </w:rPr>
              <w:t xml:space="preserve">Named: 45.5%; Generic: 40.0%; Metric: 13.2%; Vendor: 1.2%</w:t>
            </w:r>
          </w:p>
        </w:tc>
      </w:tr>
      <w:tr>
        <w:trPr>
          <w:cantSplit/>
        </w:trPr>
        <w:tc>
          <w:tcPr/>
          <w:p>
            <w:pPr>
              <w:pStyle w:val="Compact"/>
              <w:spacing w:before="8" w:after="8" w:line="240" w:lineRule="auto"/>
              <w:ind w:firstLine="0" w:left="0" w:right="0"/>
              <w:jc w:val="left"/>
              <w:jc w:val="center"/>
            </w:pPr>
            <w:r>
              <w:rPr>
                <w:rFonts w:ascii="Calibri" w:hAnsi="Calibri"/>
                <w:sz w:val="16"/>
              </w:rPr>
              <w:t xml:space="preserve">Named Entities</w:t>
            </w:r>
          </w:p>
        </w:tc>
        <w:tc>
          <w:tcPr/>
          <w:p>
            <w:pPr>
              <w:pStyle w:val="Compact"/>
              <w:spacing w:before="8" w:after="8" w:line="240" w:lineRule="auto"/>
              <w:ind w:firstLine="0" w:left="0" w:right="0"/>
              <w:jc w:val="left"/>
              <w:jc w:val="center"/>
            </w:pPr>
            <w:r>
              <w:rPr>
                <w:rFonts w:ascii="Calibri" w:hAnsi="Calibri"/>
                <w:sz w:val="16"/>
              </w:rPr>
              <w:t xml:space="preserve">External commercial partners, cloud providers, and foundation models</w:t>
            </w:r>
          </w:p>
        </w:tc>
        <w:tc>
          <w:tcPr/>
          <w:p>
            <w:pPr>
              <w:pStyle w:val="Compact"/>
              <w:spacing w:before="8" w:after="8" w:line="240" w:lineRule="auto"/>
              <w:ind w:firstLine="0" w:left="0" w:right="0"/>
              <w:jc w:val="left"/>
              <w:jc w:val="center"/>
            </w:pPr>
            <w:r>
              <w:rPr>
                <w:rFonts w:ascii="Calibri" w:hAnsi="Calibri"/>
                <w:sz w:val="16"/>
              </w:rPr>
              <w:t xml:space="preserve">8 entity roles (brands, hyperscalers, partners, acquisitions)</w:t>
            </w:r>
          </w:p>
        </w:tc>
        <w:tc>
          <w:tcPr/>
          <w:p>
            <w:pPr>
              <w:pStyle w:val="Compact"/>
              <w:spacing w:before="8" w:after="8" w:line="240" w:lineRule="auto"/>
              <w:ind w:firstLine="0" w:left="0" w:right="0"/>
              <w:jc w:val="left"/>
              <w:jc w:val="center"/>
            </w:pPr>
            <w:r>
              <w:rPr>
                <w:rFonts w:ascii="Calibri" w:hAnsi="Calibri"/>
                <w:sz w:val="16"/>
              </w:rPr>
              <w:t xml:space="preserve">66,640 entity citations (Microsoft, AWS, NVIDIA, OpenAI, etc.)</w:t>
            </w:r>
          </w:p>
        </w:tc>
      </w:tr>
    </w:tbl>
    <w:bookmarkEnd w:id="180"/>
    <w:p/>
    <w:p>
      <w:pPr>
        <w:pStyle w:val="Textoindependiente"/>
      </w:pPr>
      <w:r>
        <w:rPr>
          <w:b/>
          <w:bCs/>
        </w:rPr>
        <w:t xml:space="preserve">Inference configuration.</w:t>
      </w:r>
      <w:r>
        <w:t xml:space="preserve"> </w:t>
      </w:r>
      <w:r>
        <w:t xml:space="preserve">The prompt alone does not reproduce the procedure, so the settings are fixed and recorded with every extracted row. Both passes call</w:t>
      </w:r>
      <w:r>
        <w:t xml:space="preserve"> </w:t>
      </w:r>
      <w:r>
        <w:rPr>
          <w:rStyle w:val="VerbatimChar"/>
        </w:rPr>
        <w:t xml:space="preserve">openai/gpt-5.6-luna</w:t>
      </w:r>
      <w:r>
        <w:t xml:space="preserve"> </w:t>
      </w:r>
      <w:r>
        <w:t xml:space="preserve">through OpenRouter, routed to</w:t>
      </w:r>
      <w:r>
        <w:t xml:space="preserve"> </w:t>
      </w:r>
      <w:r>
        <w:rPr>
          <w:rStyle w:val="VerbatimChar"/>
        </w:rPr>
        <w:t xml:space="preserve">amazon-bedrock/us-east-1</w:t>
      </w:r>
      <w:r>
        <w:t xml:space="preserve"> </w:t>
      </w:r>
      <w:r>
        <w:t xml:space="preserve">with reasoning effort set to</w:t>
      </w:r>
      <w:r>
        <w:t xml:space="preserve"> </w:t>
      </w:r>
      <w:r>
        <w:rPr>
          <w:rStyle w:val="VerbatimChar"/>
        </w:rPr>
        <w:t xml:space="preserve">none</w:t>
      </w:r>
      <w:r>
        <w:t xml:space="preserve"> </w:t>
      </w:r>
      <w:r>
        <w:t xml:space="preserve">and provider fallback allowed, so a full-corpus run degrades to another provider rather than stalling. Output is constrained to the Pydantic schema by</w:t>
      </w:r>
      <w:r>
        <w:t xml:space="preserve"> </w:t>
      </w:r>
      <w:r>
        <w:rPr>
          <w:rStyle w:val="VerbatimChar"/>
        </w:rPr>
        <w:t xml:space="preserve">pydantic-ai</w:t>
      </w:r>
      <w:r>
        <w:t xml:space="preserve">, which retries twice on its own when the model returns something the schema rejects. On top of that there is one semantic retry the schema cannot perform:</w:t>
      </w:r>
      <w:r>
        <w:t xml:space="preserve"> </w:t>
      </w:r>
      <w:r>
        <w:rPr>
          <w:rStyle w:val="VerbatimChar"/>
        </w:rPr>
        <w:t xml:space="preserve">sentence_ids</w:t>
      </w:r>
      <w:r>
        <w:t xml:space="preserve"> </w:t>
      </w:r>
      <w:r>
        <w:t xml:space="preserve">are checked against the actual sentence count of the paragraph, and an out-of-range citation is sent back to the model with the error quoted. A paragraph that still fails is written as an error row rather than dropped, and the next run picks it up again, so a failure never silently removes a paragraph from the corpus. Every row carries the model name, the prompt version and the session id.</w:t>
      </w:r>
    </w:p>
    <w:p>
      <w:pPr>
        <w:pStyle w:val="Textoindependiente"/>
      </w:pPr>
      <w:r>
        <w:rPr>
          <w:b/>
          <w:bCs/>
        </w:rPr>
        <w:t xml:space="preserve">The Pass 1 prompt.</w:t>
      </w:r>
      <w:r>
        <w:t xml:space="preserve"> </w:t>
      </w:r>
      <w:r>
        <w:t xml:space="preserve">The classification prompt is reproduced below.</w:t>
      </w:r>
    </w:p>
    <w:p>
      <w:pPr>
        <w:pStyle w:val="SourceCode"/>
        <w:jc w:val="left"/>
      </w:pPr>
      <w:r>
        <w:rPr>
          <w:rStyle w:val="VerbatimChar"/>
          <w:rFonts w:ascii="Consolas" w:hAnsi="Consolas" w:cs="Consolas"/>
          <w:sz w:val="16"/>
          <w:szCs w:val="16"/>
        </w:rPr>
        <w:t xml:space="preserve">You extract structured "frames" about AI from one paragraph of a corporate</w:t>
      </w:r>
      <w:r>
        <w:rPr>
          <w:rFonts w:ascii="Consolas" w:hAnsi="Consolas" w:cs="Consolas"/>
          <w:sz w:val="16"/>
          <w:szCs w:val="16"/>
        </w:rPr>
        <w:br/>
      </w:r>
      <w:r>
        <w:rPr>
          <w:rStyle w:val="VerbatimChar"/>
          <w:rFonts w:ascii="Consolas" w:hAnsi="Consolas" w:cs="Consolas"/>
          <w:sz w:val="16"/>
          <w:szCs w:val="16"/>
        </w:rPr>
        <w:t xml:space="preserve">filing (10-K/10-Q), for research on AI disclosure. You are told which firm</w:t>
      </w:r>
      <w:r>
        <w:rPr>
          <w:rFonts w:ascii="Consolas" w:hAnsi="Consolas" w:cs="Consolas"/>
          <w:sz w:val="16"/>
          <w:szCs w:val="16"/>
        </w:rPr>
        <w:br/>
      </w:r>
      <w:r>
        <w:rPr>
          <w:rStyle w:val="VerbatimChar"/>
          <w:rFonts w:ascii="Consolas" w:hAnsi="Consolas" w:cs="Consolas"/>
          <w:sz w:val="16"/>
          <w:szCs w:val="16"/>
        </w:rPr>
        <w:t xml:space="preserve">files the document (ticker and name): that firm, its subsidiaries and its</w:t>
      </w:r>
      <w:r>
        <w:rPr>
          <w:rFonts w:ascii="Consolas" w:hAnsi="Consolas" w:cs="Consolas"/>
          <w:sz w:val="16"/>
          <w:szCs w:val="16"/>
        </w:rPr>
        <w:br/>
      </w:r>
      <w:r>
        <w:rPr>
          <w:rStyle w:val="VerbatimChar"/>
          <w:rFonts w:ascii="Consolas" w:hAnsi="Consolas" w:cs="Consolas"/>
          <w:sz w:val="16"/>
          <w:szCs w:val="16"/>
        </w:rPr>
        <w:t xml:space="preserve">products ('our X', or the firm named in third person, e.g. a quoted press</w:t>
      </w:r>
      <w:r>
        <w:rPr>
          <w:rFonts w:ascii="Consolas" w:hAnsi="Consolas" w:cs="Consolas"/>
          <w:sz w:val="16"/>
          <w:szCs w:val="16"/>
        </w:rPr>
        <w:br/>
      </w:r>
      <w:r>
        <w:rPr>
          <w:rStyle w:val="VerbatimChar"/>
          <w:rFonts w:ascii="Consolas" w:hAnsi="Consolas" w:cs="Consolas"/>
          <w:sz w:val="16"/>
          <w:szCs w:val="16"/>
        </w:rPr>
        <w:t xml:space="preserve">release) are subject=firm. Sentences are numbered [0], [1], ... Cite them by</w:t>
      </w:r>
      <w:r>
        <w:rPr>
          <w:rFonts w:ascii="Consolas" w:hAnsi="Consolas" w:cs="Consolas"/>
          <w:sz w:val="16"/>
          <w:szCs w:val="16"/>
        </w:rPr>
        <w:br/>
      </w:r>
      <w:r>
        <w:rPr>
          <w:rStyle w:val="VerbatimChar"/>
          <w:rFonts w:ascii="Consolas" w:hAnsi="Consolas" w:cs="Consolas"/>
          <w:sz w:val="16"/>
          <w:szCs w:val="16"/>
        </w:rPr>
        <w:t xml:space="preserve">index; never reproduce sentence text.</w:t>
      </w:r>
      <w:r>
        <w:rPr>
          <w:rFonts w:ascii="Consolas" w:hAnsi="Consolas" w:cs="Consolas"/>
          <w:sz w:val="16"/>
          <w:szCs w:val="16"/>
        </w:rPr>
        <w:br/>
      </w:r>
      <w:r>
        <w:rPr>
          <w:rFonts w:ascii="Consolas" w:hAnsi="Consolas" w:cs="Consolas"/>
          <w:sz w:val="16"/>
          <w:szCs w:val="16"/>
        </w:rPr>
        <w:br/>
      </w:r>
      <w:r>
        <w:rPr>
          <w:rStyle w:val="VerbatimChar"/>
          <w:rFonts w:ascii="Consolas" w:hAnsi="Consolas" w:cs="Consolas"/>
          <w:sz w:val="16"/>
          <w:szCs w:val="16"/>
        </w:rPr>
        <w:t xml:space="preserve">A frame is one coherent proposition about AI: who (subject), what kind of AI</w:t>
      </w:r>
      <w:r>
        <w:rPr>
          <w:rFonts w:ascii="Consolas" w:hAnsi="Consolas" w:cs="Consolas"/>
          <w:sz w:val="16"/>
          <w:szCs w:val="16"/>
        </w:rPr>
        <w:br/>
      </w:r>
      <w:r>
        <w:rPr>
          <w:rStyle w:val="VerbatimChar"/>
          <w:rFonts w:ascii="Consolas" w:hAnsi="Consolas" w:cs="Consolas"/>
          <w:sz w:val="16"/>
          <w:szCs w:val="16"/>
        </w:rPr>
        <w:t xml:space="preserve">(ai_type), when (temporal), and which concepts it asserts. Create the minimum</w:t>
      </w:r>
      <w:r>
        <w:rPr>
          <w:rFonts w:ascii="Consolas" w:hAnsi="Consolas" w:cs="Consolas"/>
          <w:sz w:val="16"/>
          <w:szCs w:val="16"/>
        </w:rPr>
        <w:br/>
      </w:r>
      <w:r>
        <w:rPr>
          <w:rStyle w:val="VerbatimChar"/>
          <w:rFonts w:ascii="Consolas" w:hAnsi="Consolas" w:cs="Consolas"/>
          <w:sz w:val="16"/>
          <w:szCs w:val="16"/>
        </w:rPr>
        <w:t xml:space="preserve">number of frames that keeps pairings correct: one sentence asserting several</w:t>
      </w:r>
      <w:r>
        <w:rPr>
          <w:rFonts w:ascii="Consolas" w:hAnsi="Consolas" w:cs="Consolas"/>
          <w:sz w:val="16"/>
          <w:szCs w:val="16"/>
        </w:rPr>
        <w:br/>
      </w:r>
      <w:r>
        <w:rPr>
          <w:rStyle w:val="VerbatimChar"/>
          <w:rFonts w:ascii="Consolas" w:hAnsi="Consolas" w:cs="Consolas"/>
          <w:sz w:val="16"/>
          <w:szCs w:val="16"/>
        </w:rPr>
        <w:t xml:space="preserve">concepts about the same subject and time is ONE frame. Split only when merging</w:t>
      </w:r>
      <w:r>
        <w:rPr>
          <w:rFonts w:ascii="Consolas" w:hAnsi="Consolas" w:cs="Consolas"/>
          <w:sz w:val="16"/>
          <w:szCs w:val="16"/>
        </w:rPr>
        <w:br/>
      </w:r>
      <w:r>
        <w:rPr>
          <w:rStyle w:val="VerbatimChar"/>
          <w:rFonts w:ascii="Consolas" w:hAnsi="Consolas" w:cs="Consolas"/>
          <w:sz w:val="16"/>
          <w:szCs w:val="16"/>
        </w:rPr>
        <w:t xml:space="preserve">would pair information from different propositions (e.g. a realized use and a</w:t>
      </w:r>
      <w:r>
        <w:rPr>
          <w:rFonts w:ascii="Consolas" w:hAnsi="Consolas" w:cs="Consolas"/>
          <w:sz w:val="16"/>
          <w:szCs w:val="16"/>
        </w:rPr>
        <w:br/>
      </w:r>
      <w:r>
        <w:rPr>
          <w:rStyle w:val="VerbatimChar"/>
          <w:rFonts w:ascii="Consolas" w:hAnsi="Consolas" w:cs="Consolas"/>
          <w:sz w:val="16"/>
          <w:szCs w:val="16"/>
        </w:rPr>
        <w:t xml:space="preserve">planned use). Zero frames is a valid and common answer.</w:t>
      </w:r>
      <w:r>
        <w:rPr>
          <w:rFonts w:ascii="Consolas" w:hAnsi="Consolas" w:cs="Consolas"/>
          <w:sz w:val="16"/>
          <w:szCs w:val="16"/>
        </w:rPr>
        <w:br/>
      </w:r>
      <w:r>
        <w:rPr>
          <w:rFonts w:ascii="Consolas" w:hAnsi="Consolas" w:cs="Consolas"/>
          <w:sz w:val="16"/>
          <w:szCs w:val="16"/>
        </w:rPr>
        <w:br/>
      </w:r>
      <w:r>
        <w:rPr>
          <w:rStyle w:val="VerbatimChar"/>
          <w:rFonts w:ascii="Consolas" w:hAnsi="Consolas" w:cs="Consolas"/>
          <w:sz w:val="16"/>
          <w:szCs w:val="16"/>
        </w:rPr>
        <w:t xml:space="preserve">Rules:</w:t>
      </w:r>
      <w:r>
        <w:rPr>
          <w:rFonts w:ascii="Consolas" w:hAnsi="Consolas" w:cs="Consolas"/>
          <w:sz w:val="16"/>
          <w:szCs w:val="16"/>
        </w:rPr>
        <w:br/>
      </w:r>
      <w:r>
        <w:rPr>
          <w:rStyle w:val="VerbatimChar"/>
          <w:rFonts w:ascii="Consolas" w:hAnsi="Consolas" w:cs="Consolas"/>
          <w:sz w:val="16"/>
          <w:szCs w:val="16"/>
        </w:rPr>
        <w:t xml:space="preserve">- subject is whoever performs the action. "We face evolving AI regulation" is</w:t>
      </w:r>
      <w:r>
        <w:rPr>
          <w:rFonts w:ascii="Consolas" w:hAnsi="Consolas" w:cs="Consolas"/>
          <w:sz w:val="16"/>
          <w:szCs w:val="16"/>
        </w:rPr>
        <w:br/>
      </w:r>
      <w:r>
        <w:rPr>
          <w:rStyle w:val="VerbatimChar"/>
          <w:rFonts w:ascii="Consolas" w:hAnsi="Consolas" w:cs="Consolas"/>
          <w:sz w:val="16"/>
          <w:szCs w:val="16"/>
        </w:rPr>
        <w:t xml:space="preserve">  subject=firm with risk_regulatory; "the EU AI Act requires providers to..."</w:t>
      </w:r>
      <w:r>
        <w:rPr>
          <w:rFonts w:ascii="Consolas" w:hAnsi="Consolas" w:cs="Consolas"/>
          <w:sz w:val="16"/>
          <w:szCs w:val="16"/>
        </w:rPr>
        <w:br/>
      </w:r>
      <w:r>
        <w:rPr>
          <w:rStyle w:val="VerbatimChar"/>
          <w:rFonts w:ascii="Consolas" w:hAnsi="Consolas" w:cs="Consolas"/>
          <w:sz w:val="16"/>
          <w:szCs w:val="16"/>
        </w:rPr>
        <w:t xml:space="preserve">  is subject=regulators; customer or market demand for the firm's products is</w:t>
      </w:r>
      <w:r>
        <w:rPr>
          <w:rFonts w:ascii="Consolas" w:hAnsi="Consolas" w:cs="Consolas"/>
          <w:sz w:val="16"/>
          <w:szCs w:val="16"/>
        </w:rPr>
        <w:br/>
      </w:r>
      <w:r>
        <w:rPr>
          <w:rStyle w:val="VerbatimChar"/>
          <w:rFonts w:ascii="Consolas" w:hAnsi="Consolas" w:cs="Consolas"/>
          <w:sz w:val="16"/>
          <w:szCs w:val="16"/>
        </w:rPr>
        <w:t xml:space="preserve">  subject=customers. partners = a named supplier, vendor, or joint-venture</w:t>
      </w:r>
      <w:r>
        <w:rPr>
          <w:rFonts w:ascii="Consolas" w:hAnsi="Consolas" w:cs="Consolas"/>
          <w:sz w:val="16"/>
          <w:szCs w:val="16"/>
        </w:rPr>
        <w:br/>
      </w:r>
      <w:r>
        <w:rPr>
          <w:rStyle w:val="VerbatimChar"/>
          <w:rFonts w:ascii="Consolas" w:hAnsi="Consolas" w:cs="Consolas"/>
          <w:sz w:val="16"/>
          <w:szCs w:val="16"/>
        </w:rPr>
        <w:t xml:space="preserve">  partner acting on its own (e.g. "NVIDIA's CUDA platform").</w:t>
      </w:r>
      <w:r>
        <w:rPr>
          <w:rFonts w:ascii="Consolas" w:hAnsi="Consolas" w:cs="Consolas"/>
          <w:sz w:val="16"/>
          <w:szCs w:val="16"/>
        </w:rPr>
        <w:br/>
      </w:r>
      <w:r>
        <w:rPr>
          <w:rStyle w:val="VerbatimChar"/>
          <w:rFonts w:ascii="Consolas" w:hAnsi="Consolas" w:cs="Consolas"/>
          <w:sz w:val="16"/>
          <w:szCs w:val="16"/>
        </w:rPr>
        <w:t xml:space="preserve">- A frame captures only what the text affirms; a negated statement ("we do not</w:t>
      </w:r>
      <w:r>
        <w:rPr>
          <w:rFonts w:ascii="Consolas" w:hAnsi="Consolas" w:cs="Consolas"/>
          <w:sz w:val="16"/>
          <w:szCs w:val="16"/>
        </w:rPr>
        <w:br/>
      </w:r>
      <w:r>
        <w:rPr>
          <w:rStyle w:val="VerbatimChar"/>
          <w:rFonts w:ascii="Consolas" w:hAnsi="Consolas" w:cs="Consolas"/>
          <w:sz w:val="16"/>
          <w:szCs w:val="16"/>
        </w:rPr>
        <w:t xml:space="preserve">  use generative AI") earns no frame.</w:t>
      </w:r>
      <w:r>
        <w:rPr>
          <w:rFonts w:ascii="Consolas" w:hAnsi="Consolas" w:cs="Consolas"/>
          <w:sz w:val="16"/>
          <w:szCs w:val="16"/>
        </w:rPr>
        <w:br/>
      </w:r>
      <w:r>
        <w:rPr>
          <w:rStyle w:val="VerbatimChar"/>
          <w:rFonts w:ascii="Consolas" w:hAnsi="Consolas" w:cs="Consolas"/>
          <w:sz w:val="16"/>
          <w:szCs w:val="16"/>
        </w:rPr>
        <w:t xml:space="preserve">- temporal tracks the state of the fact, for whichever subject: realized =</w:t>
      </w:r>
      <w:r>
        <w:rPr>
          <w:rFonts w:ascii="Consolas" w:hAnsi="Consolas" w:cs="Consolas"/>
          <w:sz w:val="16"/>
          <w:szCs w:val="16"/>
        </w:rPr>
        <w:br/>
      </w:r>
      <w:r>
        <w:rPr>
          <w:rStyle w:val="VerbatimChar"/>
          <w:rFonts w:ascii="Consolas" w:hAnsi="Consolas" w:cs="Consolas"/>
          <w:sz w:val="16"/>
          <w:szCs w:val="16"/>
        </w:rPr>
        <w:t xml:space="preserve">  already exists, done, or ongoing (a competitor's or the industry's current</w:t>
      </w:r>
      <w:r>
        <w:rPr>
          <w:rFonts w:ascii="Consolas" w:hAnsi="Consolas" w:cs="Consolas"/>
          <w:sz w:val="16"/>
          <w:szCs w:val="16"/>
        </w:rPr>
        <w:br/>
      </w:r>
      <w:r>
        <w:rPr>
          <w:rStyle w:val="VerbatimChar"/>
          <w:rFonts w:ascii="Consolas" w:hAnsi="Consolas" w:cs="Consolas"/>
          <w:sz w:val="16"/>
          <w:szCs w:val="16"/>
        </w:rPr>
        <w:t xml:space="preserve">  capability counts, even mentioned briefly or in a list); forward = a stated</w:t>
      </w:r>
      <w:r>
        <w:rPr>
          <w:rFonts w:ascii="Consolas" w:hAnsi="Consolas" w:cs="Consolas"/>
          <w:sz w:val="16"/>
          <w:szCs w:val="16"/>
        </w:rPr>
        <w:br/>
      </w:r>
      <w:r>
        <w:rPr>
          <w:rStyle w:val="VerbatimChar"/>
          <w:rFonts w:ascii="Consolas" w:hAnsi="Consolas" w:cs="Consolas"/>
          <w:sz w:val="16"/>
          <w:szCs w:val="16"/>
        </w:rPr>
        <w:t xml:space="preserve">  future intent ("plans to", "will", "expects to"); hypothetical = conditional</w:t>
      </w:r>
      <w:r>
        <w:rPr>
          <w:rFonts w:ascii="Consolas" w:hAnsi="Consolas" w:cs="Consolas"/>
          <w:sz w:val="16"/>
          <w:szCs w:val="16"/>
        </w:rPr>
        <w:br/>
      </w:r>
      <w:r>
        <w:rPr>
          <w:rStyle w:val="VerbatimChar"/>
          <w:rFonts w:ascii="Consolas" w:hAnsi="Consolas" w:cs="Consolas"/>
          <w:sz w:val="16"/>
          <w:szCs w:val="16"/>
        </w:rPr>
        <w:t xml:space="preserve">  possibility or risk ("could", "may result in", "if... then").</w:t>
      </w:r>
      <w:r>
        <w:rPr>
          <w:rFonts w:ascii="Consolas" w:hAnsi="Consolas" w:cs="Consolas"/>
          <w:sz w:val="16"/>
          <w:szCs w:val="16"/>
        </w:rPr>
        <w:br/>
      </w:r>
      <w:r>
        <w:rPr>
          <w:rStyle w:val="VerbatimChar"/>
          <w:rFonts w:ascii="Consolas" w:hAnsi="Consolas" w:cs="Consolas"/>
          <w:sz w:val="16"/>
          <w:szCs w:val="16"/>
        </w:rPr>
        <w:t xml:space="preserve">- valence: every frame states one. positive for gains or savings, negative for</w:t>
      </w:r>
      <w:r>
        <w:rPr>
          <w:rFonts w:ascii="Consolas" w:hAnsi="Consolas" w:cs="Consolas"/>
          <w:sz w:val="16"/>
          <w:szCs w:val="16"/>
        </w:rPr>
        <w:br/>
      </w:r>
      <w:r>
        <w:rPr>
          <w:rStyle w:val="VerbatimChar"/>
          <w:rFonts w:ascii="Consolas" w:hAnsi="Consolas" w:cs="Consolas"/>
          <w:sz w:val="16"/>
          <w:szCs w:val="16"/>
        </w:rPr>
        <w:t xml:space="preserve">  losses or cost increases, mixed for both -- whenever a *_outcome concept is</w:t>
      </w:r>
      <w:r>
        <w:rPr>
          <w:rFonts w:ascii="Consolas" w:hAnsi="Consolas" w:cs="Consolas"/>
          <w:sz w:val="16"/>
          <w:szCs w:val="16"/>
        </w:rPr>
        <w:br/>
      </w:r>
      <w:r>
        <w:rPr>
          <w:rStyle w:val="VerbatimChar"/>
          <w:rFonts w:ascii="Consolas" w:hAnsi="Consolas" w:cs="Consolas"/>
          <w:sz w:val="16"/>
          <w:szCs w:val="16"/>
        </w:rPr>
        <w:t xml:space="preserve">  present. not_applicable otherwise.</w:t>
      </w:r>
      <w:r>
        <w:rPr>
          <w:rFonts w:ascii="Consolas" w:hAnsi="Consolas" w:cs="Consolas"/>
          <w:sz w:val="16"/>
          <w:szCs w:val="16"/>
        </w:rPr>
        <w:br/>
      </w:r>
      <w:r>
        <w:rPr>
          <w:rStyle w:val="VerbatimChar"/>
          <w:rFonts w:ascii="Consolas" w:hAnsi="Consolas" w:cs="Consolas"/>
          <w:sz w:val="16"/>
          <w:szCs w:val="16"/>
        </w:rPr>
        <w:t xml:space="preserve">- specificity lists the concrete evidence given: process (a named business</w:t>
      </w:r>
      <w:r>
        <w:rPr>
          <w:rFonts w:ascii="Consolas" w:hAnsi="Consolas" w:cs="Consolas"/>
          <w:sz w:val="16"/>
          <w:szCs w:val="16"/>
        </w:rPr>
        <w:br/>
      </w:r>
      <w:r>
        <w:rPr>
          <w:rStyle w:val="VerbatimChar"/>
          <w:rFonts w:ascii="Consolas" w:hAnsi="Consolas" w:cs="Consolas"/>
          <w:sz w:val="16"/>
          <w:szCs w:val="16"/>
        </w:rPr>
        <w:t xml:space="preserve">  process), product (a named product or system), vendor (a named vendor or</w:t>
      </w:r>
      <w:r>
        <w:rPr>
          <w:rFonts w:ascii="Consolas" w:hAnsi="Consolas" w:cs="Consolas"/>
          <w:sz w:val="16"/>
          <w:szCs w:val="16"/>
        </w:rPr>
        <w:br/>
      </w:r>
      <w:r>
        <w:rPr>
          <w:rStyle w:val="VerbatimChar"/>
          <w:rFonts w:ascii="Consolas" w:hAnsi="Consolas" w:cs="Consolas"/>
          <w:sz w:val="16"/>
          <w:szCs w:val="16"/>
        </w:rPr>
        <w:t xml:space="preserve">  partner), metric (a quantified figure), timeline (a date or period).</w:t>
      </w:r>
      <w:r>
        <w:rPr>
          <w:rFonts w:ascii="Consolas" w:hAnsi="Consolas" w:cs="Consolas"/>
          <w:sz w:val="16"/>
          <w:szCs w:val="16"/>
        </w:rPr>
        <w:br/>
      </w:r>
      <w:r>
        <w:rPr>
          <w:rStyle w:val="VerbatimChar"/>
          <w:rFonts w:ascii="Consolas" w:hAnsi="Consolas" w:cs="Consolas"/>
          <w:sz w:val="16"/>
          <w:szCs w:val="16"/>
        </w:rPr>
        <w:t xml:space="preserve">- rhetoric: promotional = superlatives or self-praise; strategic = AI framed as</w:t>
      </w:r>
      <w:r>
        <w:rPr>
          <w:rFonts w:ascii="Consolas" w:hAnsi="Consolas" w:cs="Consolas"/>
          <w:sz w:val="16"/>
          <w:szCs w:val="16"/>
        </w:rPr>
        <w:br/>
      </w:r>
      <w:r>
        <w:rPr>
          <w:rStyle w:val="VerbatimChar"/>
          <w:rFonts w:ascii="Consolas" w:hAnsi="Consolas" w:cs="Consolas"/>
          <w:sz w:val="16"/>
          <w:szCs w:val="16"/>
        </w:rPr>
        <w:t xml:space="preserve">  central to strategy; hedged = non-committal wording about the firm's own</w:t>
      </w:r>
      <w:r>
        <w:rPr>
          <w:rFonts w:ascii="Consolas" w:hAnsi="Consolas" w:cs="Consolas"/>
          <w:sz w:val="16"/>
          <w:szCs w:val="16"/>
        </w:rPr>
        <w:br/>
      </w:r>
      <w:r>
        <w:rPr>
          <w:rStyle w:val="VerbatimChar"/>
          <w:rFonts w:ascii="Consolas" w:hAnsi="Consolas" w:cs="Consolas"/>
          <w:sz w:val="16"/>
          <w:szCs w:val="16"/>
        </w:rPr>
        <w:t xml:space="preserve">  realized or forward activity ("may", "could", "seek to") -- reserved for that</w:t>
      </w:r>
      <w:r>
        <w:rPr>
          <w:rFonts w:ascii="Consolas" w:hAnsi="Consolas" w:cs="Consolas"/>
          <w:sz w:val="16"/>
          <w:szCs w:val="16"/>
        </w:rPr>
        <w:br/>
      </w:r>
      <w:r>
        <w:rPr>
          <w:rStyle w:val="VerbatimChar"/>
          <w:rFonts w:ascii="Consolas" w:hAnsi="Consolas" w:cs="Consolas"/>
          <w:sz w:val="16"/>
          <w:szCs w:val="16"/>
        </w:rPr>
        <w:t xml:space="preserve">  case, since risk-factor conditionals already carry temporal=hypothetical.</w:t>
      </w:r>
      <w:r>
        <w:rPr>
          <w:rFonts w:ascii="Consolas" w:hAnsi="Consolas" w:cs="Consolas"/>
          <w:sz w:val="16"/>
          <w:szCs w:val="16"/>
        </w:rPr>
        <w:br/>
      </w:r>
      <w:r>
        <w:rPr>
          <w:rStyle w:val="VerbatimChar"/>
          <w:rFonts w:ascii="Consolas" w:hAnsi="Consolas" w:cs="Consolas"/>
          <w:sz w:val="16"/>
          <w:szCs w:val="16"/>
        </w:rPr>
        <w:t xml:space="preserve">- ai_type follows whatever the text names, for whichever entity: assign</w:t>
      </w:r>
      <w:r>
        <w:rPr>
          <w:rFonts w:ascii="Consolas" w:hAnsi="Consolas" w:cs="Consolas"/>
          <w:sz w:val="16"/>
          <w:szCs w:val="16"/>
        </w:rPr>
        <w:br/>
      </w:r>
      <w:r>
        <w:rPr>
          <w:rStyle w:val="VerbatimChar"/>
          <w:rFonts w:ascii="Consolas" w:hAnsi="Consolas" w:cs="Consolas"/>
          <w:sz w:val="16"/>
          <w:szCs w:val="16"/>
        </w:rPr>
        <w:t xml:space="preserve">  predictive_ml/generative the moment the proposition says machine learning,</w:t>
      </w:r>
      <w:r>
        <w:rPr>
          <w:rFonts w:ascii="Consolas" w:hAnsi="Consolas" w:cs="Consolas"/>
          <w:sz w:val="16"/>
          <w:szCs w:val="16"/>
        </w:rPr>
        <w:br/>
      </w:r>
      <w:r>
        <w:rPr>
          <w:rStyle w:val="VerbatimChar"/>
          <w:rFonts w:ascii="Consolas" w:hAnsi="Consolas" w:cs="Consolas"/>
          <w:sz w:val="16"/>
          <w:szCs w:val="16"/>
        </w:rPr>
        <w:t xml:space="preserve">  deep learning, an LLM, or generative AI, even for a competitor or the</w:t>
      </w:r>
      <w:r>
        <w:rPr>
          <w:rFonts w:ascii="Consolas" w:hAnsi="Consolas" w:cs="Consolas"/>
          <w:sz w:val="16"/>
          <w:szCs w:val="16"/>
        </w:rPr>
        <w:br/>
      </w:r>
      <w:r>
        <w:rPr>
          <w:rStyle w:val="VerbatimChar"/>
          <w:rFonts w:ascii="Consolas" w:hAnsi="Consolas" w:cs="Consolas"/>
          <w:sz w:val="16"/>
          <w:szCs w:val="16"/>
        </w:rPr>
        <w:t xml:space="preserve">  industry.</w:t>
      </w:r>
      <w:r>
        <w:rPr>
          <w:rFonts w:ascii="Consolas" w:hAnsi="Consolas" w:cs="Consolas"/>
          <w:sz w:val="16"/>
          <w:szCs w:val="16"/>
        </w:rPr>
        <w:br/>
      </w:r>
      <w:r>
        <w:rPr>
          <w:rStyle w:val="VerbatimChar"/>
          <w:rFonts w:ascii="Consolas" w:hAnsi="Consolas" w:cs="Consolas"/>
          <w:sz w:val="16"/>
          <w:szCs w:val="16"/>
        </w:rPr>
        <w:t xml:space="preserve">- sentence_ids cites the full set of sentences behind subject, ai_type,</w:t>
      </w:r>
      <w:r>
        <w:rPr>
          <w:rFonts w:ascii="Consolas" w:hAnsi="Consolas" w:cs="Consolas"/>
          <w:sz w:val="16"/>
          <w:szCs w:val="16"/>
        </w:rPr>
        <w:br/>
      </w:r>
      <w:r>
        <w:rPr>
          <w:rStyle w:val="VerbatimChar"/>
          <w:rFonts w:ascii="Consolas" w:hAnsi="Consolas" w:cs="Consolas"/>
          <w:sz w:val="16"/>
          <w:szCs w:val="16"/>
        </w:rPr>
        <w:t xml:space="preserve">  temporal and every concept -- both sentences when a frame's evidence spans</w:t>
      </w:r>
      <w:r>
        <w:rPr>
          <w:rFonts w:ascii="Consolas" w:hAnsi="Consolas" w:cs="Consolas"/>
          <w:sz w:val="16"/>
          <w:szCs w:val="16"/>
        </w:rPr>
        <w:br/>
      </w:r>
      <w:r>
        <w:rPr>
          <w:rStyle w:val="VerbatimChar"/>
          <w:rFonts w:ascii="Consolas" w:hAnsi="Consolas" w:cs="Consolas"/>
          <w:sz w:val="16"/>
          <w:szCs w:val="16"/>
        </w:rPr>
        <w:t xml:space="preserve">  two.</w:t>
      </w:r>
    </w:p>
    <w:p>
      <w:pPr>
        <w:pStyle w:val="FirstParagraph"/>
      </w:pPr>
      <w:r>
        <w:rPr>
          <w:b/>
          <w:bCs/>
        </w:rPr>
        <w:t xml:space="preserve">Output schema.</w:t>
      </w:r>
      <w:r>
        <w:t xml:space="preserve"> </w:t>
      </w:r>
      <w:r>
        <w:t xml:space="preserve">The model answers a</w:t>
      </w:r>
      <w:r>
        <w:t xml:space="preserve"> </w:t>
      </w:r>
      <w:r>
        <w:rPr>
          <w:rStyle w:val="VerbatimChar"/>
        </w:rPr>
        <w:t xml:space="preserve">ParagraphExtraction</w:t>
      </w:r>
      <w:r>
        <w:t xml:space="preserve">, which is a list of frames and may legitimately be empty. Each frame is:</w:t>
      </w:r>
    </w:p>
    <w:p>
      <w:pPr>
        <w:pStyle w:val="SourceCode"/>
        <w:jc w:val="left"/>
      </w:pPr>
      <w:r>
        <w:rPr>
          <w:rStyle w:val="VerbatimChar"/>
          <w:rFonts w:ascii="Consolas" w:hAnsi="Consolas" w:cs="Consolas"/>
          <w:sz w:val="16"/>
          <w:szCs w:val="16"/>
        </w:rPr>
        <w:t xml:space="preserve">class AIFrame(BaseModel):</w:t>
      </w:r>
      <w:r>
        <w:rPr>
          <w:rFonts w:ascii="Consolas" w:hAnsi="Consolas" w:cs="Consolas"/>
          <w:sz w:val="16"/>
          <w:szCs w:val="16"/>
        </w:rPr>
        <w:br/>
      </w:r>
      <w:r>
        <w:rPr>
          <w:rStyle w:val="VerbatimChar"/>
          <w:rFonts w:ascii="Consolas" w:hAnsi="Consolas" w:cs="Consolas"/>
          <w:sz w:val="16"/>
          <w:szCs w:val="16"/>
        </w:rPr>
        <w:t xml:space="preserve">    subject:      Subject             # firm | competitors | customers |</w:t>
      </w:r>
      <w:r>
        <w:rPr>
          <w:rFonts w:ascii="Consolas" w:hAnsi="Consolas" w:cs="Consolas"/>
          <w:sz w:val="16"/>
          <w:szCs w:val="16"/>
        </w:rPr>
        <w:br/>
      </w:r>
      <w:r>
        <w:rPr>
          <w:rStyle w:val="VerbatimChar"/>
          <w:rFonts w:ascii="Consolas" w:hAnsi="Consolas" w:cs="Consolas"/>
          <w:sz w:val="16"/>
          <w:szCs w:val="16"/>
        </w:rPr>
        <w:t xml:space="preserve">                                      # partners | regulators | industry</w:t>
      </w:r>
      <w:r>
        <w:rPr>
          <w:rFonts w:ascii="Consolas" w:hAnsi="Consolas" w:cs="Consolas"/>
          <w:sz w:val="16"/>
          <w:szCs w:val="16"/>
        </w:rPr>
        <w:br/>
      </w:r>
      <w:r>
        <w:rPr>
          <w:rStyle w:val="VerbatimChar"/>
          <w:rFonts w:ascii="Consolas" w:hAnsi="Consolas" w:cs="Consolas"/>
          <w:sz w:val="16"/>
          <w:szCs w:val="16"/>
        </w:rPr>
        <w:t xml:space="preserve">    ai_type:      AIType              # generative | predictive_ml | ...</w:t>
      </w:r>
      <w:r>
        <w:rPr>
          <w:rFonts w:ascii="Consolas" w:hAnsi="Consolas" w:cs="Consolas"/>
          <w:sz w:val="16"/>
          <w:szCs w:val="16"/>
        </w:rPr>
        <w:br/>
      </w:r>
      <w:r>
        <w:rPr>
          <w:rStyle w:val="VerbatimChar"/>
          <w:rFonts w:ascii="Consolas" w:hAnsi="Consolas" w:cs="Consolas"/>
          <w:sz w:val="16"/>
          <w:szCs w:val="16"/>
        </w:rPr>
        <w:t xml:space="preserve">    temporal:     Temporal            # realized | forward | hypothetical</w:t>
      </w:r>
      <w:r>
        <w:rPr>
          <w:rFonts w:ascii="Consolas" w:hAnsi="Consolas" w:cs="Consolas"/>
          <w:sz w:val="16"/>
          <w:szCs w:val="16"/>
        </w:rPr>
        <w:br/>
      </w:r>
      <w:r>
        <w:rPr>
          <w:rStyle w:val="VerbatimChar"/>
          <w:rFonts w:ascii="Consolas" w:hAnsi="Consolas" w:cs="Consolas"/>
          <w:sz w:val="16"/>
          <w:szCs w:val="16"/>
        </w:rPr>
        <w:t xml:space="preserve">    concepts:     list[Concept]       # &gt;= 1</w:t>
      </w:r>
      <w:r>
        <w:rPr>
          <w:rFonts w:ascii="Consolas" w:hAnsi="Consolas" w:cs="Consolas"/>
          <w:sz w:val="16"/>
          <w:szCs w:val="16"/>
        </w:rPr>
        <w:br/>
      </w:r>
      <w:r>
        <w:rPr>
          <w:rStyle w:val="VerbatimChar"/>
          <w:rFonts w:ascii="Consolas" w:hAnsi="Consolas" w:cs="Consolas"/>
          <w:sz w:val="16"/>
          <w:szCs w:val="16"/>
        </w:rPr>
        <w:t xml:space="preserve">    specificity:  list[Specificity]   # process | product | vendor |</w:t>
      </w:r>
      <w:r>
        <w:rPr>
          <w:rFonts w:ascii="Consolas" w:hAnsi="Consolas" w:cs="Consolas"/>
          <w:sz w:val="16"/>
          <w:szCs w:val="16"/>
        </w:rPr>
        <w:br/>
      </w:r>
      <w:r>
        <w:rPr>
          <w:rStyle w:val="VerbatimChar"/>
          <w:rFonts w:ascii="Consolas" w:hAnsi="Consolas" w:cs="Consolas"/>
          <w:sz w:val="16"/>
          <w:szCs w:val="16"/>
        </w:rPr>
        <w:t xml:space="preserve">                                      # metric | timeline</w:t>
      </w:r>
      <w:r>
        <w:rPr>
          <w:rFonts w:ascii="Consolas" w:hAnsi="Consolas" w:cs="Consolas"/>
          <w:sz w:val="16"/>
          <w:szCs w:val="16"/>
        </w:rPr>
        <w:br/>
      </w:r>
      <w:r>
        <w:rPr>
          <w:rStyle w:val="VerbatimChar"/>
          <w:rFonts w:ascii="Consolas" w:hAnsi="Consolas" w:cs="Consolas"/>
          <w:sz w:val="16"/>
          <w:szCs w:val="16"/>
        </w:rPr>
        <w:t xml:space="preserve">    rhetoric:     list[Rhetoric]      # promotional | strategic | hedged</w:t>
      </w:r>
      <w:r>
        <w:rPr>
          <w:rFonts w:ascii="Consolas" w:hAnsi="Consolas" w:cs="Consolas"/>
          <w:sz w:val="16"/>
          <w:szCs w:val="16"/>
        </w:rPr>
        <w:br/>
      </w:r>
      <w:r>
        <w:rPr>
          <w:rStyle w:val="VerbatimChar"/>
          <w:rFonts w:ascii="Consolas" w:hAnsi="Consolas" w:cs="Consolas"/>
          <w:sz w:val="16"/>
          <w:szCs w:val="16"/>
        </w:rPr>
        <w:t xml:space="preserve">    valence:      Valence             # required; never defaulted to null</w:t>
      </w:r>
      <w:r>
        <w:rPr>
          <w:rFonts w:ascii="Consolas" w:hAnsi="Consolas" w:cs="Consolas"/>
          <w:sz w:val="16"/>
          <w:szCs w:val="16"/>
        </w:rPr>
        <w:br/>
      </w:r>
      <w:r>
        <w:rPr>
          <w:rStyle w:val="VerbatimChar"/>
          <w:rFonts w:ascii="Consolas" w:hAnsi="Consolas" w:cs="Consolas"/>
          <w:sz w:val="16"/>
          <w:szCs w:val="16"/>
        </w:rPr>
        <w:t xml:space="preserve">    sentence_ids: list[int]           # &gt;= 1, validated against the paragraph</w:t>
      </w:r>
    </w:p>
    <w:p>
      <w:pPr>
        <w:pStyle w:val="FirstParagraph"/>
      </w:pPr>
      <w:r>
        <w:t xml:space="preserve">Two validators run after parsing. One de-duplicates repeated values inside a list, a real failure mode that would otherwise inflate any downstream count of list membership. The other enforces that a valence other than</w:t>
      </w:r>
      <w:r>
        <w:t xml:space="preserve"> </w:t>
      </w:r>
      <w:r>
        <w:rPr>
          <w:rStyle w:val="VerbatimChar"/>
        </w:rPr>
        <w:t xml:space="preserve">not_applicable</w:t>
      </w:r>
      <w:r>
        <w:t xml:space="preserve"> </w:t>
      </w:r>
      <w:r>
        <w:t xml:space="preserve">appears only when an outcome concept is present, so the field cannot drift into a free-floating sentiment score.</w:t>
      </w:r>
    </w:p>
    <w:p>
      <w:pPr>
        <w:pStyle w:val="Textoindependiente"/>
      </w:pPr>
      <w:r>
        <w:rPr>
          <w:b/>
          <w:bCs/>
        </w:rPr>
        <w:t xml:space="preserve">The Pass 2 prompt.</w:t>
      </w:r>
      <w:r>
        <w:t xml:space="preserve"> </w:t>
      </w:r>
      <w:r>
        <w:t xml:space="preserve">The second pass sees only the sentences the frames point at, plus a one-line description of each frame, and turns them into activities. It never revisits the classification.</w:t>
      </w:r>
    </w:p>
    <w:p>
      <w:pPr>
        <w:pStyle w:val="SourceCode"/>
        <w:jc w:val="left"/>
      </w:pPr>
      <w:r>
        <w:rPr>
          <w:rStyle w:val="VerbatimChar"/>
          <w:rFonts w:ascii="Consolas" w:hAnsi="Consolas" w:cs="Consolas"/>
          <w:sz w:val="16"/>
          <w:szCs w:val="16"/>
        </w:rPr>
        <w:t xml:space="preserve">You extract the concrete AI activities a firm discloses, for research on AI</w:t>
      </w:r>
      <w:r>
        <w:rPr>
          <w:rFonts w:ascii="Consolas" w:hAnsi="Consolas" w:cs="Consolas"/>
          <w:sz w:val="16"/>
          <w:szCs w:val="16"/>
        </w:rPr>
        <w:br/>
      </w:r>
      <w:r>
        <w:rPr>
          <w:rStyle w:val="VerbatimChar"/>
          <w:rFonts w:ascii="Consolas" w:hAnsi="Consolas" w:cs="Consolas"/>
          <w:sz w:val="16"/>
          <w:szCs w:val="16"/>
        </w:rPr>
        <w:t xml:space="preserve">disclosure. You receive: the filing firm (ticker and name); selected numbered</w:t>
      </w:r>
      <w:r>
        <w:rPr>
          <w:rFonts w:ascii="Consolas" w:hAnsi="Consolas" w:cs="Consolas"/>
          <w:sz w:val="16"/>
          <w:szCs w:val="16"/>
        </w:rPr>
        <w:br/>
      </w:r>
      <w:r>
        <w:rPr>
          <w:rStyle w:val="VerbatimChar"/>
          <w:rFonts w:ascii="Consolas" w:hAnsi="Consolas" w:cs="Consolas"/>
          <w:sz w:val="16"/>
          <w:szCs w:val="16"/>
        </w:rPr>
        <w:t xml:space="preserve">sentences from one paragraph (indices are the original ones and may be</w:t>
      </w:r>
      <w:r>
        <w:rPr>
          <w:rFonts w:ascii="Consolas" w:hAnsi="Consolas" w:cs="Consolas"/>
          <w:sz w:val="16"/>
          <w:szCs w:val="16"/>
        </w:rPr>
        <w:br/>
      </w:r>
      <w:r>
        <w:rPr>
          <w:rStyle w:val="VerbatimChar"/>
          <w:rFonts w:ascii="Consolas" w:hAnsi="Consolas" w:cs="Consolas"/>
          <w:sz w:val="16"/>
          <w:szCs w:val="16"/>
        </w:rPr>
        <w:t xml:space="preserve">non-contiguous); and the frames already identified in that paragraph, each</w:t>
      </w:r>
      <w:r>
        <w:rPr>
          <w:rFonts w:ascii="Consolas" w:hAnsi="Consolas" w:cs="Consolas"/>
          <w:sz w:val="16"/>
          <w:szCs w:val="16"/>
        </w:rPr>
        <w:br/>
      </w:r>
      <w:r>
        <w:rPr>
          <w:rStyle w:val="VerbatimChar"/>
          <w:rFonts w:ascii="Consolas" w:hAnsi="Consolas" w:cs="Consolas"/>
          <w:sz w:val="16"/>
          <w:szCs w:val="16"/>
        </w:rPr>
        <w:t xml:space="preserve">with a frame_id and its supporting sentence indices. Cite sentences by index;</w:t>
      </w:r>
      <w:r>
        <w:rPr>
          <w:rFonts w:ascii="Consolas" w:hAnsi="Consolas" w:cs="Consolas"/>
          <w:sz w:val="16"/>
          <w:szCs w:val="16"/>
        </w:rPr>
        <w:br/>
      </w:r>
      <w:r>
        <w:rPr>
          <w:rStyle w:val="VerbatimChar"/>
          <w:rFonts w:ascii="Consolas" w:hAnsi="Consolas" w:cs="Consolas"/>
          <w:sz w:val="16"/>
          <w:szCs w:val="16"/>
        </w:rPr>
        <w:t xml:space="preserve">never reproduce sentence text.</w:t>
      </w:r>
      <w:r>
        <w:rPr>
          <w:rFonts w:ascii="Consolas" w:hAnsi="Consolas" w:cs="Consolas"/>
          <w:sz w:val="16"/>
          <w:szCs w:val="16"/>
        </w:rPr>
        <w:br/>
      </w:r>
      <w:r>
        <w:rPr>
          <w:rFonts w:ascii="Consolas" w:hAnsi="Consolas" w:cs="Consolas"/>
          <w:sz w:val="16"/>
          <w:szCs w:val="16"/>
        </w:rPr>
        <w:br/>
      </w:r>
      <w:r>
        <w:rPr>
          <w:rStyle w:val="VerbatimChar"/>
          <w:rFonts w:ascii="Consolas" w:hAnsi="Consolas" w:cs="Consolas"/>
          <w:sz w:val="16"/>
          <w:szCs w:val="16"/>
        </w:rPr>
        <w:t xml:space="preserve">An activity is: the firm performs ACTION on OBJECT for FUNCTION. Produce one</w:t>
      </w:r>
      <w:r>
        <w:rPr>
          <w:rFonts w:ascii="Consolas" w:hAnsi="Consolas" w:cs="Consolas"/>
          <w:sz w:val="16"/>
          <w:szCs w:val="16"/>
        </w:rPr>
        <w:br/>
      </w:r>
      <w:r>
        <w:rPr>
          <w:rStyle w:val="VerbatimChar"/>
          <w:rFonts w:ascii="Consolas" w:hAnsi="Consolas" w:cs="Consolas"/>
          <w:sz w:val="16"/>
          <w:szCs w:val="16"/>
        </w:rPr>
        <w:t xml:space="preserve">activity per distinct (action, object, function); merge only exact</w:t>
      </w:r>
      <w:r>
        <w:rPr>
          <w:rFonts w:ascii="Consolas" w:hAnsi="Consolas" w:cs="Consolas"/>
          <w:sz w:val="16"/>
          <w:szCs w:val="16"/>
        </w:rPr>
        <w:br/>
      </w:r>
      <w:r>
        <w:rPr>
          <w:rStyle w:val="VerbatimChar"/>
          <w:rFonts w:ascii="Consolas" w:hAnsi="Consolas" w:cs="Consolas"/>
          <w:sz w:val="16"/>
          <w:szCs w:val="16"/>
        </w:rPr>
        <w:t xml:space="preserve">repetitions. Every activity sets frame_id to the frame it realizes and cites</w:t>
      </w:r>
      <w:r>
        <w:rPr>
          <w:rFonts w:ascii="Consolas" w:hAnsi="Consolas" w:cs="Consolas"/>
          <w:sz w:val="16"/>
          <w:szCs w:val="16"/>
        </w:rPr>
        <w:br/>
      </w:r>
      <w:r>
        <w:rPr>
          <w:rStyle w:val="VerbatimChar"/>
          <w:rFonts w:ascii="Consolas" w:hAnsi="Consolas" w:cs="Consolas"/>
          <w:sz w:val="16"/>
          <w:szCs w:val="16"/>
        </w:rPr>
        <w:t xml:space="preserve">at least one sentence. Zero activities is valid when the frames are too</w:t>
      </w:r>
      <w:r>
        <w:rPr>
          <w:rFonts w:ascii="Consolas" w:hAnsi="Consolas" w:cs="Consolas"/>
          <w:sz w:val="16"/>
          <w:szCs w:val="16"/>
        </w:rPr>
        <w:br/>
      </w:r>
      <w:r>
        <w:rPr>
          <w:rStyle w:val="VerbatimChar"/>
          <w:rFonts w:ascii="Consolas" w:hAnsi="Consolas" w:cs="Consolas"/>
          <w:sz w:val="16"/>
          <w:szCs w:val="16"/>
        </w:rPr>
        <w:t xml:space="preserve">generic to name an object ("AI is important to our strategy").</w:t>
      </w:r>
      <w:r>
        <w:rPr>
          <w:rFonts w:ascii="Consolas" w:hAnsi="Consolas" w:cs="Consolas"/>
          <w:sz w:val="16"/>
          <w:szCs w:val="16"/>
        </w:rPr>
        <w:br/>
      </w:r>
      <w:r>
        <w:rPr>
          <w:rFonts w:ascii="Consolas" w:hAnsi="Consolas" w:cs="Consolas"/>
          <w:sz w:val="16"/>
          <w:szCs w:val="16"/>
        </w:rPr>
        <w:br/>
      </w:r>
      <w:r>
        <w:rPr>
          <w:rStyle w:val="VerbatimChar"/>
          <w:rFonts w:ascii="Consolas" w:hAnsi="Consolas" w:cs="Consolas"/>
          <w:sz w:val="16"/>
          <w:szCs w:val="16"/>
        </w:rPr>
        <w:t xml:space="preserve">Rules:</w:t>
      </w:r>
      <w:r>
        <w:rPr>
          <w:rFonts w:ascii="Consolas" w:hAnsi="Consolas" w:cs="Consolas"/>
          <w:sz w:val="16"/>
          <w:szCs w:val="16"/>
        </w:rPr>
        <w:br/>
      </w:r>
      <w:r>
        <w:rPr>
          <w:rStyle w:val="VerbatimChar"/>
          <w:rFonts w:ascii="Consolas" w:hAnsi="Consolas" w:cs="Consolas"/>
          <w:sz w:val="16"/>
          <w:szCs w:val="16"/>
        </w:rPr>
        <w:t xml:space="preserve">- Report only what the firm itself does, did or plans. Never customers, the</w:t>
      </w:r>
      <w:r>
        <w:rPr>
          <w:rFonts w:ascii="Consolas" w:hAnsi="Consolas" w:cs="Consolas"/>
          <w:sz w:val="16"/>
          <w:szCs w:val="16"/>
        </w:rPr>
        <w:br/>
      </w:r>
      <w:r>
        <w:rPr>
          <w:rStyle w:val="VerbatimChar"/>
          <w:rFonts w:ascii="Consolas" w:hAnsi="Consolas" w:cs="Consolas"/>
          <w:sz w:val="16"/>
          <w:szCs w:val="16"/>
        </w:rPr>
        <w:t xml:space="preserve">  market or competitors.</w:t>
      </w:r>
      <w:r>
        <w:rPr>
          <w:rFonts w:ascii="Consolas" w:hAnsi="Consolas" w:cs="Consolas"/>
          <w:sz w:val="16"/>
          <w:szCs w:val="16"/>
        </w:rPr>
        <w:br/>
      </w:r>
      <w:r>
        <w:rPr>
          <w:rStyle w:val="VerbatimChar"/>
          <w:rFonts w:ascii="Consolas" w:hAnsi="Consolas" w:cs="Consolas"/>
          <w:sz w:val="16"/>
          <w:szCs w:val="16"/>
        </w:rPr>
        <w:t xml:space="preserve">- The object must be AI/ML or something the text explicitly calls AI-enabled.</w:t>
      </w:r>
      <w:r>
        <w:rPr>
          <w:rFonts w:ascii="Consolas" w:hAnsi="Consolas" w:cs="Consolas"/>
          <w:sz w:val="16"/>
          <w:szCs w:val="16"/>
        </w:rPr>
        <w:br/>
      </w:r>
      <w:r>
        <w:rPr>
          <w:rStyle w:val="VerbatimChar"/>
          <w:rFonts w:ascii="Consolas" w:hAnsi="Consolas" w:cs="Consolas"/>
          <w:sz w:val="16"/>
          <w:szCs w:val="16"/>
        </w:rPr>
        <w:t xml:space="preserve">  Generic technology, digital or data investment without AI is not an activity.</w:t>
      </w:r>
      <w:r>
        <w:rPr>
          <w:rFonts w:ascii="Consolas" w:hAnsi="Consolas" w:cs="Consolas"/>
          <w:sz w:val="16"/>
          <w:szCs w:val="16"/>
        </w:rPr>
        <w:br/>
      </w:r>
      <w:r>
        <w:rPr>
          <w:rStyle w:val="VerbatimChar"/>
          <w:rFonts w:ascii="Consolas" w:hAnsi="Consolas" w:cs="Consolas"/>
          <w:sz w:val="16"/>
          <w:szCs w:val="16"/>
        </w:rPr>
        <w:t xml:space="preserve">- The filing firm, its subsidiaries and its "our X" products are own_brand</w:t>
      </w:r>
      <w:r>
        <w:rPr>
          <w:rFonts w:ascii="Consolas" w:hAnsi="Consolas" w:cs="Consolas"/>
          <w:sz w:val="16"/>
          <w:szCs w:val="16"/>
        </w:rPr>
        <w:br/>
      </w:r>
      <w:r>
        <w:rPr>
          <w:rStyle w:val="VerbatimChar"/>
          <w:rFonts w:ascii="Consolas" w:hAnsi="Consolas" w:cs="Consolas"/>
          <w:sz w:val="16"/>
          <w:szCs w:val="16"/>
        </w:rPr>
        <w:t xml:space="preserve">  with source=own. Only a clearly different company or its product is</w:t>
      </w:r>
      <w:r>
        <w:rPr>
          <w:rFonts w:ascii="Consolas" w:hAnsi="Consolas" w:cs="Consolas"/>
          <w:sz w:val="16"/>
          <w:szCs w:val="16"/>
        </w:rPr>
        <w:br/>
      </w:r>
      <w:r>
        <w:rPr>
          <w:rStyle w:val="VerbatimChar"/>
          <w:rFonts w:ascii="Consolas" w:hAnsi="Consolas" w:cs="Consolas"/>
          <w:sz w:val="16"/>
          <w:szCs w:val="16"/>
        </w:rPr>
        <w:t xml:space="preserve">  provider, model or partner.</w:t>
      </w:r>
      <w:r>
        <w:rPr>
          <w:rFonts w:ascii="Consolas" w:hAnsi="Consolas" w:cs="Consolas"/>
          <w:sz w:val="16"/>
          <w:szCs w:val="16"/>
        </w:rPr>
        <w:br/>
      </w:r>
      <w:r>
        <w:rPr>
          <w:rStyle w:val="VerbatimChar"/>
          <w:rFonts w:ascii="Consolas" w:hAnsi="Consolas" w:cs="Consolas"/>
          <w:sz w:val="16"/>
          <w:szCs w:val="16"/>
        </w:rPr>
        <w:t xml:space="preserve">- object: 1-3 lowercase generic words ("copilot", "fraud model"). Brand names,</w:t>
      </w:r>
      <w:r>
        <w:rPr>
          <w:rFonts w:ascii="Consolas" w:hAnsi="Consolas" w:cs="Consolas"/>
          <w:sz w:val="16"/>
          <w:szCs w:val="16"/>
        </w:rPr>
        <w:br/>
      </w:r>
      <w:r>
        <w:rPr>
          <w:rStyle w:val="VerbatimChar"/>
          <w:rFonts w:ascii="Consolas" w:hAnsi="Consolas" w:cs="Consolas"/>
          <w:sz w:val="16"/>
          <w:szCs w:val="16"/>
        </w:rPr>
        <w:t xml:space="preserve">  companies and model names go in entities with their role, every one of them.</w:t>
      </w:r>
      <w:r>
        <w:rPr>
          <w:rFonts w:ascii="Consolas" w:hAnsi="Consolas" w:cs="Consolas"/>
          <w:sz w:val="16"/>
          <w:szCs w:val="16"/>
        </w:rPr>
        <w:br/>
      </w:r>
      <w:r>
        <w:rPr>
          <w:rStyle w:val="VerbatimChar"/>
          <w:rFonts w:ascii="Consolas" w:hAnsi="Consolas" w:cs="Consolas"/>
          <w:sz w:val="16"/>
          <w:szCs w:val="16"/>
        </w:rPr>
        <w:t xml:space="preserve">- function: snake_case verb_noun; "unspecified" if the text gives none. Do not</w:t>
      </w:r>
      <w:r>
        <w:rPr>
          <w:rFonts w:ascii="Consolas" w:hAnsi="Consolas" w:cs="Consolas"/>
          <w:sz w:val="16"/>
          <w:szCs w:val="16"/>
        </w:rPr>
        <w:br/>
      </w:r>
      <w:r>
        <w:rPr>
          <w:rStyle w:val="VerbatimChar"/>
          <w:rFonts w:ascii="Consolas" w:hAnsi="Consolas" w:cs="Consolas"/>
          <w:sz w:val="16"/>
          <w:szCs w:val="16"/>
        </w:rPr>
        <w:t xml:space="preserve">  invent an object or function.</w:t>
      </w:r>
      <w:r>
        <w:rPr>
          <w:rFonts w:ascii="Consolas" w:hAnsi="Consolas" w:cs="Consolas"/>
          <w:sz w:val="16"/>
          <w:szCs w:val="16"/>
        </w:rPr>
        <w:br/>
      </w:r>
      <w:r>
        <w:rPr>
          <w:rStyle w:val="VerbatimChar"/>
          <w:rFonts w:ascii="Consolas" w:hAnsi="Consolas" w:cs="Consolas"/>
          <w:sz w:val="16"/>
          <w:szCs w:val="16"/>
        </w:rPr>
        <w:t xml:space="preserve">- stage is the maturity of the asset as stated (exploring, piloting, deployed,</w:t>
      </w:r>
      <w:r>
        <w:rPr>
          <w:rFonts w:ascii="Consolas" w:hAnsi="Consolas" w:cs="Consolas"/>
          <w:sz w:val="16"/>
          <w:szCs w:val="16"/>
        </w:rPr>
        <w:br/>
      </w:r>
      <w:r>
        <w:rPr>
          <w:rStyle w:val="VerbatimChar"/>
          <w:rFonts w:ascii="Consolas" w:hAnsi="Consolas" w:cs="Consolas"/>
          <w:sz w:val="16"/>
          <w:szCs w:val="16"/>
        </w:rPr>
        <w:t xml:space="preserve">  scaled), not the tense of the sentence. "We plan to deploy" is action=deploy;</w:t>
      </w:r>
      <w:r>
        <w:rPr>
          <w:rFonts w:ascii="Consolas" w:hAnsi="Consolas" w:cs="Consolas"/>
          <w:sz w:val="16"/>
          <w:szCs w:val="16"/>
        </w:rPr>
        <w:br/>
      </w:r>
      <w:r>
        <w:rPr>
          <w:rStyle w:val="VerbatimChar"/>
          <w:rFonts w:ascii="Consolas" w:hAnsi="Consolas" w:cs="Consolas"/>
          <w:sz w:val="16"/>
          <w:szCs w:val="16"/>
        </w:rPr>
        <w:t xml:space="preserve">  stage is whatever the text states, otherwise unspecified.</w:t>
      </w:r>
      <w:r>
        <w:rPr>
          <w:rFonts w:ascii="Consolas" w:hAnsi="Consolas" w:cs="Consolas"/>
          <w:sz w:val="16"/>
          <w:szCs w:val="16"/>
        </w:rPr>
        <w:br/>
      </w:r>
      <w:r>
        <w:rPr>
          <w:rStyle w:val="VerbatimChar"/>
          <w:rFonts w:ascii="Consolas" w:hAnsi="Consolas" w:cs="Consolas"/>
          <w:sz w:val="16"/>
          <w:szCs w:val="16"/>
        </w:rPr>
        <w:t xml:space="preserve">- metrics: one entry per number the text attaches to the activity. raw is the</w:t>
      </w:r>
      <w:r>
        <w:rPr>
          <w:rFonts w:ascii="Consolas" w:hAnsi="Consolas" w:cs="Consolas"/>
          <w:sz w:val="16"/>
          <w:szCs w:val="16"/>
        </w:rPr>
        <w:br/>
      </w:r>
      <w:r>
        <w:rPr>
          <w:rStyle w:val="VerbatimChar"/>
          <w:rFonts w:ascii="Consolas" w:hAnsi="Consolas" w:cs="Consolas"/>
          <w:sz w:val="16"/>
          <w:szCs w:val="16"/>
        </w:rPr>
        <w:t xml:space="preserve">  verbatim span (max 6 words). value is the normalized number: USD as a full</w:t>
      </w:r>
      <w:r>
        <w:rPr>
          <w:rFonts w:ascii="Consolas" w:hAnsi="Consolas" w:cs="Consolas"/>
          <w:sz w:val="16"/>
          <w:szCs w:val="16"/>
        </w:rPr>
        <w:br/>
      </w:r>
      <w:r>
        <w:rPr>
          <w:rStyle w:val="VerbatimChar"/>
          <w:rFonts w:ascii="Consolas" w:hAnsi="Consolas" w:cs="Consolas"/>
          <w:sz w:val="16"/>
          <w:szCs w:val="16"/>
        </w:rPr>
        <w:t xml:space="preserve">  float ($10M -&gt; 10000000.0), percentages as decimals (15% -&gt; 0.15), counts</w:t>
      </w:r>
      <w:r>
        <w:rPr>
          <w:rFonts w:ascii="Consolas" w:hAnsi="Consolas" w:cs="Consolas"/>
          <w:sz w:val="16"/>
          <w:szCs w:val="16"/>
        </w:rPr>
        <w:br/>
      </w:r>
      <w:r>
        <w:rPr>
          <w:rStyle w:val="VerbatimChar"/>
          <w:rFonts w:ascii="Consolas" w:hAnsi="Consolas" w:cs="Consolas"/>
          <w:sz w:val="16"/>
          <w:szCs w:val="16"/>
        </w:rPr>
        <w:t xml:space="preserve">  and headcounts as integers. Leave value null for vague quantities</w:t>
      </w:r>
      <w:r>
        <w:rPr>
          <w:rFonts w:ascii="Consolas" w:hAnsi="Consolas" w:cs="Consolas"/>
          <w:sz w:val="16"/>
          <w:szCs w:val="16"/>
        </w:rPr>
        <w:br/>
      </w:r>
      <w:r>
        <w:rPr>
          <w:rStyle w:val="VerbatimChar"/>
          <w:rFonts w:ascii="Consolas" w:hAnsi="Consolas" w:cs="Consolas"/>
          <w:sz w:val="16"/>
          <w:szCs w:val="16"/>
        </w:rPr>
        <w:t xml:space="preserve">  ("hundreds", "significant"). For a range set value to the minimum and</w:t>
      </w:r>
      <w:r>
        <w:rPr>
          <w:rFonts w:ascii="Consolas" w:hAnsi="Consolas" w:cs="Consolas"/>
          <w:sz w:val="16"/>
          <w:szCs w:val="16"/>
        </w:rPr>
        <w:br/>
      </w:r>
      <w:r>
        <w:rPr>
          <w:rStyle w:val="VerbatimChar"/>
          <w:rFonts w:ascii="Consolas" w:hAnsi="Consolas" w:cs="Consolas"/>
          <w:sz w:val="16"/>
          <w:szCs w:val="16"/>
        </w:rPr>
        <w:t xml:space="preserve">  value_max to the maximum. Never invent a number.</w:t>
      </w:r>
      <w:r>
        <w:rPr>
          <w:rFonts w:ascii="Consolas" w:hAnsi="Consolas" w:cs="Consolas"/>
          <w:sz w:val="16"/>
          <w:szCs w:val="16"/>
        </w:rPr>
        <w:br/>
      </w:r>
      <w:r>
        <w:rPr>
          <w:rStyle w:val="VerbatimChar"/>
          <w:rFonts w:ascii="Consolas" w:hAnsi="Consolas" w:cs="Consolas"/>
          <w:sz w:val="16"/>
          <w:szCs w:val="16"/>
        </w:rPr>
        <w:t xml:space="preserve">- evidence_type: named if a product or process is named, metric if a figure is</w:t>
      </w:r>
      <w:r>
        <w:rPr>
          <w:rFonts w:ascii="Consolas" w:hAnsi="Consolas" w:cs="Consolas"/>
          <w:sz w:val="16"/>
          <w:szCs w:val="16"/>
        </w:rPr>
        <w:br/>
      </w:r>
      <w:r>
        <w:rPr>
          <w:rStyle w:val="VerbatimChar"/>
          <w:rFonts w:ascii="Consolas" w:hAnsi="Consolas" w:cs="Consolas"/>
          <w:sz w:val="16"/>
          <w:szCs w:val="16"/>
        </w:rPr>
        <w:t xml:space="preserve">  given, vendor if a provider is named, generic otherwise. If several apply,</w:t>
      </w:r>
      <w:r>
        <w:rPr>
          <w:rFonts w:ascii="Consolas" w:hAnsi="Consolas" w:cs="Consolas"/>
          <w:sz w:val="16"/>
          <w:szCs w:val="16"/>
        </w:rPr>
        <w:br/>
      </w:r>
      <w:r>
        <w:rPr>
          <w:rStyle w:val="VerbatimChar"/>
          <w:rFonts w:ascii="Consolas" w:hAnsi="Consolas" w:cs="Consolas"/>
          <w:sz w:val="16"/>
          <w:szCs w:val="16"/>
        </w:rPr>
        <w:t xml:space="preserve">  pick the strongest in the order metric &gt; named &gt; vendor &gt; generic.</w:t>
      </w:r>
    </w:p>
    <w:p>
      <w:pPr>
        <w:pStyle w:val="FirstParagraph"/>
      </w:pPr>
      <w:r>
        <w:rPr>
          <w:b/>
          <w:bCs/>
        </w:rPr>
        <w:t xml:space="preserve">Pass 2 output schema.</w:t>
      </w:r>
      <w:r>
        <w:t xml:space="preserve"> </w:t>
      </w:r>
      <w:r>
        <w:t xml:space="preserve">The answer is a</w:t>
      </w:r>
      <w:r>
        <w:t xml:space="preserve"> </w:t>
      </w:r>
      <w:r>
        <w:rPr>
          <w:rStyle w:val="VerbatimChar"/>
        </w:rPr>
        <w:t xml:space="preserve">ParagraphActivities</w:t>
      </w:r>
      <w:r>
        <w:t xml:space="preserve">, a list that may again be empty. Each activity is:</w:t>
      </w:r>
    </w:p>
    <w:p>
      <w:pPr>
        <w:pStyle w:val="SourceCode"/>
        <w:jc w:val="left"/>
      </w:pPr>
      <w:r>
        <w:rPr>
          <w:rStyle w:val="VerbatimChar"/>
          <w:rFonts w:ascii="Consolas" w:hAnsi="Consolas" w:cs="Consolas"/>
          <w:sz w:val="16"/>
          <w:szCs w:val="16"/>
        </w:rPr>
        <w:t xml:space="preserve">class AIActivity(BaseModel):</w:t>
      </w:r>
      <w:r>
        <w:rPr>
          <w:rFonts w:ascii="Consolas" w:hAnsi="Consolas" w:cs="Consolas"/>
          <w:sz w:val="16"/>
          <w:szCs w:val="16"/>
        </w:rPr>
        <w:br/>
      </w:r>
      <w:r>
        <w:rPr>
          <w:rStyle w:val="VerbatimChar"/>
          <w:rFonts w:ascii="Consolas" w:hAnsi="Consolas" w:cs="Consolas"/>
          <w:sz w:val="16"/>
          <w:szCs w:val="16"/>
        </w:rPr>
        <w:t xml:space="preserve">    frame_id:     int                 # the Pass 1 frame this realizes</w:t>
      </w:r>
      <w:r>
        <w:rPr>
          <w:rFonts w:ascii="Consolas" w:hAnsi="Consolas" w:cs="Consolas"/>
          <w:sz w:val="16"/>
          <w:szCs w:val="16"/>
        </w:rPr>
        <w:br/>
      </w:r>
      <w:r>
        <w:rPr>
          <w:rStyle w:val="VerbatimChar"/>
          <w:rFonts w:ascii="Consolas" w:hAnsi="Consolas" w:cs="Consolas"/>
          <w:sz w:val="16"/>
          <w:szCs w:val="16"/>
        </w:rPr>
        <w:t xml:space="preserve">    action:       Action              # deploy | develop | partner | pilot | ...</w:t>
      </w:r>
      <w:r>
        <w:rPr>
          <w:rFonts w:ascii="Consolas" w:hAnsi="Consolas" w:cs="Consolas"/>
          <w:sz w:val="16"/>
          <w:szCs w:val="16"/>
        </w:rPr>
        <w:br/>
      </w:r>
      <w:r>
        <w:rPr>
          <w:rStyle w:val="VerbatimChar"/>
          <w:rFonts w:ascii="Consolas" w:hAnsi="Consolas" w:cs="Consolas"/>
          <w:sz w:val="16"/>
          <w:szCs w:val="16"/>
        </w:rPr>
        <w:t xml:space="preserve">    object:       str                 # 1-3 lowercase generic words</w:t>
      </w:r>
      <w:r>
        <w:rPr>
          <w:rFonts w:ascii="Consolas" w:hAnsi="Consolas" w:cs="Consolas"/>
          <w:sz w:val="16"/>
          <w:szCs w:val="16"/>
        </w:rPr>
        <w:br/>
      </w:r>
      <w:r>
        <w:rPr>
          <w:rStyle w:val="VerbatimChar"/>
          <w:rFonts w:ascii="Consolas" w:hAnsi="Consolas" w:cs="Consolas"/>
          <w:sz w:val="16"/>
          <w:szCs w:val="16"/>
        </w:rPr>
        <w:t xml:space="preserve">    function:     str                 # snake_case verb_noun, or "unspecified"</w:t>
      </w:r>
      <w:r>
        <w:rPr>
          <w:rFonts w:ascii="Consolas" w:hAnsi="Consolas" w:cs="Consolas"/>
          <w:sz w:val="16"/>
          <w:szCs w:val="16"/>
        </w:rPr>
        <w:br/>
      </w:r>
      <w:r>
        <w:rPr>
          <w:rStyle w:val="VerbatimChar"/>
          <w:rFonts w:ascii="Consolas" w:hAnsi="Consolas" w:cs="Consolas"/>
          <w:sz w:val="16"/>
          <w:szCs w:val="16"/>
        </w:rPr>
        <w:t xml:space="preserve">    target:       Target              # customers | internal_process | ...</w:t>
      </w:r>
      <w:r>
        <w:rPr>
          <w:rFonts w:ascii="Consolas" w:hAnsi="Consolas" w:cs="Consolas"/>
          <w:sz w:val="16"/>
          <w:szCs w:val="16"/>
        </w:rPr>
        <w:br/>
      </w:r>
      <w:r>
        <w:rPr>
          <w:rStyle w:val="VerbatimChar"/>
          <w:rFonts w:ascii="Consolas" w:hAnsi="Consolas" w:cs="Consolas"/>
          <w:sz w:val="16"/>
          <w:szCs w:val="16"/>
        </w:rPr>
        <w:t xml:space="preserve">    stage:        Stage               # exploring | piloting | deployed | scaled</w:t>
      </w:r>
      <w:r>
        <w:rPr>
          <w:rFonts w:ascii="Consolas" w:hAnsi="Consolas" w:cs="Consolas"/>
          <w:sz w:val="16"/>
          <w:szCs w:val="16"/>
        </w:rPr>
        <w:br/>
      </w:r>
      <w:r>
        <w:rPr>
          <w:rStyle w:val="VerbatimChar"/>
          <w:rFonts w:ascii="Consolas" w:hAnsi="Consolas" w:cs="Consolas"/>
          <w:sz w:val="16"/>
          <w:szCs w:val="16"/>
        </w:rPr>
        <w:t xml:space="preserve">    source:       Source              # own | vendor | partner | acquired</w:t>
      </w:r>
      <w:r>
        <w:rPr>
          <w:rFonts w:ascii="Consolas" w:hAnsi="Consolas" w:cs="Consolas"/>
          <w:sz w:val="16"/>
          <w:szCs w:val="16"/>
        </w:rPr>
        <w:br/>
      </w:r>
      <w:r>
        <w:rPr>
          <w:rStyle w:val="VerbatimChar"/>
          <w:rFonts w:ascii="Consolas" w:hAnsi="Consolas" w:cs="Consolas"/>
          <w:sz w:val="16"/>
          <w:szCs w:val="16"/>
        </w:rPr>
        <w:t xml:space="preserve">    entities:     list[Entity]        # {name, role}: own_brand | provider |</w:t>
      </w:r>
      <w:r>
        <w:rPr>
          <w:rFonts w:ascii="Consolas" w:hAnsi="Consolas" w:cs="Consolas"/>
          <w:sz w:val="16"/>
          <w:szCs w:val="16"/>
        </w:rPr>
        <w:br/>
      </w:r>
      <w:r>
        <w:rPr>
          <w:rStyle w:val="VerbatimChar"/>
          <w:rFonts w:ascii="Consolas" w:hAnsi="Consolas" w:cs="Consolas"/>
          <w:sz w:val="16"/>
          <w:szCs w:val="16"/>
        </w:rPr>
        <w:t xml:space="preserve">                                      # model | partner</w:t>
      </w:r>
      <w:r>
        <w:rPr>
          <w:rFonts w:ascii="Consolas" w:hAnsi="Consolas" w:cs="Consolas"/>
          <w:sz w:val="16"/>
          <w:szCs w:val="16"/>
        </w:rPr>
        <w:br/>
      </w:r>
      <w:r>
        <w:rPr>
          <w:rStyle w:val="VerbatimChar"/>
          <w:rFonts w:ascii="Consolas" w:hAnsi="Consolas" w:cs="Consolas"/>
          <w:sz w:val="16"/>
          <w:szCs w:val="16"/>
        </w:rPr>
        <w:t xml:space="preserve">    metrics:      list[Metric]        # {raw, value, value_max, unit, measures}</w:t>
      </w:r>
      <w:r>
        <w:rPr>
          <w:rFonts w:ascii="Consolas" w:hAnsi="Consolas" w:cs="Consolas"/>
          <w:sz w:val="16"/>
          <w:szCs w:val="16"/>
        </w:rPr>
        <w:br/>
      </w:r>
      <w:r>
        <w:rPr>
          <w:rStyle w:val="VerbatimChar"/>
          <w:rFonts w:ascii="Consolas" w:hAnsi="Consolas" w:cs="Consolas"/>
          <w:sz w:val="16"/>
          <w:szCs w:val="16"/>
        </w:rPr>
        <w:t xml:space="preserve">    evidence_type: Evidence           # metric &gt; named &gt; vendor &gt; generic</w:t>
      </w:r>
      <w:r>
        <w:rPr>
          <w:rFonts w:ascii="Consolas" w:hAnsi="Consolas" w:cs="Consolas"/>
          <w:sz w:val="16"/>
          <w:szCs w:val="16"/>
        </w:rPr>
        <w:br/>
      </w:r>
      <w:r>
        <w:rPr>
          <w:rStyle w:val="VerbatimChar"/>
          <w:rFonts w:ascii="Consolas" w:hAnsi="Consolas" w:cs="Consolas"/>
          <w:sz w:val="16"/>
          <w:szCs w:val="16"/>
        </w:rPr>
        <w:t xml:space="preserve">    sentence_ids: list[int]           # &gt;= 1, validated against the window</w:t>
      </w:r>
    </w:p>
    <w:p>
      <w:pPr>
        <w:pStyle w:val="FirstParagraph"/>
      </w:pPr>
      <w:r>
        <w:t xml:space="preserve">Three validators run after parsing. Entities are de-duplicated on the (name, role) pair, the same failure mode the frame schema guards against. A reversed metric range is normalized rather than rejected. And</w:t>
      </w:r>
      <w:r>
        <w:t xml:space="preserve"> </w:t>
      </w:r>
      <w:r>
        <w:rPr>
          <w:rStyle w:val="VerbatimChar"/>
        </w:rPr>
        <w:t xml:space="preserve">frame_id</w:t>
      </w:r>
      <w:r>
        <w:t xml:space="preserve"> </w:t>
      </w:r>
      <w:r>
        <w:t xml:space="preserve">and</w:t>
      </w:r>
      <w:r>
        <w:t xml:space="preserve"> </w:t>
      </w:r>
      <w:r>
        <w:rPr>
          <w:rStyle w:val="VerbatimChar"/>
        </w:rPr>
        <w:t xml:space="preserve">sentence_ids</w:t>
      </w:r>
      <w:r>
        <w:t xml:space="preserve"> </w:t>
      </w:r>
      <w:r>
        <w:t xml:space="preserve">are checked against the frames and the sentence window the prompt actually offered, so an activity cannot cite something it was never shown.</w:t>
      </w:r>
    </w:p>
    <w:p>
      <w:pPr>
        <w:pStyle w:val="Textoindependiente"/>
      </w:pPr>
      <w:r>
        <w:rPr>
          <w:b/>
          <w:bCs/>
        </w:rPr>
        <w:t xml:space="preserve">A worked extraction.</w:t>
      </w:r>
      <w:r>
        <w:t xml:space="preserve"> </w:t>
      </w:r>
      <w:r>
        <w:t xml:space="preserve">One paragraph from Accenture’s FY2024 Form 10-K carries the whole chain. The source sentence reads:</w:t>
      </w:r>
      <w:r>
        <w:t xml:space="preserve"> </w:t>
      </w:r>
      <w:r>
        <w:rPr>
          <w:i/>
          <w:iCs/>
        </w:rPr>
        <w:t xml:space="preserve">“With our digital learning platform, we delivered approximately 44 million training hours, an increase of 10% compared with fiscal 2023, predominantly due to generative AI training.”</w:t>
      </w:r>
    </w:p>
    <w:p>
      <w:pPr>
        <w:pStyle w:val="Textoindependiente"/>
      </w:pPr>
      <w:r>
        <w:t xml:space="preserve">Pass 1 returns a single frame:</w:t>
      </w:r>
      <w:r>
        <w:t xml:space="preserve"> </w:t>
      </w:r>
      <w:r>
        <w:rPr>
          <w:rStyle w:val="VerbatimChar"/>
        </w:rPr>
        <w:t xml:space="preserve">subject=firm</w:t>
      </w:r>
      <w:r>
        <w:t xml:space="preserve">,</w:t>
      </w:r>
      <w:r>
        <w:t xml:space="preserve"> </w:t>
      </w:r>
      <w:r>
        <w:rPr>
          <w:rStyle w:val="VerbatimChar"/>
        </w:rPr>
        <w:t xml:space="preserve">ai_type=generative</w:t>
      </w:r>
      <w:r>
        <w:t xml:space="preserve">,</w:t>
      </w:r>
      <w:r>
        <w:t xml:space="preserve"> </w:t>
      </w:r>
      <w:r>
        <w:rPr>
          <w:rStyle w:val="VerbatimChar"/>
        </w:rPr>
        <w:t xml:space="preserve">temporal=realized</w:t>
      </w:r>
      <w:r>
        <w:t xml:space="preserve">, with a productivity outcome concept,</w:t>
      </w:r>
      <w:r>
        <w:t xml:space="preserve"> </w:t>
      </w:r>
      <w:r>
        <w:rPr>
          <w:rStyle w:val="VerbatimChar"/>
        </w:rPr>
        <w:t xml:space="preserve">specificity=[process, metric]</w:t>
      </w:r>
      <w:r>
        <w:t xml:space="preserve">,</w:t>
      </w:r>
      <w:r>
        <w:t xml:space="preserve"> </w:t>
      </w:r>
      <w:r>
        <w:rPr>
          <w:rStyle w:val="VerbatimChar"/>
        </w:rPr>
        <w:t xml:space="preserve">valence=positive</w:t>
      </w:r>
      <w:r>
        <w:t xml:space="preserve">, citing the one sentence. Because the subject is the firm and the temporal state is realized, the paragraph goes to Pass 2, which extracts one activity: the action triple is</w:t>
      </w:r>
      <w:r>
        <w:t xml:space="preserve"> </w:t>
      </w:r>
      <w:r>
        <w:rPr>
          <w:i/>
          <w:iCs/>
        </w:rPr>
        <w:t xml:space="preserve">deploy / generative AI training / train_employees</w:t>
      </w:r>
      <w:r>
        <w:t xml:space="preserve">, the stage is</w:t>
      </w:r>
      <w:r>
        <w:t xml:space="preserve"> </w:t>
      </w:r>
      <w:r>
        <w:rPr>
          <w:rStyle w:val="VerbatimChar"/>
        </w:rPr>
        <w:t xml:space="preserve">deployed</w:t>
      </w:r>
      <w:r>
        <w:t xml:space="preserve">, the technology is own-sourced, the beneficiary is an internal process, the evidence type is</w:t>
      </w:r>
      <w:r>
        <w:t xml:space="preserve"> </w:t>
      </w:r>
      <w:r>
        <w:rPr>
          <w:rStyle w:val="VerbatimChar"/>
        </w:rPr>
        <w:t xml:space="preserve">metric</w:t>
      </w:r>
      <w:r>
        <w:t xml:space="preserve">, and the quantity captured is 44 million training hours.</w:t>
      </w:r>
    </w:p>
    <w:p>
      <w:pPr>
        <w:pStyle w:val="Textoindependiente"/>
      </w:pPr>
      <w:r>
        <w:t xml:space="preserve">That single row then moves four measures. It adds one AI frame to the numerator of disclosure intensity (</w:t>
      </w:r>
      <m:oMath>
        <m:r>
          <w:rPr>
            <w:sz w:val="22"/>
          </w:rPr>
          <m:t>D</m:t>
        </m:r>
      </m:oMath>
      <w:r>
        <w:t xml:space="preserve">) for that firm-year. Its</w:t>
      </w:r>
      <w:r>
        <w:t xml:space="preserve"> </w:t>
      </w:r>
      <w:r>
        <w:rPr>
          <w:rStyle w:val="VerbatimChar"/>
        </w:rPr>
        <w:t xml:space="preserve">specificity</w:t>
      </w:r>
      <w:r>
        <w:t xml:space="preserve"> </w:t>
      </w:r>
      <w:r>
        <w:t xml:space="preserve">flags feed the specificity dimension of posture (</w:t>
      </w:r>
      <m:oMath>
        <m:r>
          <w:rPr>
            <w:sz w:val="22"/>
          </w:rPr>
          <m:t>P</m:t>
        </m:r>
      </m:oMath>
      <w:r>
        <w:t xml:space="preserve">). It adds one unit to disclosed activity (</w:t>
      </w:r>
      <m:oMath>
        <m:r>
          <w:rPr>
            <w:sz w:val="22"/>
          </w:rPr>
          <m:t>A</m:t>
        </m:r>
      </m:oMath>
      <w:r>
        <w:t xml:space="preserve">). And it clears three rungs of the grounding ladder, since it names a business function, reports a deployed stage and carries a quantified figure, while failing the two that would require a named product and a named external provider, so it contributes 0.6 to that firm’s grounding (</w:t>
      </w:r>
      <m:oMath>
        <m:r>
          <w:rPr>
            <w:sz w:val="22"/>
          </w:rPr>
          <m:t>G</m:t>
        </m:r>
      </m:oMath>
      <w:r>
        <w:t xml:space="preserve">) before the empirical-Bayes shrinkage. The same anchor works backwards: the sentence index stored on the row returns the reader to this exact sentence in EDGAR.</w:t>
      </w:r>
    </w:p>
    <w:p>
      <w:pPr>
        <w:pStyle w:val="Textoindependiente"/>
      </w:pPr>
      <w:r>
        <w:rPr>
          <w:b/>
          <w:bCs/>
        </w:rPr>
        <w:t xml:space="preserve">Traceability and audit anchors.</w:t>
      </w:r>
      <w:r>
        <w:t xml:space="preserve"> </w:t>
      </w:r>
      <w:r>
        <w:t xml:space="preserve">So that the chain can be audited end to end, every extracted frame and every disclosed activity is bound to a zero-indexed list of sentence citations inside its source paragraph (</w:t>
      </w:r>
      <w:r>
        <w:rPr>
          <w:rStyle w:val="VerbatimChar"/>
        </w:rPr>
        <w:t xml:space="preserve">sentence_ids</w:t>
      </w:r>
      <w:r>
        <w:t xml:space="preserve">). Any aggregate index, regression coefficient or quoted case in this study can be traced back to the exact sentence published in EDGAR or spoken on the call.</w:t>
      </w:r>
    </w:p>
    <w:bookmarkEnd w:id="181"/>
    <w:bookmarkStart w:id="184" w:name="appendix-a6"/>
    <w:p>
      <w:pPr>
        <w:pStyle w:val="Ttulo3"/>
      </w:pPr>
      <w:r>
        <w:t xml:space="preserve">A.6 Construction of disclosure measures</w:t>
      </w:r>
    </w:p>
    <w:p>
      <w:pPr>
        <w:pStyle w:val="FirstParagraph"/>
      </w:pPr>
      <w:r>
        <w:t xml:space="preserve">Extracted semantic frames and operational activities are aggregated into six core construct measures:</w:t>
      </w:r>
    </w:p>
    <w:p>
      <w:pPr>
        <w:pStyle w:val="Textoindependiente"/>
      </w:pPr>
      <m:oMathPara>
        <m:oMathParaPr>
          <m:jc m:val="center"/>
        </m:oMathParaPr>
        <m:oMath>
          <m:limLow>
            <m:e>
              <m:limLow>
                <m:e>
                  <m:r>
                    <m:rPr>
                      <m:nor/>
                      <m:sty m:val="p"/>
                    </m:rPr>
                    <w:rPr>
                      <w:sz w:val="22"/>
                    </w:rPr>
                    <m:t>Semantic frames</m:t>
                  </m:r>
                </m:e>
                <m:lim>
                  <m:r>
                    <m:rPr>
                      <m:sty m:val="p"/>
                    </m:rPr>
                    <w:rPr>
                      <w:sz w:val="22"/>
                    </w:rPr>
                    <m:t>⏟</m:t>
                  </m:r>
                </m:lim>
              </m:limLow>
            </m:e>
            <m:lim>
              <m:r>
                <m:rPr>
                  <m:nor/>
                  <m:sty m:val="p"/>
                </m:rPr>
                <w:rPr>
                  <w:sz w:val="22"/>
                </w:rPr>
                <m:t>Pass 1</m:t>
              </m:r>
            </m:lim>
          </m:limLow>
          <m:r>
            <m:rPr>
              <m:sty m:val="p"/>
            </m:rPr>
            <w:rPr>
              <w:sz w:val="22"/>
            </w:rPr>
            <m:t>⇒</m:t>
          </m:r>
          <m:r>
            <w:rPr>
              <w:sz w:val="22"/>
            </w:rPr>
            <m:t>D</m:t>
          </m:r>
          <m:r>
            <m:rPr>
              <m:sty m:val="p"/>
            </m:rPr>
            <w:rPr>
              <w:sz w:val="22"/>
            </w:rPr>
            <m:t>,</m:t>
          </m:r>
          <m:r>
            <w:rPr>
              <w:sz w:val="22"/>
            </w:rPr>
            <m:t>P</m:t>
          </m:r>
          <m:r>
            <w:rPr>
              <w:sz w:val="22"/>
            </w:rPr>
            <m:t>  </m:t>
          </m:r>
          <m:r>
            <w:rPr>
              <w:sz w:val="22"/>
            </w:rPr>
            <m:t>  </m:t>
          </m:r>
          <m:limLow>
            <m:e>
              <m:limLow>
                <m:e>
                  <m:r>
                    <m:rPr>
                      <m:nor/>
                      <m:sty m:val="p"/>
                    </m:rPr>
                    <w:rPr>
                      <w:sz w:val="22"/>
                    </w:rPr>
                    <m:t>Disclosed AI activities</m:t>
                  </m:r>
                </m:e>
                <m:lim>
                  <m:r>
                    <m:rPr>
                      <m:sty m:val="p"/>
                    </m:rPr>
                    <w:rPr>
                      <w:sz w:val="22"/>
                    </w:rPr>
                    <m:t>⏟</m:t>
                  </m:r>
                </m:lim>
              </m:limLow>
            </m:e>
            <m:lim>
              <m:r>
                <m:rPr>
                  <m:nor/>
                  <m:sty m:val="p"/>
                </m:rPr>
                <w:rPr>
                  <w:sz w:val="22"/>
                </w:rPr>
                <m:t>Pass 2</m:t>
              </m:r>
            </m:lim>
          </m:limLow>
          <m:r>
            <m:rPr>
              <m:sty m:val="p"/>
            </m:rPr>
            <w:rPr>
              <w:sz w:val="22"/>
            </w:rPr>
            <m:t>⇒</m:t>
          </m:r>
          <m:r>
            <w:rPr>
              <w:sz w:val="22"/>
            </w:rPr>
            <m:t>A</m:t>
          </m:r>
          <m:r>
            <m:rPr>
              <m:sty m:val="p"/>
            </m:rPr>
            <w:rPr>
              <w:sz w:val="22"/>
            </w:rPr>
            <m:t>,</m:t>
          </m:r>
          <m:r>
            <w:rPr>
              <w:sz w:val="22"/>
            </w:rPr>
            <m:t>G</m:t>
          </m:r>
          <m:r>
            <w:rPr>
              <w:sz w:val="22"/>
            </w:rPr>
            <m:t>  </m:t>
          </m:r>
          <m:r>
            <w:rPr>
              <w:sz w:val="22"/>
            </w:rPr>
            <m:t>  </m:t>
          </m:r>
          <m:d>
            <m:dPr>
              <m:begChr m:val="("/>
              <m:sepChr m:val=""/>
              <m:endChr m:val=")"/>
              <m:grow/>
            </m:dPr>
            <m:e>
              <m:r>
                <w:rPr>
                  <w:sz w:val="22"/>
                </w:rPr>
                <m:t>D</m:t>
              </m:r>
              <m:r>
                <m:rPr>
                  <m:sty m:val="p"/>
                </m:rPr>
                <w:rPr>
                  <w:sz w:val="22"/>
                </w:rPr>
                <m:t>,</m:t>
              </m:r>
              <m:r>
                <w:rPr>
                  <w:sz w:val="22"/>
                </w:rPr>
                <m:t>A</m:t>
              </m:r>
              <m:r>
                <m:rPr>
                  <m:sty m:val="p"/>
                </m:rPr>
                <w:rPr>
                  <w:sz w:val="22"/>
                </w:rPr>
                <m:t>,</m:t>
              </m:r>
              <m:r>
                <w:rPr>
                  <w:sz w:val="22"/>
                </w:rPr>
                <m:t>G</m:t>
              </m:r>
            </m:e>
          </m:d>
          <m:r>
            <m:rPr>
              <m:sty m:val="p"/>
            </m:rPr>
            <w:rPr>
              <w:sz w:val="22"/>
            </w:rPr>
            <m:t>⇒</m:t>
          </m:r>
          <m:r>
            <w:rPr>
              <w:sz w:val="22"/>
            </w:rPr>
            <m:t>S</m:t>
          </m:r>
          <m:r>
            <m:rPr>
              <m:sty m:val="p"/>
            </m:rPr>
            <w:rPr>
              <w:sz w:val="22"/>
            </w:rPr>
            <m:t>⇒</m:t>
          </m:r>
          <m:r>
            <w:rPr>
              <w:sz w:val="22"/>
            </w:rPr>
            <m:t>W</m:t>
          </m:r>
        </m:oMath>
      </m:oMathPara>
    </w:p>
    <w:p>
      <w:pPr>
        <w:pStyle w:val="FirstParagraph"/>
      </w:pPr>
      <w:r>
        <w:rPr>
          <w:b/>
          <w:bCs/>
        </w:rPr>
        <w:t xml:space="preserve">1. AI Disclosure Intensity (</w:t>
      </w:r>
      <m:oMath>
        <m:sSub>
          <m:e>
            <m:r>
              <w:rPr>
                <w:sz w:val="22"/>
              </w:rPr>
              <m:t>D</m:t>
            </m:r>
          </m:e>
          <m:sub>
            <m:r>
              <w:rPr>
                <w:sz w:val="22"/>
              </w:rPr>
              <m:t>i</m:t>
            </m:r>
            <m:r>
              <w:rPr>
                <w:sz w:val="22"/>
              </w:rPr>
              <m:t>t</m:t>
            </m:r>
          </m:sub>
        </m:sSub>
      </m:oMath>
      <w:r>
        <w:rPr>
          <w:b/>
          <w:bCs/>
        </w:rPr>
        <w:t xml:space="preserve">):</w:t>
      </w:r>
      <w:r>
        <w:t xml:space="preserve"> </w:t>
      </w:r>
      <w:r>
        <w:t xml:space="preserve">Captures the relative narrative volume of corporate AI discussion, scaled by total document length to avoid bias from verbosity:</w:t>
      </w:r>
    </w:p>
    <w:p>
      <w:pPr>
        <w:pStyle w:val="Textoindependiente"/>
      </w:pPr>
      <m:oMathPara>
        <m:oMathParaPr>
          <m:jc m:val="center"/>
        </m:oMathParaPr>
        <m:oMath>
          <m:sSub>
            <m:e>
              <m:r>
                <w:rPr>
                  <w:sz w:val="22"/>
                </w:rPr>
                <m:t>D</m:t>
              </m:r>
            </m:e>
            <m:sub>
              <m:r>
                <w:rPr>
                  <w:sz w:val="22"/>
                </w:rPr>
                <m:t>i</m:t>
              </m:r>
              <m:r>
                <w:rPr>
                  <w:sz w:val="22"/>
                </w:rPr>
                <m:t>t</m:t>
              </m:r>
            </m:sub>
          </m:sSub>
          <m:r>
            <m:rPr>
              <m:sty m:val="p"/>
            </m:rPr>
            <w:rPr>
              <w:sz w:val="22"/>
            </w:rPr>
            <m:t>=</m:t>
          </m:r>
          <m:f>
            <m:fPr>
              <m:type m:val="bar"/>
            </m:fPr>
            <m:num>
              <m:sSub>
                <m:e>
                  <m:r>
                    <m:rPr>
                      <m:nor/>
                      <m:sty m:val="p"/>
                    </m:rPr>
                    <w:rPr>
                      <w:sz w:val="22"/>
                    </w:rPr>
                    <m:t>AI frames</m:t>
                  </m:r>
                </m:e>
                <m:sub>
                  <m:r>
                    <w:rPr>
                      <w:sz w:val="22"/>
                    </w:rPr>
                    <m:t>i</m:t>
                  </m:r>
                  <m:r>
                    <w:rPr>
                      <w:sz w:val="22"/>
                    </w:rPr>
                    <m:t>t</m:t>
                  </m:r>
                </m:sub>
              </m:sSub>
            </m:num>
            <m:den>
              <m:sSub>
                <m:e>
                  <m:r>
                    <m:rPr>
                      <m:nor/>
                      <m:sty m:val="p"/>
                    </m:rPr>
                    <w:rPr>
                      <w:sz w:val="22"/>
                    </w:rPr>
                    <m:t>words</m:t>
                  </m:r>
                </m:e>
                <m:sub>
                  <m:r>
                    <w:rPr>
                      <w:sz w:val="22"/>
                    </w:rPr>
                    <m:t>i</m:t>
                  </m:r>
                  <m:r>
                    <w:rPr>
                      <w:sz w:val="22"/>
                    </w:rPr>
                    <m:t>t</m:t>
                  </m:r>
                </m:sub>
              </m:sSub>
              <m:r>
                <m:rPr>
                  <m:sty m:val="p"/>
                </m:rPr>
                <w:rPr>
                  <w:sz w:val="22"/>
                </w:rPr>
                <m:t>/</m:t>
              </m:r>
              <m:r>
                <w:rPr>
                  <w:sz w:val="22"/>
                </w:rPr>
                <m:t>1</m:t>
              </m:r>
              <m:r>
                <m:rPr>
                  <m:sty m:val="p"/>
                </m:rPr>
                <w:rPr>
                  <w:sz w:val="22"/>
                </w:rPr>
                <m:t>,</m:t>
              </m:r>
              <m:r>
                <w:rPr>
                  <w:sz w:val="22"/>
                </w:rPr>
                <m:t>000</m:t>
              </m:r>
            </m:den>
          </m:f>
        </m:oMath>
      </m:oMathPara>
    </w:p>
    <w:p>
      <w:pPr>
        <w:pStyle w:val="FirstParagraph"/>
      </w:pPr>
      <w:r>
        <w:rPr>
          <w:b/>
          <w:bCs/>
        </w:rPr>
        <w:t xml:space="preserve">2. Communication Posture (</w:t>
      </w:r>
      <m:oMath>
        <m:sSub>
          <m:e>
            <m:r>
              <w:rPr>
                <w:sz w:val="22"/>
              </w:rPr>
              <m:t>P</m:t>
            </m:r>
          </m:e>
          <m:sub>
            <m:r>
              <w:rPr>
                <w:sz w:val="22"/>
              </w:rPr>
              <m:t>i</m:t>
            </m:r>
            <m:r>
              <w:rPr>
                <w:sz w:val="22"/>
              </w:rPr>
              <m:t>t</m:t>
            </m:r>
          </m:sub>
        </m:sSub>
      </m:oMath>
      <w:r>
        <w:rPr>
          <w:b/>
          <w:bCs/>
        </w:rPr>
        <w:t xml:space="preserve">):</w:t>
      </w:r>
      <w:r>
        <w:t xml:space="preserve"> </w:t>
      </w:r>
      <w:r>
        <w:t xml:space="preserve">A seven-dimensional vector summarizing rhetorical emphasis across firm-subject claims: promotional tone (</w:t>
      </w:r>
      <m:oMath>
        <m:sSub>
          <m:e>
            <m:r>
              <w:rPr>
                <w:sz w:val="22"/>
              </w:rPr>
              <m:t>P</m:t>
            </m:r>
          </m:e>
          <m:sub>
            <m:r>
              <m:rPr>
                <m:nor/>
                <m:sty m:val="p"/>
              </m:rPr>
              <w:rPr>
                <w:sz w:val="22"/>
              </w:rPr>
              <m:t>prom</m:t>
            </m:r>
          </m:sub>
        </m:sSub>
      </m:oMath>
      <w:r>
        <w:t xml:space="preserve">), hedging (</w:t>
      </w:r>
      <m:oMath>
        <m:sSub>
          <m:e>
            <m:r>
              <w:rPr>
                <w:sz w:val="22"/>
              </w:rPr>
              <m:t>P</m:t>
            </m:r>
          </m:e>
          <m:sub>
            <m:r>
              <m:rPr>
                <m:nor/>
                <m:sty m:val="p"/>
              </m:rPr>
              <w:rPr>
                <w:sz w:val="22"/>
              </w:rPr>
              <m:t>hedge</m:t>
            </m:r>
          </m:sub>
        </m:sSub>
      </m:oMath>
      <w:r>
        <w:t xml:space="preserve">), risk exposure (</w:t>
      </w:r>
      <m:oMath>
        <m:sSub>
          <m:e>
            <m:r>
              <w:rPr>
                <w:sz w:val="22"/>
              </w:rPr>
              <m:t>P</m:t>
            </m:r>
          </m:e>
          <m:sub>
            <m:r>
              <m:rPr>
                <m:nor/>
                <m:sty m:val="p"/>
              </m:rPr>
              <w:rPr>
                <w:sz w:val="22"/>
              </w:rPr>
              <m:t>risk</m:t>
            </m:r>
          </m:sub>
        </m:sSub>
      </m:oMath>
      <w:r>
        <w:t xml:space="preserve">), governance and oversight (</w:t>
      </w:r>
      <m:oMath>
        <m:sSub>
          <m:e>
            <m:r>
              <w:rPr>
                <w:sz w:val="22"/>
              </w:rPr>
              <m:t>P</m:t>
            </m:r>
          </m:e>
          <m:sub>
            <m:r>
              <m:rPr>
                <m:nor/>
                <m:sty m:val="p"/>
              </m:rPr>
              <w:rPr>
                <w:sz w:val="22"/>
              </w:rPr>
              <m:t>gov</m:t>
            </m:r>
          </m:sub>
        </m:sSub>
      </m:oMath>
      <w:r>
        <w:t xml:space="preserve">), claim realization (</w:t>
      </w:r>
      <m:oMath>
        <m:sSub>
          <m:e>
            <m:r>
              <w:rPr>
                <w:sz w:val="22"/>
              </w:rPr>
              <m:t>P</m:t>
            </m:r>
          </m:e>
          <m:sub>
            <m:r>
              <m:rPr>
                <m:nor/>
                <m:sty m:val="p"/>
              </m:rPr>
              <w:rPr>
                <w:sz w:val="22"/>
              </w:rPr>
              <m:t>real</m:t>
            </m:r>
          </m:sub>
        </m:sSub>
      </m:oMath>
      <w:r>
        <w:t xml:space="preserve">), customer focus (</w:t>
      </w:r>
      <m:oMath>
        <m:sSub>
          <m:e>
            <m:r>
              <w:rPr>
                <w:sz w:val="22"/>
              </w:rPr>
              <m:t>P</m:t>
            </m:r>
          </m:e>
          <m:sub>
            <m:r>
              <m:rPr>
                <m:nor/>
                <m:sty m:val="p"/>
              </m:rPr>
              <w:rPr>
                <w:sz w:val="22"/>
              </w:rPr>
              <m:t>cust</m:t>
            </m:r>
          </m:sub>
        </m:sSub>
      </m:oMath>
      <w:r>
        <w:t xml:space="preserve">), and technical specificity (</w:t>
      </w:r>
      <m:oMath>
        <m:sSub>
          <m:e>
            <m:r>
              <w:rPr>
                <w:sz w:val="22"/>
              </w:rPr>
              <m:t>P</m:t>
            </m:r>
          </m:e>
          <m:sub>
            <m:r>
              <m:rPr>
                <m:nor/>
                <m:sty m:val="p"/>
              </m:rPr>
              <w:rPr>
                <w:sz w:val="22"/>
              </w:rPr>
              <m:t>spec</m:t>
            </m:r>
          </m:sub>
        </m:sSub>
      </m:oMath>
      <w:r>
        <w:t xml:space="preserve">). Each dimension is measured as the proportion of the firm’s AI claims exhibiting that feature.</w:t>
      </w:r>
    </w:p>
    <w:p>
      <w:pPr>
        <w:pStyle w:val="Textoindependiente"/>
      </w:pPr>
      <w:r>
        <w:rPr>
          <w:b/>
          <w:bCs/>
        </w:rPr>
        <w:t xml:space="preserve">3. Disclosed AI Activity (</w:t>
      </w:r>
      <m:oMath>
        <m:sSub>
          <m:e>
            <m:r>
              <w:rPr>
                <w:sz w:val="22"/>
              </w:rPr>
              <m:t>A</m:t>
            </m:r>
          </m:e>
          <m:sub>
            <m:r>
              <w:rPr>
                <w:sz w:val="22"/>
              </w:rPr>
              <m:t>i</m:t>
            </m:r>
            <m:r>
              <w:rPr>
                <w:sz w:val="22"/>
              </w:rPr>
              <m:t>t</m:t>
            </m:r>
          </m:sub>
        </m:sSub>
      </m:oMath>
      <w:r>
        <w:rPr>
          <w:b/>
          <w:bCs/>
        </w:rPr>
        <w:t xml:space="preserve">):</w:t>
      </w:r>
      <w:r>
        <w:t xml:space="preserve"> </w:t>
      </w:r>
      <w:r>
        <w:t xml:space="preserve">The total count of discrete operational action triples (</w:t>
      </w:r>
      <m:oMath>
        <m:sSub>
          <m:e>
            <m:r>
              <w:rPr>
                <w:sz w:val="22"/>
              </w:rPr>
              <m:t>n</m:t>
            </m:r>
          </m:e>
          <m:sub>
            <m:r>
              <m:rPr>
                <m:nor/>
                <m:sty m:val="p"/>
              </m:rPr>
              <w:rPr>
                <w:sz w:val="22"/>
              </w:rPr>
              <m:t>activities</m:t>
            </m:r>
            <m:r>
              <m:rPr>
                <m:sty m:val="p"/>
              </m:rPr>
              <w:rPr>
                <w:sz w:val="22"/>
              </w:rPr>
              <m:t>,</m:t>
            </m:r>
            <m:r>
              <w:rPr>
                <w:sz w:val="22"/>
              </w:rPr>
              <m:t>i</m:t>
            </m:r>
            <m:r>
              <w:rPr>
                <w:sz w:val="22"/>
              </w:rPr>
              <m:t>t</m:t>
            </m:r>
          </m:sub>
        </m:sSub>
      </m:oMath>
      <w:r>
        <w:t xml:space="preserve">) across the six enterprise business domains (Operate, Sell, Build, Control, Serve, Enable).</w:t>
      </w:r>
    </w:p>
    <w:p>
      <w:pPr>
        <w:pStyle w:val="Textoindependiente"/>
      </w:pPr>
      <w:r>
        <w:rPr>
          <w:b/>
          <w:bCs/>
        </w:rPr>
        <w:t xml:space="preserve">4. AI Activity Grounding (</w:t>
      </w:r>
      <m:oMath>
        <m:sSub>
          <m:e>
            <m:r>
              <w:rPr>
                <w:sz w:val="22"/>
              </w:rPr>
              <m:t>G</m:t>
            </m:r>
          </m:e>
          <m:sub>
            <m:r>
              <w:rPr>
                <w:sz w:val="22"/>
              </w:rPr>
              <m:t>i</m:t>
            </m:r>
            <m:r>
              <w:rPr>
                <w:sz w:val="22"/>
              </w:rPr>
              <m:t>t</m:t>
            </m:r>
          </m:sub>
        </m:sSub>
      </m:oMath>
      <w:r>
        <w:rPr>
          <w:b/>
          <w:bCs/>
        </w:rPr>
        <w:t xml:space="preserve">):</w:t>
      </w:r>
      <w:r>
        <w:t xml:space="preserve"> </w:t>
      </w:r>
      <w:r>
        <w:t xml:space="preserve">An index in</w:t>
      </w:r>
      <w:r>
        <w:t xml:space="preserve"> </w:t>
      </w:r>
      <m:oMath>
        <m:d>
          <m:dPr>
            <m:begChr m:val="["/>
            <m:sepChr m:val=""/>
            <m:endChr m:val="]"/>
            <m:grow/>
          </m:dPr>
          <m:e>
            <m:r>
              <w:rPr>
                <w:sz w:val="22"/>
              </w:rPr>
              <m:t>0</m:t>
            </m:r>
            <m:r>
              <m:rPr>
                <m:sty m:val="p"/>
              </m:rPr>
              <w:rPr>
                <w:sz w:val="22"/>
              </w:rPr>
              <m:t>,</m:t>
            </m:r>
            <m:r>
              <w:rPr>
                <w:sz w:val="22"/>
              </w:rPr>
              <m:t>1</m:t>
            </m:r>
          </m:e>
        </m:d>
      </m:oMath>
      <w:r>
        <w:t xml:space="preserve"> </w:t>
      </w:r>
      <w:r>
        <w:t xml:space="preserve">measuring the proportion of five concrete evidentiary criteria met across disclosed activities: (i) identified operational business function, (ii) deployed or scaled maturity stage, (iii) named product or process, (iv) quantified performance or financial metric, and (v) named third-party technology provider.</w:t>
      </w:r>
    </w:p>
    <w:p>
      <w:pPr>
        <w:pStyle w:val="Textoindependiente"/>
      </w:pPr>
      <w:r>
        <w:rPr>
          <w:b/>
          <w:bCs/>
        </w:rPr>
        <w:t xml:space="preserve">5. Disclosed Substance (</w:t>
      </w:r>
      <m:oMath>
        <m:sSub>
          <m:e>
            <m:r>
              <w:rPr>
                <w:sz w:val="22"/>
              </w:rPr>
              <m:t>S</m:t>
            </m:r>
          </m:e>
          <m:sub>
            <m:r>
              <w:rPr>
                <w:sz w:val="22"/>
              </w:rPr>
              <m:t>i</m:t>
            </m:r>
            <m:r>
              <w:rPr>
                <w:sz w:val="22"/>
              </w:rPr>
              <m:t>t</m:t>
            </m:r>
          </m:sub>
        </m:sSub>
      </m:oMath>
      <w:r>
        <w:rPr>
          <w:b/>
          <w:bCs/>
        </w:rPr>
        <w:t xml:space="preserve">):</w:t>
      </w:r>
      <w:r>
        <w:t xml:space="preserve"> </w:t>
      </w:r>
      <w:r>
        <w:t xml:space="preserve">Grounded operational activity volume, scaling the log-transformed count of concrete activities by their average evidentiary verifiability:</w:t>
      </w:r>
    </w:p>
    <w:p>
      <w:pPr>
        <w:pStyle w:val="Textoindependiente"/>
      </w:pPr>
      <m:oMathPara>
        <m:oMathParaPr>
          <m:jc m:val="center"/>
        </m:oMathParaPr>
        <m:oMath>
          <m:sSub>
            <m:e>
              <m:r>
                <w:rPr>
                  <w:sz w:val="22"/>
                </w:rPr>
                <m:t>S</m:t>
              </m:r>
            </m:e>
            <m:sub>
              <m:r>
                <w:rPr>
                  <w:sz w:val="22"/>
                </w:rPr>
                <m:t>i</m:t>
              </m:r>
              <m:r>
                <w:rPr>
                  <w:sz w:val="22"/>
                </w:rPr>
                <m:t>t</m:t>
              </m:r>
            </m:sub>
          </m:sSub>
          <m:r>
            <m:rPr>
              <m:sty m:val="p"/>
            </m:rPr>
            <w:rPr>
              <w:sz w:val="22"/>
            </w:rPr>
            <m:t>=</m:t>
          </m:r>
          <m:r>
            <m:rPr>
              <m:sty m:val="p"/>
            </m:rPr>
            <w:rPr>
              <w:sz w:val="22"/>
            </w:rPr>
            <m:t>log</m:t>
          </m:r>
          <m:d>
            <m:dPr>
              <m:begChr m:val="("/>
              <m:sepChr m:val=""/>
              <m:endChr m:val=")"/>
              <m:grow/>
            </m:dPr>
            <m:e>
              <m:r>
                <w:rPr>
                  <w:sz w:val="22"/>
                </w:rPr>
                <m:t>1</m:t>
              </m:r>
              <m:r>
                <m:rPr>
                  <m:sty m:val="p"/>
                </m:rPr>
                <w:rPr>
                  <w:sz w:val="22"/>
                </w:rPr>
                <m:t>+</m:t>
              </m:r>
              <m:sSub>
                <m:e>
                  <m:r>
                    <w:rPr>
                      <w:sz w:val="22"/>
                    </w:rPr>
                    <m:t>n</m:t>
                  </m:r>
                </m:e>
                <m:sub>
                  <m:r>
                    <m:rPr>
                      <m:nor/>
                      <m:sty m:val="p"/>
                    </m:rPr>
                    <w:rPr>
                      <w:sz w:val="22"/>
                    </w:rPr>
                    <m:t>activities</m:t>
                  </m:r>
                  <m:r>
                    <m:rPr>
                      <m:sty m:val="p"/>
                    </m:rPr>
                    <w:rPr>
                      <w:sz w:val="22"/>
                    </w:rPr>
                    <m:t>,</m:t>
                  </m:r>
                  <m:r>
                    <w:rPr>
                      <w:sz w:val="22"/>
                    </w:rPr>
                    <m:t>i</m:t>
                  </m:r>
                  <m:r>
                    <w:rPr>
                      <w:sz w:val="22"/>
                    </w:rPr>
                    <m:t>t</m:t>
                  </m:r>
                </m:sub>
              </m:sSub>
            </m:e>
          </m:d>
          <m:r>
            <m:rPr>
              <m:sty m:val="p"/>
            </m:rPr>
            <w:rPr>
              <w:sz w:val="22"/>
            </w:rPr>
            <m:t>×</m:t>
          </m:r>
          <m:sSub>
            <m:e>
              <m:r>
                <w:rPr>
                  <w:sz w:val="22"/>
                </w:rPr>
                <m:t>G</m:t>
              </m:r>
            </m:e>
            <m:sub>
              <m:r>
                <w:rPr>
                  <w:sz w:val="22"/>
                </w:rPr>
                <m:t>i</m:t>
              </m:r>
              <m:r>
                <w:rPr>
                  <w:sz w:val="22"/>
                </w:rPr>
                <m:t>t</m:t>
              </m:r>
            </m:sub>
          </m:sSub>
        </m:oMath>
      </m:oMathPara>
    </w:p>
    <w:p>
      <w:pPr>
        <w:pStyle w:val="FirstParagraph"/>
      </w:pPr>
      <w:r>
        <w:rPr>
          <w:b/>
          <w:bCs/>
        </w:rPr>
        <w:t xml:space="preserve">6. Decoupling (</w:t>
      </w:r>
      <m:oMath>
        <m:sSub>
          <m:e>
            <m:r>
              <w:rPr>
                <w:sz w:val="22"/>
              </w:rPr>
              <m:t>W</m:t>
            </m:r>
          </m:e>
          <m:sub>
            <m:r>
              <w:rPr>
                <w:sz w:val="22"/>
              </w:rPr>
              <m:t>i</m:t>
            </m:r>
            <m:r>
              <w:rPr>
                <w:sz w:val="22"/>
              </w:rPr>
              <m:t>t</m:t>
            </m:r>
          </m:sub>
        </m:sSub>
      </m:oMath>
      <w:r>
        <w:rPr>
          <w:b/>
          <w:bCs/>
        </w:rPr>
        <w:t xml:space="preserve">):</w:t>
      </w:r>
      <w:r>
        <w:t xml:space="preserve"> </w:t>
      </w:r>
      <w:r>
        <w:t xml:space="preserve">Measures the divergence between narrative volume and verifiable operational backing:</w:t>
      </w:r>
    </w:p>
    <w:p>
      <w:pPr>
        <w:pStyle w:val="Textoindependiente"/>
      </w:pPr>
      <m:oMathPara>
        <m:oMathParaPr>
          <m:jc m:val="center"/>
        </m:oMathParaPr>
        <m:oMath>
          <m:sSub>
            <m:e>
              <m:r>
                <w:rPr>
                  <w:sz w:val="22"/>
                </w:rPr>
                <m:t>W</m:t>
              </m:r>
            </m:e>
            <m:sub>
              <m:r>
                <w:rPr>
                  <w:sz w:val="22"/>
                </w:rPr>
                <m:t>i</m:t>
              </m:r>
              <m:r>
                <w:rPr>
                  <w:sz w:val="22"/>
                </w:rPr>
                <m:t>t</m:t>
              </m:r>
            </m:sub>
          </m:sSub>
          <m:r>
            <m:rPr>
              <m:sty m:val="p"/>
            </m:rPr>
            <w:rPr>
              <w:sz w:val="22"/>
            </w:rPr>
            <m:t>=</m:t>
          </m:r>
          <m:r>
            <m:rPr>
              <m:nor/>
              <m:sty m:val="p"/>
            </m:rPr>
            <w:rPr>
              <w:sz w:val="22"/>
            </w:rPr>
            <m:t>rank</m:t>
          </m:r>
          <m:d>
            <m:dPr>
              <m:begChr m:val="("/>
              <m:sepChr m:val=""/>
              <m:endChr m:val=")"/>
              <m:grow/>
            </m:dPr>
            <m:e>
              <m:sSub>
                <m:e>
                  <m:r>
                    <w:rPr>
                      <w:sz w:val="22"/>
                    </w:rPr>
                    <m:t>D</m:t>
                  </m:r>
                </m:e>
                <m:sub>
                  <m:r>
                    <w:rPr>
                      <w:sz w:val="22"/>
                    </w:rPr>
                    <m:t>i</m:t>
                  </m:r>
                  <m:r>
                    <w:rPr>
                      <w:sz w:val="22"/>
                    </w:rPr>
                    <m:t>t</m:t>
                  </m:r>
                </m:sub>
              </m:sSub>
            </m:e>
          </m:d>
          <m:r>
            <m:rPr>
              <m:sty m:val="p"/>
            </m:rPr>
            <w:rPr>
              <w:sz w:val="22"/>
            </w:rPr>
            <m:t>−</m:t>
          </m:r>
          <m:r>
            <m:rPr>
              <m:nor/>
              <m:sty m:val="p"/>
            </m:rPr>
            <w:rPr>
              <w:sz w:val="22"/>
            </w:rPr>
            <m:t>rank</m:t>
          </m:r>
          <m:d>
            <m:dPr>
              <m:begChr m:val="("/>
              <m:sepChr m:val=""/>
              <m:endChr m:val=")"/>
              <m:grow/>
            </m:dPr>
            <m:e>
              <m:sSub>
                <m:e>
                  <m:r>
                    <w:rPr>
                      <w:sz w:val="22"/>
                    </w:rPr>
                    <m:t>S</m:t>
                  </m:r>
                </m:e>
                <m:sub>
                  <m:r>
                    <w:rPr>
                      <w:sz w:val="22"/>
                    </w:rPr>
                    <m:t>i</m:t>
                  </m:r>
                  <m:r>
                    <w:rPr>
                      <w:sz w:val="22"/>
                    </w:rPr>
                    <m:t>t</m:t>
                  </m:r>
                </m:sub>
              </m:sSub>
            </m:e>
          </m:d>
          <m:r>
            <m:rPr>
              <m:sty m:val="p"/>
            </m:rPr>
            <w:rPr>
              <w:sz w:val="22"/>
            </w:rPr>
            <m:t>∈</m:t>
          </m:r>
          <m:d>
            <m:dPr>
              <m:begChr m:val="["/>
              <m:sepChr m:val=""/>
              <m:endChr m:val="]"/>
              <m:grow/>
            </m:dPr>
            <m:e>
              <m:r>
                <m:rPr>
                  <m:sty m:val="p"/>
                </m:rPr>
                <w:rPr>
                  <w:sz w:val="22"/>
                </w:rPr>
                <m:t>−</m:t>
              </m:r>
              <m:r>
                <w:rPr>
                  <w:sz w:val="22"/>
                </w:rPr>
                <m:t>1</m:t>
              </m:r>
              <m:r>
                <m:rPr>
                  <m:sty m:val="p"/>
                </m:rPr>
                <w:rPr>
                  <w:sz w:val="22"/>
                </w:rPr>
                <m:t>,</m:t>
              </m:r>
              <m:r>
                <w:rPr>
                  <w:sz w:val="22"/>
                </w:rPr>
                <m:t>1</m:t>
              </m:r>
            </m:e>
          </m:d>
        </m:oMath>
      </m:oMathPara>
    </w:p>
    <w:p>
      <w:pPr>
        <w:pStyle w:val="FirstParagraph"/>
      </w:pPr>
      <w:r>
        <w:t xml:space="preserve">where</w:t>
      </w:r>
      <w:r>
        <w:t xml:space="preserve"> </w:t>
      </w:r>
      <m:oMath>
        <m:r>
          <m:rPr>
            <m:nor/>
            <m:sty m:val="p"/>
          </m:rPr>
          <w:rPr>
            <w:sz w:val="22"/>
          </w:rPr>
          <m:t>rank</m:t>
        </m:r>
        <m:d>
          <m:dPr>
            <m:begChr m:val="("/>
            <m:sepChr m:val=""/>
            <m:endChr m:val=")"/>
            <m:grow/>
          </m:dPr>
          <m:e>
            <m:r>
              <m:rPr>
                <m:sty m:val="p"/>
              </m:rPr>
              <w:rPr>
                <w:sz w:val="22"/>
              </w:rPr>
              <m:t>⋅</m:t>
            </m:r>
          </m:e>
        </m:d>
        <m:r>
          <m:rPr>
            <m:sty m:val="p"/>
          </m:rPr>
          <w:rPr>
            <w:sz w:val="22"/>
          </w:rPr>
          <m:t>∈</m:t>
        </m:r>
        <m:d>
          <m:dPr>
            <m:begChr m:val="["/>
            <m:sepChr m:val=""/>
            <m:endChr m:val="]"/>
            <m:grow/>
          </m:dPr>
          <m:e>
            <m:r>
              <w:rPr>
                <w:sz w:val="22"/>
              </w:rPr>
              <m:t>0</m:t>
            </m:r>
            <m:r>
              <m:rPr>
                <m:sty m:val="p"/>
              </m:rPr>
              <w:rPr>
                <w:sz w:val="22"/>
              </w:rPr>
              <m:t>,</m:t>
            </m:r>
            <m:r>
              <w:rPr>
                <w:sz w:val="22"/>
              </w:rPr>
              <m:t>1</m:t>
            </m:r>
          </m:e>
        </m:d>
      </m:oMath>
      <w:r>
        <w:t xml:space="preserve"> </w:t>
      </w:r>
      <w:r>
        <w:t xml:space="preserve">is the empirical percentile rank computed within a reporting year among AI-disclosing firms. A large positive value is a firm making strong narrative claims with little verifiable backing (</w:t>
      </w:r>
      <w:r>
        <w:t xml:space="preserve">“AI washing”</w:t>
      </w:r>
      <w:r>
        <w:t xml:space="preserve">); a negative value is a firm with substantial grounded implementation and very little promotion around it.</w:t>
      </w:r>
    </w:p>
    <w:p>
      <w:pPr>
        <w:pStyle w:val="Textoindependiente"/>
      </w:pPr>
      <w:r>
        <w:rPr>
          <w:b/>
          <w:bCs/>
        </w:rPr>
        <w:t xml:space="preserve">Aggregation across documents.</w:t>
      </w:r>
      <w:r>
        <w:t xml:space="preserve"> </w:t>
      </w:r>
      <w:r>
        <w:t xml:space="preserve">The firm-year indicator is the median document rate across everything the firm published in that fiscal period. The median limits the influence of boilerplate legal exhibits, short press releases and outlier filings, which would pull an arithmetic mean around. A firm-year holds the documents filed in that calendar year, not the accounting periods they describe.</w:t>
      </w:r>
      <w:r>
        <w:t xml:space="preserve"> </w:t>
      </w:r>
      <m:oMath>
        <m:r>
          <w:rPr>
            <w:sz w:val="22"/>
          </w:rPr>
          <m:t>D</m:t>
        </m:r>
      </m:oMath>
      <w:r>
        <w:t xml:space="preserve"> </w:t>
      </w:r>
      <w:r>
        <w:t xml:space="preserve">and</w:t>
      </w:r>
      <w:r>
        <w:t xml:space="preserve"> </w:t>
      </w:r>
      <m:oMath>
        <m:r>
          <w:rPr>
            <w:sz w:val="22"/>
          </w:rPr>
          <m:t>S</m:t>
        </m:r>
      </m:oMath>
      <w:r>
        <w:t xml:space="preserve"> </w:t>
      </w:r>
      <w:r>
        <w:t xml:space="preserve">are percentile-ranked within the year among disclosing firms, so ranks from different years are not comparable.</w:t>
      </w:r>
    </w:p>
    <w:p>
      <w:pPr>
        <w:pStyle w:val="Textoindependiente"/>
      </w:pPr>
      <w:r>
        <w:rPr>
          <w:b/>
          <w:bCs/>
        </w:rPr>
        <w:t xml:space="preserve">Treatment of zeros and low-volume text.</w:t>
      </w:r>
      <w:r>
        <w:t xml:space="preserve"> </w:t>
      </w:r>
      <w:r>
        <w:t xml:space="preserve">A firm with no AI claims has</w:t>
      </w:r>
      <w:r>
        <w:t xml:space="preserve"> </w:t>
      </w:r>
      <m:oMath>
        <m:sSub>
          <m:e>
            <m:r>
              <w:rPr>
                <w:sz w:val="22"/>
              </w:rPr>
              <m:t>D</m:t>
            </m:r>
          </m:e>
          <m:sub>
            <m:r>
              <w:rPr>
                <w:sz w:val="22"/>
              </w:rPr>
              <m:t>i</m:t>
            </m:r>
            <m:r>
              <w:rPr>
                <w:sz w:val="22"/>
              </w:rPr>
              <m:t>t</m:t>
            </m:r>
          </m:sub>
        </m:sSub>
        <m:r>
          <m:rPr>
            <m:sty m:val="p"/>
          </m:rPr>
          <w:rPr>
            <w:sz w:val="22"/>
          </w:rPr>
          <m:t>=</m:t>
        </m:r>
        <m:r>
          <w:rPr>
            <w:sz w:val="22"/>
          </w:rPr>
          <m:t>0</m:t>
        </m:r>
      </m:oMath>
      <w:r>
        <w:t xml:space="preserve">,</w:t>
      </w:r>
      <w:r>
        <w:t xml:space="preserve"> </w:t>
      </w:r>
      <m:oMath>
        <m:sSub>
          <m:e>
            <m:r>
              <w:rPr>
                <w:sz w:val="22"/>
              </w:rPr>
              <m:t>A</m:t>
            </m:r>
          </m:e>
          <m:sub>
            <m:r>
              <w:rPr>
                <w:sz w:val="22"/>
              </w:rPr>
              <m:t>i</m:t>
            </m:r>
            <m:r>
              <w:rPr>
                <w:sz w:val="22"/>
              </w:rPr>
              <m:t>t</m:t>
            </m:r>
          </m:sub>
        </m:sSub>
        <m:r>
          <m:rPr>
            <m:sty m:val="p"/>
          </m:rPr>
          <w:rPr>
            <w:sz w:val="22"/>
          </w:rPr>
          <m:t>=</m:t>
        </m:r>
        <m:r>
          <w:rPr>
            <w:sz w:val="22"/>
          </w:rPr>
          <m:t>0</m:t>
        </m:r>
      </m:oMath>
      <w:r>
        <w:t xml:space="preserve">,</w:t>
      </w:r>
      <w:r>
        <w:t xml:space="preserve"> </w:t>
      </w:r>
      <m:oMath>
        <m:sSub>
          <m:e>
            <m:r>
              <w:rPr>
                <w:sz w:val="22"/>
              </w:rPr>
              <m:t>G</m:t>
            </m:r>
          </m:e>
          <m:sub>
            <m:r>
              <w:rPr>
                <w:sz w:val="22"/>
              </w:rPr>
              <m:t>i</m:t>
            </m:r>
            <m:r>
              <w:rPr>
                <w:sz w:val="22"/>
              </w:rPr>
              <m:t>t</m:t>
            </m:r>
          </m:sub>
        </m:sSub>
        <m:r>
          <m:rPr>
            <m:sty m:val="p"/>
          </m:rPr>
          <w:rPr>
            <w:sz w:val="22"/>
          </w:rPr>
          <m:t>=</m:t>
        </m:r>
        <m:r>
          <w:rPr>
            <w:sz w:val="22"/>
          </w:rPr>
          <m:t>0</m:t>
        </m:r>
      </m:oMath>
      <w:r>
        <w:t xml:space="preserve"> </w:t>
      </w:r>
      <w:r>
        <w:t xml:space="preserve">and</w:t>
      </w:r>
      <w:r>
        <w:t xml:space="preserve"> </w:t>
      </w:r>
      <m:oMath>
        <m:sSub>
          <m:e>
            <m:r>
              <w:rPr>
                <w:sz w:val="22"/>
              </w:rPr>
              <m:t>S</m:t>
            </m:r>
          </m:e>
          <m:sub>
            <m:r>
              <w:rPr>
                <w:sz w:val="22"/>
              </w:rPr>
              <m:t>i</m:t>
            </m:r>
            <m:r>
              <w:rPr>
                <w:sz w:val="22"/>
              </w:rPr>
              <m:t>t</m:t>
            </m:r>
          </m:sub>
        </m:sSub>
        <m:r>
          <m:rPr>
            <m:sty m:val="p"/>
          </m:rPr>
          <w:rPr>
            <w:sz w:val="22"/>
          </w:rPr>
          <m:t>=</m:t>
        </m:r>
        <m:r>
          <w:rPr>
            <w:sz w:val="22"/>
          </w:rPr>
          <m:t>0</m:t>
        </m:r>
      </m:oMath>
      <w:r>
        <w:t xml:space="preserve">. Decoupling (</w:t>
      </w:r>
      <m:oMath>
        <m:sSub>
          <m:e>
            <m:r>
              <w:rPr>
                <w:sz w:val="22"/>
              </w:rPr>
              <m:t>W</m:t>
            </m:r>
          </m:e>
          <m:sub>
            <m:r>
              <w:rPr>
                <w:sz w:val="22"/>
              </w:rPr>
              <m:t>i</m:t>
            </m:r>
            <m:r>
              <w:rPr>
                <w:sz w:val="22"/>
              </w:rPr>
              <m:t>t</m:t>
            </m:r>
          </m:sub>
        </m:sSub>
      </m:oMath>
      <w:r>
        <w:t xml:space="preserve">) is defined only over disclosing firms (</w:t>
      </w:r>
      <m:oMath>
        <m:sSub>
          <m:e>
            <m:r>
              <w:rPr>
                <w:sz w:val="22"/>
              </w:rPr>
              <m:t>D</m:t>
            </m:r>
          </m:e>
          <m:sub>
            <m:r>
              <w:rPr>
                <w:sz w:val="22"/>
              </w:rPr>
              <m:t>i</m:t>
            </m:r>
            <m:r>
              <w:rPr>
                <w:sz w:val="22"/>
              </w:rPr>
              <m:t>t</m:t>
            </m:r>
          </m:sub>
        </m:sSub>
        <m:r>
          <m:rPr>
            <m:sty m:val="p"/>
          </m:rPr>
          <w:rPr>
            <w:sz w:val="22"/>
          </w:rPr>
          <m:t>&gt;</m:t>
        </m:r>
        <m:r>
          <w:rPr>
            <w:sz w:val="22"/>
          </w:rPr>
          <m:t>0</m:t>
        </m:r>
      </m:oMath>
      <w:r>
        <w:t xml:space="preserve">), since a rank gap means nothing when there is no narrative at all. For firms with only one or two claims, empirical-Bayes shrinkage toward the sector-year prior is evaluated in</w:t>
      </w:r>
      <w:r>
        <w:t xml:space="preserve"> </w:t>
      </w:r>
      <w:hyperlink w:anchor="appendix-a11">
        <w:r>
          <w:rPr>
            <w:rStyle w:val="Hipervnculo"/>
          </w:rPr>
          <w:t xml:space="preserve">Appendix A.11</w:t>
        </w:r>
      </w:hyperlink>
      <w:r>
        <w:t xml:space="preserve"> </w:t>
      </w:r>
      <w:r>
        <w:t xml:space="preserve">and the ranking does not depend on low-denominator artifacts.</w:t>
      </w:r>
    </w:p>
    <w:bookmarkEnd w:id="182"/>
    <w:bookmarkStart w:id="185" w:name="appendix-a7"/>
    <w:p>
      <w:pPr>
        <w:pStyle w:val="Ttulo3"/>
      </w:pPr>
      <w:r>
        <w:t xml:space="preserve">A.7 Financial statement data and coverage</w:t>
      </w:r>
    </w:p>
    <w:p>
      <w:pPr>
        <w:pStyle w:val="FirstParagraph"/>
      </w:pPr>
      <w:r>
        <w:t xml:space="preserve">Accounting fundamentals are FactSet’s own standardized annual and quarterly statements</w:t>
      </w:r>
      <w:r>
        <w:t xml:space="preserve"> </w:t>
      </w:r>
      <w:r>
        <w:t xml:space="preserve">(</w:t>
      </w:r>
      <w:hyperlink w:anchor="ref-factset">
        <w:r>
          <w:rPr>
            <w:rStyle w:val="Hipervnculo"/>
          </w:rPr>
          <w:t xml:space="preserve">FactSet Research Systems, n.d.</w:t>
        </w:r>
      </w:hyperlink>
      <w:r>
        <w:t xml:space="preserve">)</w:t>
      </w:r>
      <w:r>
        <w:t xml:space="preserve">; the panel walks a fallback hierarchy of alternative standardized-statement line items for each concept. When a firm’s primary line for a concept is missing in a year, the pipeline moves to the next line in a fixed priority order, and only then leaves the item missing. Nothing is imputed. The R&amp;D mapping below shows that logic, including what is excluded at each step. Frames and disclosed activities are extracted from filing and call text, not from these fundamentals, following the pipeline described in</w:t>
      </w:r>
      <w:r>
        <w:t xml:space="preserve"> </w:t>
      </w:r>
      <w:hyperlink w:anchor="appendix-a6">
        <w:r>
          <w:rPr>
            <w:rStyle w:val="Hipervnculo"/>
          </w:rPr>
          <w:t xml:space="preserve">Appendix A.6</w:t>
        </w:r>
      </w:hyperlink>
      <w:r>
        <w:t xml:space="preserve">; this section is about the financial panel only.</w:t>
      </w:r>
    </w:p>
    <w:p>
      <w:pPr>
        <w:pStyle w:val="Textoindependiente"/>
      </w:pPr>
      <w:r>
        <w:rPr>
          <w:b/>
          <w:bCs/>
        </w:rPr>
        <w:t xml:space="preserve">Point-in-time dating.</w:t>
      </w:r>
      <w:r>
        <w:t xml:space="preserve"> </w:t>
      </w:r>
      <w:r>
        <w:t xml:space="preserve">Every financial and market observation is anchored to a point-in-time date rather than the statement’s own fiscal period end. The primary date is the EDGAR filing date of the Form 10-K (for annual figures) or the Form 10-Q or 10-K (for quarterly figures, since a fiscal fourth quarter is disclosed inside the annual report), matched to the statement by ticker and fiscal period end within a ten-calendar-day window. When no EDGAR filing matches, the date falls back to FactSet’s own earnings-release date.</w:t>
      </w:r>
      <w:r>
        <w:t xml:space="preserve"> </w:t>
      </w:r>
      <w:hyperlink w:anchor="tbl-a5-pit-source">
        <w:r>
          <w:rPr>
            <w:rStyle w:val="Hipervnculo"/>
          </w:rPr>
          <w:t xml:space="preserve">Table 33</w:t>
        </w:r>
      </w:hyperlink>
      <w:r>
        <w:t xml:space="preserve"> </w:t>
      </w:r>
      <w:r>
        <w:t xml:space="preserve">reports the measured share of each source, by grain and by year, over the 2021-2026 analysis window.</w:t>
      </w:r>
    </w:p>
    <w:p>
      <w:pPr>
        <w:pStyle w:val="Textoindependiente"/>
      </w:pPr>
      <w:r>
        <w:rPr>
          <w:b/>
          <w:bCs/>
        </w:rPr>
        <w:t xml:space="preserve">Bank and broker revenue.</w:t>
      </w:r>
      <w:r>
        <w:t xml:space="preserve"> </w:t>
      </w:r>
      <w:r>
        <w:t xml:space="preserve">Depository institutions, security and commodity brokers and other financial intermediaries (SIC 60-62) do not report a</w:t>
      </w:r>
      <w:r>
        <w:t xml:space="preserve"> </w:t>
      </w:r>
      <w:r>
        <w:t xml:space="preserve">“Sales”</w:t>
      </w:r>
      <w:r>
        <w:t xml:space="preserve"> </w:t>
      </w:r>
      <w:r>
        <w:t xml:space="preserve">line under FactSet’s standardized statements, since lending and trading are their business rather than a cost against a sales line. For these firms, revenue is net interest income plus non-interest income; every other firm’s revenue is the standardized</w:t>
      </w:r>
      <w:r>
        <w:t xml:space="preserve"> </w:t>
      </w:r>
      <w:r>
        <w:t xml:space="preserve">“Sales”</w:t>
      </w:r>
      <w:r>
        <w:t xml:space="preserve"> </w:t>
      </w:r>
      <w:r>
        <w:t xml:space="preserve">line. The two are not the same construct, so every revenue-derived figure in this panel (revenue, revenue growth, net margin, asset turnover) carries a</w:t>
      </w:r>
      <w:r>
        <w:t xml:space="preserve"> </w:t>
      </w:r>
      <w:r>
        <w:rPr>
          <w:rStyle w:val="VerbatimChar"/>
        </w:rPr>
        <w:t xml:space="preserve">revenue_basis</w:t>
      </w:r>
      <w:r>
        <w:t xml:space="preserve"> </w:t>
      </w:r>
      <w:r>
        <w:t xml:space="preserve">flag recording which definition applies, and</w:t>
      </w:r>
      <w:r>
        <w:t xml:space="preserve"> </w:t>
      </w:r>
      <w:hyperlink w:anchor="tbl-a5-revenue-basis">
        <w:r>
          <w:rPr>
            <w:rStyle w:val="Hipervnculo"/>
          </w:rPr>
          <w:t xml:space="preserve">Table 34</w:t>
        </w:r>
      </w:hyperlink>
      <w:r>
        <w:t xml:space="preserve"> </w:t>
      </w:r>
      <w:r>
        <w:t xml:space="preserve">reports the resulting split by grain and year, rather than blending the two silently into one</w:t>
      </w:r>
      <w:r>
        <w:t xml:space="preserve"> </w:t>
      </w:r>
      <w:r>
        <w:t xml:space="preserve">“revenue”</w:t>
      </w:r>
      <w:r>
        <w:t xml:space="preserve"> </w:t>
      </w:r>
      <w:r>
        <w:t xml:space="preserve">number.</w:t>
      </w:r>
    </w:p>
    <w:p>
      <w:pPr>
        <w:pStyle w:val="Textoindependiente"/>
      </w:pPr>
      <w:r>
        <w:t xml:space="preserve">Disclosure dates are linked to financial fundamentals by fiscal period: an annual accounting variable matches the fiscal year of its Form 10-K, and an annual growth calculation uses a</w:t>
      </w:r>
      <w:r>
        <w:t xml:space="preserve"> </w:t>
      </w:r>
      <m:oMath>
        <m:d>
          <m:dPr>
            <m:begChr m:val="["/>
            <m:sepChr m:val=""/>
            <m:endChr m:val="]"/>
            <m:grow/>
          </m:dPr>
          <m:e>
            <m:r>
              <w:rPr>
                <w:sz w:val="22"/>
              </w:rPr>
              <m:t>340</m:t>
            </m:r>
            <m:r>
              <m:rPr>
                <m:sty m:val="p"/>
              </m:rPr>
              <w:rPr>
                <w:sz w:val="22"/>
              </w:rPr>
              <m:t>,</m:t>
            </m:r>
            <m:r>
              <w:rPr>
                <w:sz w:val="22"/>
              </w:rPr>
              <m:t>380</m:t>
            </m:r>
          </m:e>
        </m:d>
      </m:oMath>
      <w:r>
        <w:t xml:space="preserve">-day validity window against the nearest prior filing date. Financial ratios are winsorized at the 1st and 99th percentiles so that a small denominator cannot distort them.</w:t>
      </w:r>
    </w:p>
    <w:p>
      <w:pPr>
        <w:pStyle w:val="Textoindependiente"/>
      </w:pPr>
      <w:r>
        <w:rPr>
          <w:b/>
          <w:bCs/>
        </w:rPr>
        <w:t xml:space="preserve">R&amp;D coverage and interpretation.</w:t>
      </w:r>
      <w:r>
        <w:t xml:space="preserve"> </w:t>
      </w:r>
      <w:r>
        <w:t xml:space="preserve">How R&amp;D is reported in statutory filings varies a great deal from one industry to another. Comparable current R&amp;D expense is built from four standardized statement concepts, namely the primary GAAP line, its variant excluding acquired in-process cost, the dedicated software-development line, and the IFRS equivalent, taken in that priority order. Four further lines are excluded as non-comparable: capitalized software (a balance-sheet intangible, not period expense), in-process R&amp;D from purchase accounting (a one-time transaction charge), research tax credits (a tax benefit, not research activity) and extractive exploration expense (ASC 932).</w:t>
      </w:r>
    </w:p>
    <w:p>
      <w:pPr>
        <w:pStyle w:val="Textoindependiente"/>
      </w:pPr>
      <w:r>
        <w:t xml:space="preserve">R&amp;D disclosure is normal in Healthcare, Technology and Manufacturing and almost absent in Financial Services, Utilities and Transportation, where the same spending is expensed inside SG&amp;A or capitalized into physical infrastructure; R&amp;D-to-sales is never imputed as zero for a non-reporting firm, since doing so would treat a bank that does not report software spending as a bank with no technological innovation. Not every missing value follows this pattern: a coverage gap in the underlying statement can also leave the item missing. In the regressions, R&amp;D intensity is either estimated inside the disclosing subsample, with the effective sample size reported, or controlled with a non-reporting indicator.</w:t>
      </w:r>
    </w:p>
    <w:p>
      <w:pPr>
        <w:pStyle w:val="Textoindependiente"/>
      </w:pPr>
      <w:hyperlink w:anchor="tbl-a5-coverage-grain">
        <w:r>
          <w:rPr>
            <w:rStyle w:val="Hipervnculo"/>
          </w:rPr>
          <w:t xml:space="preserve">Table 31</w:t>
        </w:r>
      </w:hyperlink>
      <w:r>
        <w:t xml:space="preserve"> </w:t>
      </w:r>
      <w:r>
        <w:t xml:space="preserve">reports non-null coverage of every tracked market and financial variable at each analysis grain, read directly from the gold covariates and targets tables. Coverage is not pooled across grains: a firm-year beta has a single pre-window, a call carries four beta windows and a firm-quarter carries both a pre- and a post-call window, so each grain’s own denominator is reported rather than one blended figure.</w:t>
      </w:r>
    </w:p>
    <w:bookmarkStart w:id="186" w:name="tbl-a5-coverage-grain"/>
    <w:p>
      <w:pPr>
        <w:keepNext/>
        <w:pStyle w:val="ImageCaption"/>
        <w:jc w:val="left"/>
        <w:spacing w:before="200"/>
        <w:ind w:firstLine="0" w:left="0" w:right="0"/>
      </w:pPr>
      <w:r>
        <w:t xml:space="preserve">Table 31:</w:t>
      </w:r>
      <w:r>
        <w:t xml:space="preserve"> </w:t>
      </w:r>
      <w:r>
        <w:rPr>
          <w:rStyle w:val="CaptionText"/>
        </w:rPr>
        <w:t xml:space="preserve">Non-null coverage of market and financial variables, by analysis grain.</w:t>
      </w:r>
    </w:p>
    <w:tbl>
      <w:tblPr>
        <w:tblStyle w:val="Table"/>
        <w:tblW w:type="auto" w:w="0"/>
        <w:jc w:val="center"/>
        <w:tblLook w:firstRow="1" w:lastRow="0" w:firstColumn="0" w:lastColumn="0" w:noHBand="0" w:noVBand="0" w:val="0020"/>
        <w:tblBorders>
          <w:top w:val="single" w:sz="8" w:space="0" w:color="0F172A"/>
          <w:bottom w:val="single" w:sz="8" w:space="0" w:color="0F172A"/>
          <w:left w:val="none"/>
          <w:right w:val="none"/>
          <w:insideH w:val="single" w:sz="4" w:space="0" w:color="E2E8F0"/>
          <w:insideV w:val="none"/>
        </w:tblBorders>
        <w:tblCellMar>
          <w:top w:w="22" w:type="dxa"/>
          <w:bottom w:w="22" w:type="dxa"/>
          <w:left w:w="40" w:type="dxa"/>
          <w:right w:w="40" w:type="dxa"/>
        </w:tblCellMar>
      </w:tblPr>
      <w:tblGrid>
        <w:gridCol w:w="1584"/>
        <w:gridCol w:w="1584"/>
        <w:gridCol w:w="1584"/>
        <w:gridCol w:w="1584"/>
        <w:gridCol w:w="1584"/>
      </w:tblGrid>
      <w:tr>
        <w:trPr>
          <w:tblHeader w:val="on"/>
          <w:cantSplit/>
          <w:tblHeader/>
        </w:trPr>
        <w:tc>
          <w:tcPr>
            <w:shd w:fill="F1F5F9"/>
            <w:tcBorders>
              <w:bottom w:val="single" w:sz="8" w:space="0" w:color="475569"/>
            </w:tcBorders>
          </w:tcPr>
          <w:p>
            <w:pPr>
              <w:pStyle w:val="Compact"/>
              <w:spacing w:before="8" w:after="8" w:line="240" w:lineRule="auto"/>
              <w:ind w:firstLine="0" w:left="0" w:right="0"/>
              <w:jc w:val="left"/>
              <w:jc w:val="center"/>
            </w:pPr>
            <w:r>
              <w:rPr>
                <w:rFonts w:ascii="Calibri" w:hAnsi="Calibri"/>
                <w:b/>
                <w:color w:val="0F172A"/>
                <w:sz w:val="15"/>
              </w:rPr>
              <w:t xml:space="preserve">Grain</w:t>
            </w:r>
          </w:p>
        </w:tc>
        <w:tc>
          <w:tcPr>
            <w:shd w:fill="F1F5F9"/>
            <w:tcBorders>
              <w:bottom w:val="single" w:sz="8" w:space="0" w:color="475569"/>
            </w:tcBorders>
          </w:tcPr>
          <w:p>
            <w:pPr>
              <w:pStyle w:val="Compact"/>
              <w:spacing w:before="8" w:after="8" w:line="240" w:lineRule="auto"/>
              <w:ind w:firstLine="0" w:left="0" w:right="0"/>
              <w:jc w:val="left"/>
              <w:jc w:val="center"/>
            </w:pPr>
            <w:r>
              <w:rPr>
                <w:rFonts w:ascii="Calibri" w:hAnsi="Calibri"/>
                <w:b/>
                <w:color w:val="0F172A"/>
                <w:sz w:val="15"/>
              </w:rPr>
              <w:t xml:space="preserve">Family</w:t>
            </w:r>
          </w:p>
        </w:tc>
        <w:tc>
          <w:tcPr>
            <w:shd w:fill="F1F5F9"/>
            <w:tcBorders>
              <w:bottom w:val="single" w:sz="8" w:space="0" w:color="475569"/>
            </w:tcBorders>
          </w:tcPr>
          <w:p>
            <w:pPr>
              <w:pStyle w:val="Compact"/>
              <w:spacing w:before="8" w:after="8" w:line="240" w:lineRule="auto"/>
              <w:ind w:firstLine="0" w:left="0" w:right="0"/>
              <w:jc w:val="left"/>
              <w:jc w:val="center"/>
            </w:pPr>
            <w:r>
              <w:rPr>
                <w:rFonts w:ascii="Calibri" w:hAnsi="Calibri"/>
                <w:b/>
                <w:color w:val="0F172A"/>
                <w:sz w:val="15"/>
              </w:rPr>
              <w:t xml:space="preserve">Variable</w:t>
            </w:r>
          </w:p>
        </w:tc>
        <w:tc>
          <w:tcPr>
            <w:shd w:fill="F1F5F9"/>
            <w:tcBorders>
              <w:bottom w:val="single" w:sz="8" w:space="0" w:color="475569"/>
            </w:tcBorders>
          </w:tcPr>
          <w:p>
            <w:pPr>
              <w:pStyle w:val="Compact"/>
              <w:spacing w:before="8" w:after="8" w:line="240" w:lineRule="auto"/>
              <w:ind w:firstLine="0" w:left="0" w:right="0"/>
              <w:jc w:val="left"/>
              <w:jc w:val="center"/>
            </w:pPr>
            <w:r>
              <w:rPr>
                <w:rFonts w:ascii="Calibri" w:hAnsi="Calibri"/>
                <w:b/>
                <w:color w:val="0F172A"/>
                <w:sz w:val="15"/>
              </w:rPr>
              <w:t xml:space="preserve">Non-null / Total</w:t>
            </w:r>
          </w:p>
        </w:tc>
        <w:tc>
          <w:tcPr>
            <w:shd w:fill="F1F5F9"/>
            <w:tcBorders>
              <w:bottom w:val="single" w:sz="8" w:space="0" w:color="475569"/>
            </w:tcBorders>
          </w:tcPr>
          <w:p>
            <w:pPr>
              <w:pStyle w:val="Compact"/>
              <w:spacing w:before="8" w:after="8" w:line="240" w:lineRule="auto"/>
              <w:ind w:firstLine="0" w:left="0" w:right="0"/>
              <w:jc w:val="right"/>
              <w:jc w:val="center"/>
            </w:pPr>
            <w:r>
              <w:rPr>
                <w:rFonts w:ascii="Calibri" w:hAnsi="Calibri"/>
                <w:b/>
                <w:color w:val="0F172A"/>
                <w:sz w:val="15"/>
              </w:rPr>
              <w:t xml:space="preserve">%</w:t>
            </w:r>
          </w:p>
        </w:tc>
      </w:tr>
      <w:tr>
        <w:trPr>
          <w:cantSplit/>
        </w:trPr>
        <w:tc>
          <w:tcPr/>
          <w:p>
            <w:pPr>
              <w:pStyle w:val="Compact"/>
              <w:spacing w:before="8" w:after="8" w:line="240" w:lineRule="auto"/>
              <w:ind w:firstLine="0" w:left="0" w:right="0"/>
              <w:jc w:val="left"/>
              <w:jc w:val="center"/>
            </w:pPr>
            <w:r>
              <w:rPr>
                <w:rFonts w:ascii="Calibri" w:hAnsi="Calibri"/>
                <w:sz w:val="15"/>
              </w:rPr>
              <w:t xml:space="preserve">Firm-year</w:t>
            </w:r>
          </w:p>
        </w:tc>
        <w:tc>
          <w:tcPr/>
          <w:p>
            <w:pPr>
              <w:pStyle w:val="Compact"/>
              <w:spacing w:before="8" w:after="8" w:line="240" w:lineRule="auto"/>
              <w:ind w:firstLine="0" w:left="0" w:right="0"/>
              <w:jc w:val="left"/>
              <w:jc w:val="center"/>
            </w:pPr>
            <w:r>
              <w:rPr>
                <w:rFonts w:ascii="Calibri" w:hAnsi="Calibri"/>
                <w:sz w:val="15"/>
              </w:rPr>
              <w:t xml:space="preserve">financial</w:t>
            </w:r>
          </w:p>
        </w:tc>
        <w:tc>
          <w:tcPr/>
          <w:p>
            <w:pPr>
              <w:pStyle w:val="Compact"/>
              <w:spacing w:before="8" w:after="8" w:line="240" w:lineRule="auto"/>
              <w:ind w:firstLine="0" w:left="0" w:right="0"/>
              <w:jc w:val="left"/>
              <w:jc w:val="center"/>
            </w:pPr>
            <w:r>
              <w:rPr>
                <w:rFonts w:ascii="Calibri" w:hAnsi="Calibri"/>
                <w:sz w:val="15"/>
              </w:rPr>
              <w:t xml:space="preserve">capex</w:t>
            </w:r>
          </w:p>
        </w:tc>
        <w:tc>
          <w:tcPr/>
          <w:p>
            <w:pPr>
              <w:pStyle w:val="Compact"/>
              <w:spacing w:before="8" w:after="8" w:line="240" w:lineRule="auto"/>
              <w:ind w:firstLine="0" w:left="0" w:right="0"/>
              <w:jc w:val="left"/>
              <w:jc w:val="center"/>
            </w:pPr>
            <w:r>
              <w:rPr>
                <w:rFonts w:ascii="Calibri" w:hAnsi="Calibri"/>
                <w:sz w:val="15"/>
              </w:rPr>
              <w:t xml:space="preserve">2,807 / 2,887</w:t>
            </w:r>
          </w:p>
        </w:tc>
        <w:tc>
          <w:tcPr/>
          <w:p>
            <w:pPr>
              <w:pStyle w:val="Compact"/>
              <w:spacing w:before="8" w:after="8" w:line="240" w:lineRule="auto"/>
              <w:ind w:firstLine="0" w:left="0" w:right="0"/>
              <w:jc w:val="right"/>
              <w:jc w:val="center"/>
            </w:pPr>
            <w:r>
              <w:rPr>
                <w:rFonts w:ascii="Calibri" w:hAnsi="Calibri"/>
                <w:sz w:val="15"/>
              </w:rPr>
              <w:t xml:space="preserve">97.2%</w:t>
            </w:r>
          </w:p>
        </w:tc>
      </w:tr>
      <w:tr>
        <w:trPr>
          <w:cantSplit/>
        </w:trPr>
        <w:tc>
          <w:tcPr/>
          <w:p>
            <w:pPr>
              <w:pStyle w:val="Compact"/>
              <w:spacing w:before="8" w:after="8" w:line="240" w:lineRule="auto"/>
              <w:ind w:firstLine="0" w:left="0" w:right="0"/>
              <w:jc w:val="left"/>
              <w:jc w:val="center"/>
            </w:pPr>
            <w:r>
              <w:rPr>
                <w:rFonts w:ascii="Calibri" w:hAnsi="Calibri"/>
                <w:sz w:val="15"/>
              </w:rPr>
              <w:t xml:space="preserve">Firm-year</w:t>
            </w:r>
          </w:p>
        </w:tc>
        <w:tc>
          <w:tcPr/>
          <w:p>
            <w:pPr>
              <w:pStyle w:val="Compact"/>
              <w:spacing w:before="8" w:after="8" w:line="240" w:lineRule="auto"/>
              <w:ind w:firstLine="0" w:left="0" w:right="0"/>
              <w:jc w:val="left"/>
              <w:jc w:val="center"/>
            </w:pPr>
            <w:r>
              <w:rPr>
                <w:rFonts w:ascii="Calibri" w:hAnsi="Calibri"/>
                <w:sz w:val="15"/>
              </w:rPr>
              <w:t xml:space="preserve">financial</w:t>
            </w:r>
          </w:p>
        </w:tc>
        <w:tc>
          <w:tcPr/>
          <w:p>
            <w:pPr>
              <w:pStyle w:val="Compact"/>
              <w:spacing w:before="8" w:after="8" w:line="240" w:lineRule="auto"/>
              <w:ind w:firstLine="0" w:left="0" w:right="0"/>
              <w:jc w:val="left"/>
              <w:jc w:val="center"/>
            </w:pPr>
            <w:r>
              <w:rPr>
                <w:rFonts w:ascii="Calibri" w:hAnsi="Calibri"/>
                <w:sz w:val="15"/>
              </w:rPr>
              <w:t xml:space="preserve">cash</w:t>
            </w:r>
          </w:p>
        </w:tc>
        <w:tc>
          <w:tcPr/>
          <w:p>
            <w:pPr>
              <w:pStyle w:val="Compact"/>
              <w:spacing w:before="8" w:after="8" w:line="240" w:lineRule="auto"/>
              <w:ind w:firstLine="0" w:left="0" w:right="0"/>
              <w:jc w:val="left"/>
              <w:jc w:val="center"/>
            </w:pPr>
            <w:r>
              <w:rPr>
                <w:rFonts w:ascii="Calibri" w:hAnsi="Calibri"/>
                <w:sz w:val="15"/>
              </w:rPr>
              <w:t xml:space="preserve">2,844 / 2,887</w:t>
            </w:r>
          </w:p>
        </w:tc>
        <w:tc>
          <w:tcPr/>
          <w:p>
            <w:pPr>
              <w:pStyle w:val="Compact"/>
              <w:spacing w:before="8" w:after="8" w:line="240" w:lineRule="auto"/>
              <w:ind w:firstLine="0" w:left="0" w:right="0"/>
              <w:jc w:val="right"/>
              <w:jc w:val="center"/>
            </w:pPr>
            <w:r>
              <w:rPr>
                <w:rFonts w:ascii="Calibri" w:hAnsi="Calibri"/>
                <w:sz w:val="15"/>
              </w:rPr>
              <w:t xml:space="preserve">98.5%</w:t>
            </w:r>
          </w:p>
        </w:tc>
      </w:tr>
      <w:tr>
        <w:trPr>
          <w:cantSplit/>
        </w:trPr>
        <w:tc>
          <w:tcPr/>
          <w:p>
            <w:pPr>
              <w:pStyle w:val="Compact"/>
              <w:spacing w:before="8" w:after="8" w:line="240" w:lineRule="auto"/>
              <w:ind w:firstLine="0" w:left="0" w:right="0"/>
              <w:jc w:val="left"/>
              <w:jc w:val="center"/>
            </w:pPr>
            <w:r>
              <w:rPr>
                <w:rFonts w:ascii="Calibri" w:hAnsi="Calibri"/>
                <w:sz w:val="15"/>
              </w:rPr>
              <w:t xml:space="preserve">Firm-year</w:t>
            </w:r>
          </w:p>
        </w:tc>
        <w:tc>
          <w:tcPr/>
          <w:p>
            <w:pPr>
              <w:pStyle w:val="Compact"/>
              <w:spacing w:before="8" w:after="8" w:line="240" w:lineRule="auto"/>
              <w:ind w:firstLine="0" w:left="0" w:right="0"/>
              <w:jc w:val="left"/>
              <w:jc w:val="center"/>
            </w:pPr>
            <w:r>
              <w:rPr>
                <w:rFonts w:ascii="Calibri" w:hAnsi="Calibri"/>
                <w:sz w:val="15"/>
              </w:rPr>
              <w:t xml:space="preserve">financial</w:t>
            </w:r>
          </w:p>
        </w:tc>
        <w:tc>
          <w:tcPr/>
          <w:p>
            <w:pPr>
              <w:pStyle w:val="Compact"/>
              <w:spacing w:before="8" w:after="8" w:line="240" w:lineRule="auto"/>
              <w:ind w:firstLine="0" w:left="0" w:right="0"/>
              <w:jc w:val="left"/>
              <w:jc w:val="center"/>
            </w:pPr>
            <w:r>
              <w:rPr>
                <w:rFonts w:ascii="Calibri" w:hAnsi="Calibri"/>
                <w:sz w:val="15"/>
              </w:rPr>
              <w:t xml:space="preserve">interest_expense</w:t>
            </w:r>
          </w:p>
        </w:tc>
        <w:tc>
          <w:tcPr/>
          <w:p>
            <w:pPr>
              <w:pStyle w:val="Compact"/>
              <w:spacing w:before="8" w:after="8" w:line="240" w:lineRule="auto"/>
              <w:ind w:firstLine="0" w:left="0" w:right="0"/>
              <w:jc w:val="left"/>
              <w:jc w:val="center"/>
            </w:pPr>
            <w:r>
              <w:rPr>
                <w:rFonts w:ascii="Calibri" w:hAnsi="Calibri"/>
                <w:sz w:val="15"/>
              </w:rPr>
              <w:t xml:space="preserve">2,791 / 2,887</w:t>
            </w:r>
          </w:p>
        </w:tc>
        <w:tc>
          <w:tcPr/>
          <w:p>
            <w:pPr>
              <w:pStyle w:val="Compact"/>
              <w:spacing w:before="8" w:after="8" w:line="240" w:lineRule="auto"/>
              <w:ind w:firstLine="0" w:left="0" w:right="0"/>
              <w:jc w:val="right"/>
              <w:jc w:val="center"/>
            </w:pPr>
            <w:r>
              <w:rPr>
                <w:rFonts w:ascii="Calibri" w:hAnsi="Calibri"/>
                <w:sz w:val="15"/>
              </w:rPr>
              <w:t xml:space="preserve">96.7%</w:t>
            </w:r>
          </w:p>
        </w:tc>
      </w:tr>
      <w:tr>
        <w:trPr>
          <w:cantSplit/>
        </w:trPr>
        <w:tc>
          <w:tcPr/>
          <w:p>
            <w:pPr>
              <w:pStyle w:val="Compact"/>
              <w:spacing w:before="8" w:after="8" w:line="240" w:lineRule="auto"/>
              <w:ind w:firstLine="0" w:left="0" w:right="0"/>
              <w:jc w:val="left"/>
              <w:jc w:val="center"/>
            </w:pPr>
            <w:r>
              <w:rPr>
                <w:rFonts w:ascii="Calibri" w:hAnsi="Calibri"/>
                <w:sz w:val="15"/>
              </w:rPr>
              <w:t xml:space="preserve">Firm-year</w:t>
            </w:r>
          </w:p>
        </w:tc>
        <w:tc>
          <w:tcPr/>
          <w:p>
            <w:pPr>
              <w:pStyle w:val="Compact"/>
              <w:spacing w:before="8" w:after="8" w:line="240" w:lineRule="auto"/>
              <w:ind w:firstLine="0" w:left="0" w:right="0"/>
              <w:jc w:val="left"/>
              <w:jc w:val="center"/>
            </w:pPr>
            <w:r>
              <w:rPr>
                <w:rFonts w:ascii="Calibri" w:hAnsi="Calibri"/>
                <w:sz w:val="15"/>
              </w:rPr>
              <w:t xml:space="preserve">financial</w:t>
            </w:r>
          </w:p>
        </w:tc>
        <w:tc>
          <w:tcPr/>
          <w:p>
            <w:pPr>
              <w:pStyle w:val="Compact"/>
              <w:spacing w:before="8" w:after="8" w:line="240" w:lineRule="auto"/>
              <w:ind w:firstLine="0" w:left="0" w:right="0"/>
              <w:jc w:val="left"/>
              <w:jc w:val="center"/>
            </w:pPr>
            <w:r>
              <w:rPr>
                <w:rFonts w:ascii="Calibri" w:hAnsi="Calibri"/>
                <w:sz w:val="15"/>
              </w:rPr>
              <w:t xml:space="preserve">net_margin</w:t>
            </w:r>
          </w:p>
        </w:tc>
        <w:tc>
          <w:tcPr/>
          <w:p>
            <w:pPr>
              <w:pStyle w:val="Compact"/>
              <w:spacing w:before="8" w:after="8" w:line="240" w:lineRule="auto"/>
              <w:ind w:firstLine="0" w:left="0" w:right="0"/>
              <w:jc w:val="left"/>
              <w:jc w:val="center"/>
            </w:pPr>
            <w:r>
              <w:rPr>
                <w:rFonts w:ascii="Calibri" w:hAnsi="Calibri"/>
                <w:sz w:val="15"/>
              </w:rPr>
              <w:t xml:space="preserve">2,844 / 2,887</w:t>
            </w:r>
          </w:p>
        </w:tc>
        <w:tc>
          <w:tcPr/>
          <w:p>
            <w:pPr>
              <w:pStyle w:val="Compact"/>
              <w:spacing w:before="8" w:after="8" w:line="240" w:lineRule="auto"/>
              <w:ind w:firstLine="0" w:left="0" w:right="0"/>
              <w:jc w:val="right"/>
              <w:jc w:val="center"/>
            </w:pPr>
            <w:r>
              <w:rPr>
                <w:rFonts w:ascii="Calibri" w:hAnsi="Calibri"/>
                <w:sz w:val="15"/>
              </w:rPr>
              <w:t xml:space="preserve">98.5%</w:t>
            </w:r>
          </w:p>
        </w:tc>
      </w:tr>
      <w:tr>
        <w:trPr>
          <w:cantSplit/>
        </w:trPr>
        <w:tc>
          <w:tcPr/>
          <w:p>
            <w:pPr>
              <w:pStyle w:val="Compact"/>
              <w:spacing w:before="8" w:after="8" w:line="240" w:lineRule="auto"/>
              <w:ind w:firstLine="0" w:left="0" w:right="0"/>
              <w:jc w:val="left"/>
              <w:jc w:val="center"/>
            </w:pPr>
            <w:r>
              <w:rPr>
                <w:rFonts w:ascii="Calibri" w:hAnsi="Calibri"/>
                <w:sz w:val="15"/>
              </w:rPr>
              <w:t xml:space="preserve">Firm-year</w:t>
            </w:r>
          </w:p>
        </w:tc>
        <w:tc>
          <w:tcPr/>
          <w:p>
            <w:pPr>
              <w:pStyle w:val="Compact"/>
              <w:spacing w:before="8" w:after="8" w:line="240" w:lineRule="auto"/>
              <w:ind w:firstLine="0" w:left="0" w:right="0"/>
              <w:jc w:val="left"/>
              <w:jc w:val="center"/>
            </w:pPr>
            <w:r>
              <w:rPr>
                <w:rFonts w:ascii="Calibri" w:hAnsi="Calibri"/>
                <w:sz w:val="15"/>
              </w:rPr>
              <w:t xml:space="preserve">financial</w:t>
            </w:r>
          </w:p>
        </w:tc>
        <w:tc>
          <w:tcPr/>
          <w:p>
            <w:pPr>
              <w:pStyle w:val="Compact"/>
              <w:spacing w:before="8" w:after="8" w:line="240" w:lineRule="auto"/>
              <w:ind w:firstLine="0" w:left="0" w:right="0"/>
              <w:jc w:val="left"/>
              <w:jc w:val="center"/>
            </w:pPr>
            <w:r>
              <w:rPr>
                <w:rFonts w:ascii="Calibri" w:hAnsi="Calibri"/>
                <w:sz w:val="15"/>
              </w:rPr>
              <w:t xml:space="preserve">rd_expense</w:t>
            </w:r>
          </w:p>
        </w:tc>
        <w:tc>
          <w:tcPr/>
          <w:p>
            <w:pPr>
              <w:pStyle w:val="Compact"/>
              <w:spacing w:before="8" w:after="8" w:line="240" w:lineRule="auto"/>
              <w:ind w:firstLine="0" w:left="0" w:right="0"/>
              <w:jc w:val="left"/>
              <w:jc w:val="center"/>
            </w:pPr>
            <w:r>
              <w:rPr>
                <w:rFonts w:ascii="Calibri" w:hAnsi="Calibri"/>
                <w:sz w:val="15"/>
              </w:rPr>
              <w:t xml:space="preserve">1,272 / 2,887</w:t>
            </w:r>
          </w:p>
        </w:tc>
        <w:tc>
          <w:tcPr/>
          <w:p>
            <w:pPr>
              <w:pStyle w:val="Compact"/>
              <w:spacing w:before="8" w:after="8" w:line="240" w:lineRule="auto"/>
              <w:ind w:firstLine="0" w:left="0" w:right="0"/>
              <w:jc w:val="right"/>
              <w:jc w:val="center"/>
            </w:pPr>
            <w:r>
              <w:rPr>
                <w:rFonts w:ascii="Calibri" w:hAnsi="Calibri"/>
                <w:sz w:val="15"/>
              </w:rPr>
              <w:t xml:space="preserve">44.1%</w:t>
            </w:r>
          </w:p>
        </w:tc>
      </w:tr>
      <w:tr>
        <w:trPr>
          <w:cantSplit/>
        </w:trPr>
        <w:tc>
          <w:tcPr/>
          <w:p>
            <w:pPr>
              <w:pStyle w:val="Compact"/>
              <w:spacing w:before="8" w:after="8" w:line="240" w:lineRule="auto"/>
              <w:ind w:firstLine="0" w:left="0" w:right="0"/>
              <w:jc w:val="left"/>
              <w:jc w:val="center"/>
            </w:pPr>
            <w:r>
              <w:rPr>
                <w:rFonts w:ascii="Calibri" w:hAnsi="Calibri"/>
                <w:sz w:val="15"/>
              </w:rPr>
              <w:t xml:space="preserve">Firm-year</w:t>
            </w:r>
          </w:p>
        </w:tc>
        <w:tc>
          <w:tcPr/>
          <w:p>
            <w:pPr>
              <w:pStyle w:val="Compact"/>
              <w:spacing w:before="8" w:after="8" w:line="240" w:lineRule="auto"/>
              <w:ind w:firstLine="0" w:left="0" w:right="0"/>
              <w:jc w:val="left"/>
              <w:jc w:val="center"/>
            </w:pPr>
            <w:r>
              <w:rPr>
                <w:rFonts w:ascii="Calibri" w:hAnsi="Calibri"/>
                <w:sz w:val="15"/>
              </w:rPr>
              <w:t xml:space="preserve">financial</w:t>
            </w:r>
          </w:p>
        </w:tc>
        <w:tc>
          <w:tcPr/>
          <w:p>
            <w:pPr>
              <w:pStyle w:val="Compact"/>
              <w:spacing w:before="8" w:after="8" w:line="240" w:lineRule="auto"/>
              <w:ind w:firstLine="0" w:left="0" w:right="0"/>
              <w:jc w:val="left"/>
              <w:jc w:val="center"/>
            </w:pPr>
            <w:r>
              <w:rPr>
                <w:rFonts w:ascii="Calibri" w:hAnsi="Calibri"/>
                <w:sz w:val="15"/>
              </w:rPr>
              <w:t xml:space="preserve">revenue</w:t>
            </w:r>
          </w:p>
        </w:tc>
        <w:tc>
          <w:tcPr/>
          <w:p>
            <w:pPr>
              <w:pStyle w:val="Compact"/>
              <w:spacing w:before="8" w:after="8" w:line="240" w:lineRule="auto"/>
              <w:ind w:firstLine="0" w:left="0" w:right="0"/>
              <w:jc w:val="left"/>
              <w:jc w:val="center"/>
            </w:pPr>
            <w:r>
              <w:rPr>
                <w:rFonts w:ascii="Calibri" w:hAnsi="Calibri"/>
                <w:sz w:val="15"/>
              </w:rPr>
              <w:t xml:space="preserve">2,844 / 2,887</w:t>
            </w:r>
          </w:p>
        </w:tc>
        <w:tc>
          <w:tcPr/>
          <w:p>
            <w:pPr>
              <w:pStyle w:val="Compact"/>
              <w:spacing w:before="8" w:after="8" w:line="240" w:lineRule="auto"/>
              <w:ind w:firstLine="0" w:left="0" w:right="0"/>
              <w:jc w:val="right"/>
              <w:jc w:val="center"/>
            </w:pPr>
            <w:r>
              <w:rPr>
                <w:rFonts w:ascii="Calibri" w:hAnsi="Calibri"/>
                <w:sz w:val="15"/>
              </w:rPr>
              <w:t xml:space="preserve">98.5%</w:t>
            </w:r>
          </w:p>
        </w:tc>
      </w:tr>
      <w:tr>
        <w:trPr>
          <w:cantSplit/>
        </w:trPr>
        <w:tc>
          <w:tcPr/>
          <w:p>
            <w:pPr>
              <w:pStyle w:val="Compact"/>
              <w:spacing w:before="8" w:after="8" w:line="240" w:lineRule="auto"/>
              <w:ind w:firstLine="0" w:left="0" w:right="0"/>
              <w:jc w:val="left"/>
              <w:jc w:val="center"/>
            </w:pPr>
            <w:r>
              <w:rPr>
                <w:rFonts w:ascii="Calibri" w:hAnsi="Calibri"/>
                <w:sz w:val="15"/>
              </w:rPr>
              <w:t xml:space="preserve">Firm-year</w:t>
            </w:r>
          </w:p>
        </w:tc>
        <w:tc>
          <w:tcPr/>
          <w:p>
            <w:pPr>
              <w:pStyle w:val="Compact"/>
              <w:spacing w:before="8" w:after="8" w:line="240" w:lineRule="auto"/>
              <w:ind w:firstLine="0" w:left="0" w:right="0"/>
              <w:jc w:val="left"/>
              <w:jc w:val="center"/>
            </w:pPr>
            <w:r>
              <w:rPr>
                <w:rFonts w:ascii="Calibri" w:hAnsi="Calibri"/>
                <w:sz w:val="15"/>
              </w:rPr>
              <w:t xml:space="preserve">financial</w:t>
            </w:r>
          </w:p>
        </w:tc>
        <w:tc>
          <w:tcPr/>
          <w:p>
            <w:pPr>
              <w:pStyle w:val="Compact"/>
              <w:spacing w:before="8" w:after="8" w:line="240" w:lineRule="auto"/>
              <w:ind w:firstLine="0" w:left="0" w:right="0"/>
              <w:jc w:val="left"/>
              <w:jc w:val="center"/>
            </w:pPr>
            <w:r>
              <w:rPr>
                <w:rFonts w:ascii="Calibri" w:hAnsi="Calibri"/>
                <w:sz w:val="15"/>
              </w:rPr>
              <w:t xml:space="preserve">revenue_yoy</w:t>
            </w:r>
          </w:p>
        </w:tc>
        <w:tc>
          <w:tcPr/>
          <w:p>
            <w:pPr>
              <w:pStyle w:val="Compact"/>
              <w:spacing w:before="8" w:after="8" w:line="240" w:lineRule="auto"/>
              <w:ind w:firstLine="0" w:left="0" w:right="0"/>
              <w:jc w:val="left"/>
              <w:jc w:val="center"/>
            </w:pPr>
            <w:r>
              <w:rPr>
                <w:rFonts w:ascii="Calibri" w:hAnsi="Calibri"/>
                <w:sz w:val="15"/>
              </w:rPr>
              <w:t xml:space="preserve">2,835 / 2,887</w:t>
            </w:r>
          </w:p>
        </w:tc>
        <w:tc>
          <w:tcPr/>
          <w:p>
            <w:pPr>
              <w:pStyle w:val="Compact"/>
              <w:spacing w:before="8" w:after="8" w:line="240" w:lineRule="auto"/>
              <w:ind w:firstLine="0" w:left="0" w:right="0"/>
              <w:jc w:val="right"/>
              <w:jc w:val="center"/>
            </w:pPr>
            <w:r>
              <w:rPr>
                <w:rFonts w:ascii="Calibri" w:hAnsi="Calibri"/>
                <w:sz w:val="15"/>
              </w:rPr>
              <w:t xml:space="preserve">98.2%</w:t>
            </w:r>
          </w:p>
        </w:tc>
      </w:tr>
      <w:tr>
        <w:trPr>
          <w:cantSplit/>
        </w:trPr>
        <w:tc>
          <w:tcPr/>
          <w:p>
            <w:pPr>
              <w:pStyle w:val="Compact"/>
              <w:spacing w:before="8" w:after="8" w:line="240" w:lineRule="auto"/>
              <w:ind w:firstLine="0" w:left="0" w:right="0"/>
              <w:jc w:val="left"/>
              <w:jc w:val="center"/>
            </w:pPr>
            <w:r>
              <w:rPr>
                <w:rFonts w:ascii="Calibri" w:hAnsi="Calibri"/>
                <w:sz w:val="15"/>
              </w:rPr>
              <w:t xml:space="preserve">Firm-year</w:t>
            </w:r>
          </w:p>
        </w:tc>
        <w:tc>
          <w:tcPr/>
          <w:p>
            <w:pPr>
              <w:pStyle w:val="Compact"/>
              <w:spacing w:before="8" w:after="8" w:line="240" w:lineRule="auto"/>
              <w:ind w:firstLine="0" w:left="0" w:right="0"/>
              <w:jc w:val="left"/>
              <w:jc w:val="center"/>
            </w:pPr>
            <w:r>
              <w:rPr>
                <w:rFonts w:ascii="Calibri" w:hAnsi="Calibri"/>
                <w:sz w:val="15"/>
              </w:rPr>
              <w:t xml:space="preserve">financial</w:t>
            </w:r>
          </w:p>
        </w:tc>
        <w:tc>
          <w:tcPr/>
          <w:p>
            <w:pPr>
              <w:pStyle w:val="Compact"/>
              <w:spacing w:before="8" w:after="8" w:line="240" w:lineRule="auto"/>
              <w:ind w:firstLine="0" w:left="0" w:right="0"/>
              <w:jc w:val="left"/>
              <w:jc w:val="center"/>
            </w:pPr>
            <w:r>
              <w:rPr>
                <w:rFonts w:ascii="Calibri" w:hAnsi="Calibri"/>
                <w:sz w:val="15"/>
              </w:rPr>
              <w:t xml:space="preserve">roic_minus_wacc</w:t>
            </w:r>
          </w:p>
        </w:tc>
        <w:tc>
          <w:tcPr/>
          <w:p>
            <w:pPr>
              <w:pStyle w:val="Compact"/>
              <w:spacing w:before="8" w:after="8" w:line="240" w:lineRule="auto"/>
              <w:ind w:firstLine="0" w:left="0" w:right="0"/>
              <w:jc w:val="left"/>
              <w:jc w:val="center"/>
            </w:pPr>
            <w:r>
              <w:rPr>
                <w:rFonts w:ascii="Calibri" w:hAnsi="Calibri"/>
                <w:sz w:val="15"/>
              </w:rPr>
              <w:t xml:space="preserve">2,273 / 2,887</w:t>
            </w:r>
          </w:p>
        </w:tc>
        <w:tc>
          <w:tcPr/>
          <w:p>
            <w:pPr>
              <w:pStyle w:val="Compact"/>
              <w:spacing w:before="8" w:after="8" w:line="240" w:lineRule="auto"/>
              <w:ind w:firstLine="0" w:left="0" w:right="0"/>
              <w:jc w:val="right"/>
              <w:jc w:val="center"/>
            </w:pPr>
            <w:r>
              <w:rPr>
                <w:rFonts w:ascii="Calibri" w:hAnsi="Calibri"/>
                <w:sz w:val="15"/>
              </w:rPr>
              <w:t xml:space="preserve">78.7%</w:t>
            </w:r>
          </w:p>
        </w:tc>
      </w:tr>
      <w:tr>
        <w:trPr>
          <w:cantSplit/>
        </w:trPr>
        <w:tc>
          <w:tcPr/>
          <w:p>
            <w:pPr>
              <w:pStyle w:val="Compact"/>
              <w:spacing w:before="8" w:after="8" w:line="240" w:lineRule="auto"/>
              <w:ind w:firstLine="0" w:left="0" w:right="0"/>
              <w:jc w:val="left"/>
              <w:jc w:val="center"/>
            </w:pPr>
            <w:r>
              <w:rPr>
                <w:rFonts w:ascii="Calibri" w:hAnsi="Calibri"/>
                <w:sz w:val="15"/>
              </w:rPr>
              <w:t xml:space="preserve">Firm-year</w:t>
            </w:r>
          </w:p>
        </w:tc>
        <w:tc>
          <w:tcPr/>
          <w:p>
            <w:pPr>
              <w:pStyle w:val="Compact"/>
              <w:spacing w:before="8" w:after="8" w:line="240" w:lineRule="auto"/>
              <w:ind w:firstLine="0" w:left="0" w:right="0"/>
              <w:jc w:val="left"/>
              <w:jc w:val="center"/>
            </w:pPr>
            <w:r>
              <w:rPr>
                <w:rFonts w:ascii="Calibri" w:hAnsi="Calibri"/>
                <w:sz w:val="15"/>
              </w:rPr>
              <w:t xml:space="preserve">financial</w:t>
            </w:r>
          </w:p>
        </w:tc>
        <w:tc>
          <w:tcPr/>
          <w:p>
            <w:pPr>
              <w:pStyle w:val="Compact"/>
              <w:spacing w:before="8" w:after="8" w:line="240" w:lineRule="auto"/>
              <w:ind w:firstLine="0" w:left="0" w:right="0"/>
              <w:jc w:val="left"/>
              <w:jc w:val="center"/>
            </w:pPr>
            <w:r>
              <w:rPr>
                <w:rFonts w:ascii="Calibri" w:hAnsi="Calibri"/>
                <w:sz w:val="15"/>
              </w:rPr>
              <w:t xml:space="preserve">sga_expense</w:t>
            </w:r>
          </w:p>
        </w:tc>
        <w:tc>
          <w:tcPr/>
          <w:p>
            <w:pPr>
              <w:pStyle w:val="Compact"/>
              <w:spacing w:before="8" w:after="8" w:line="240" w:lineRule="auto"/>
              <w:ind w:firstLine="0" w:left="0" w:right="0"/>
              <w:jc w:val="left"/>
              <w:jc w:val="center"/>
            </w:pPr>
            <w:r>
              <w:rPr>
                <w:rFonts w:ascii="Calibri" w:hAnsi="Calibri"/>
                <w:sz w:val="15"/>
              </w:rPr>
              <w:t xml:space="preserve">2,546 / 2,887</w:t>
            </w:r>
          </w:p>
        </w:tc>
        <w:tc>
          <w:tcPr/>
          <w:p>
            <w:pPr>
              <w:pStyle w:val="Compact"/>
              <w:spacing w:before="8" w:after="8" w:line="240" w:lineRule="auto"/>
              <w:ind w:firstLine="0" w:left="0" w:right="0"/>
              <w:jc w:val="right"/>
              <w:jc w:val="center"/>
            </w:pPr>
            <w:r>
              <w:rPr>
                <w:rFonts w:ascii="Calibri" w:hAnsi="Calibri"/>
                <w:sz w:val="15"/>
              </w:rPr>
              <w:t xml:space="preserve">88.2%</w:t>
            </w:r>
          </w:p>
        </w:tc>
      </w:tr>
      <w:tr>
        <w:trPr>
          <w:cantSplit/>
        </w:trPr>
        <w:tc>
          <w:tcPr/>
          <w:p>
            <w:pPr>
              <w:pStyle w:val="Compact"/>
              <w:spacing w:before="8" w:after="8" w:line="240" w:lineRule="auto"/>
              <w:ind w:firstLine="0" w:left="0" w:right="0"/>
              <w:jc w:val="left"/>
              <w:jc w:val="center"/>
            </w:pPr>
            <w:r>
              <w:rPr>
                <w:rFonts w:ascii="Calibri" w:hAnsi="Calibri"/>
                <w:sz w:val="15"/>
              </w:rPr>
              <w:t xml:space="preserve">Firm-year</w:t>
            </w:r>
          </w:p>
        </w:tc>
        <w:tc>
          <w:tcPr/>
          <w:p>
            <w:pPr>
              <w:pStyle w:val="Compact"/>
              <w:spacing w:before="8" w:after="8" w:line="240" w:lineRule="auto"/>
              <w:ind w:firstLine="0" w:left="0" w:right="0"/>
              <w:jc w:val="left"/>
              <w:jc w:val="center"/>
            </w:pPr>
            <w:r>
              <w:rPr>
                <w:rFonts w:ascii="Calibri" w:hAnsi="Calibri"/>
                <w:sz w:val="15"/>
              </w:rPr>
              <w:t xml:space="preserve">market</w:t>
            </w:r>
          </w:p>
        </w:tc>
        <w:tc>
          <w:tcPr/>
          <w:p>
            <w:pPr>
              <w:pStyle w:val="Compact"/>
              <w:spacing w:before="8" w:after="8" w:line="240" w:lineRule="auto"/>
              <w:ind w:firstLine="0" w:left="0" w:right="0"/>
              <w:jc w:val="left"/>
              <w:jc w:val="center"/>
            </w:pPr>
            <w:r>
              <w:rPr>
                <w:rFonts w:ascii="Calibri" w:hAnsi="Calibri"/>
                <w:sz w:val="15"/>
              </w:rPr>
              <w:t xml:space="preserve">beta</w:t>
            </w:r>
          </w:p>
        </w:tc>
        <w:tc>
          <w:tcPr/>
          <w:p>
            <w:pPr>
              <w:pStyle w:val="Compact"/>
              <w:spacing w:before="8" w:after="8" w:line="240" w:lineRule="auto"/>
              <w:ind w:firstLine="0" w:left="0" w:right="0"/>
              <w:jc w:val="left"/>
              <w:jc w:val="center"/>
            </w:pPr>
            <w:r>
              <w:rPr>
                <w:rFonts w:ascii="Calibri" w:hAnsi="Calibri"/>
                <w:sz w:val="15"/>
              </w:rPr>
              <w:t xml:space="preserve">2,843 / 2,887</w:t>
            </w:r>
          </w:p>
        </w:tc>
        <w:tc>
          <w:tcPr/>
          <w:p>
            <w:pPr>
              <w:pStyle w:val="Compact"/>
              <w:spacing w:before="8" w:after="8" w:line="240" w:lineRule="auto"/>
              <w:ind w:firstLine="0" w:left="0" w:right="0"/>
              <w:jc w:val="right"/>
              <w:jc w:val="center"/>
            </w:pPr>
            <w:r>
              <w:rPr>
                <w:rFonts w:ascii="Calibri" w:hAnsi="Calibri"/>
                <w:sz w:val="15"/>
              </w:rPr>
              <w:t xml:space="preserve">98.5%</w:t>
            </w:r>
          </w:p>
        </w:tc>
      </w:tr>
      <w:tr>
        <w:trPr>
          <w:cantSplit/>
        </w:trPr>
        <w:tc>
          <w:tcPr/>
          <w:p>
            <w:pPr>
              <w:pStyle w:val="Compact"/>
              <w:spacing w:before="8" w:after="8" w:line="240" w:lineRule="auto"/>
              <w:ind w:firstLine="0" w:left="0" w:right="0"/>
              <w:jc w:val="left"/>
              <w:jc w:val="center"/>
            </w:pPr>
            <w:r>
              <w:rPr>
                <w:rFonts w:ascii="Calibri" w:hAnsi="Calibri"/>
                <w:sz w:val="15"/>
              </w:rPr>
              <w:t xml:space="preserve">Firm-year</w:t>
            </w:r>
          </w:p>
        </w:tc>
        <w:tc>
          <w:tcPr/>
          <w:p>
            <w:pPr>
              <w:pStyle w:val="Compact"/>
              <w:spacing w:before="8" w:after="8" w:line="240" w:lineRule="auto"/>
              <w:ind w:firstLine="0" w:left="0" w:right="0"/>
              <w:jc w:val="left"/>
              <w:jc w:val="center"/>
            </w:pPr>
            <w:r>
              <w:rPr>
                <w:rFonts w:ascii="Calibri" w:hAnsi="Calibri"/>
                <w:sz w:val="15"/>
              </w:rPr>
              <w:t xml:space="preserve">market</w:t>
            </w:r>
          </w:p>
        </w:tc>
        <w:tc>
          <w:tcPr/>
          <w:p>
            <w:pPr>
              <w:pStyle w:val="Compact"/>
              <w:spacing w:before="8" w:after="8" w:line="240" w:lineRule="auto"/>
              <w:ind w:firstLine="0" w:left="0" w:right="0"/>
              <w:jc w:val="left"/>
              <w:jc w:val="center"/>
            </w:pPr>
            <w:r>
              <w:rPr>
                <w:rFonts w:ascii="Calibri" w:hAnsi="Calibri"/>
                <w:sz w:val="15"/>
              </w:rPr>
              <w:t xml:space="preserve">idio_vol_252d</w:t>
            </w:r>
          </w:p>
        </w:tc>
        <w:tc>
          <w:tcPr/>
          <w:p>
            <w:pPr>
              <w:pStyle w:val="Compact"/>
              <w:spacing w:before="8" w:after="8" w:line="240" w:lineRule="auto"/>
              <w:ind w:firstLine="0" w:left="0" w:right="0"/>
              <w:jc w:val="left"/>
              <w:jc w:val="center"/>
            </w:pPr>
            <w:r>
              <w:rPr>
                <w:rFonts w:ascii="Calibri" w:hAnsi="Calibri"/>
                <w:sz w:val="15"/>
              </w:rPr>
              <w:t xml:space="preserve">2,843 / 2,887</w:t>
            </w:r>
          </w:p>
        </w:tc>
        <w:tc>
          <w:tcPr/>
          <w:p>
            <w:pPr>
              <w:pStyle w:val="Compact"/>
              <w:spacing w:before="8" w:after="8" w:line="240" w:lineRule="auto"/>
              <w:ind w:firstLine="0" w:left="0" w:right="0"/>
              <w:jc w:val="right"/>
              <w:jc w:val="center"/>
            </w:pPr>
            <w:r>
              <w:rPr>
                <w:rFonts w:ascii="Calibri" w:hAnsi="Calibri"/>
                <w:sz w:val="15"/>
              </w:rPr>
              <w:t xml:space="preserve">98.5%</w:t>
            </w:r>
          </w:p>
        </w:tc>
      </w:tr>
      <w:tr>
        <w:trPr>
          <w:cantSplit/>
        </w:trPr>
        <w:tc>
          <w:tcPr/>
          <w:p>
            <w:pPr>
              <w:pStyle w:val="Compact"/>
              <w:spacing w:before="8" w:after="8" w:line="240" w:lineRule="auto"/>
              <w:ind w:firstLine="0" w:left="0" w:right="0"/>
              <w:jc w:val="left"/>
              <w:jc w:val="center"/>
            </w:pPr>
            <w:r>
              <w:rPr>
                <w:rFonts w:ascii="Calibri" w:hAnsi="Calibri"/>
                <w:sz w:val="15"/>
              </w:rPr>
              <w:t xml:space="preserve">Firm-year</w:t>
            </w:r>
          </w:p>
        </w:tc>
        <w:tc>
          <w:tcPr/>
          <w:p>
            <w:pPr>
              <w:pStyle w:val="Compact"/>
              <w:spacing w:before="8" w:after="8" w:line="240" w:lineRule="auto"/>
              <w:ind w:firstLine="0" w:left="0" w:right="0"/>
              <w:jc w:val="left"/>
              <w:jc w:val="center"/>
            </w:pPr>
            <w:r>
              <w:rPr>
                <w:rFonts w:ascii="Calibri" w:hAnsi="Calibri"/>
                <w:sz w:val="15"/>
              </w:rPr>
              <w:t xml:space="preserve">market</w:t>
            </w:r>
          </w:p>
        </w:tc>
        <w:tc>
          <w:tcPr/>
          <w:p>
            <w:pPr>
              <w:pStyle w:val="Compact"/>
              <w:spacing w:before="8" w:after="8" w:line="240" w:lineRule="auto"/>
              <w:ind w:firstLine="0" w:left="0" w:right="0"/>
              <w:jc w:val="left"/>
              <w:jc w:val="center"/>
            </w:pPr>
            <w:r>
              <w:rPr>
                <w:rFonts w:ascii="Calibri" w:hAnsi="Calibri"/>
                <w:sz w:val="15"/>
              </w:rPr>
              <w:t xml:space="preserve">market_cap</w:t>
            </w:r>
          </w:p>
        </w:tc>
        <w:tc>
          <w:tcPr/>
          <w:p>
            <w:pPr>
              <w:pStyle w:val="Compact"/>
              <w:spacing w:before="8" w:after="8" w:line="240" w:lineRule="auto"/>
              <w:ind w:firstLine="0" w:left="0" w:right="0"/>
              <w:jc w:val="left"/>
              <w:jc w:val="center"/>
            </w:pPr>
            <w:r>
              <w:rPr>
                <w:rFonts w:ascii="Calibri" w:hAnsi="Calibri"/>
                <w:sz w:val="15"/>
              </w:rPr>
              <w:t xml:space="preserve">2,844 / 2,887</w:t>
            </w:r>
          </w:p>
        </w:tc>
        <w:tc>
          <w:tcPr/>
          <w:p>
            <w:pPr>
              <w:pStyle w:val="Compact"/>
              <w:spacing w:before="8" w:after="8" w:line="240" w:lineRule="auto"/>
              <w:ind w:firstLine="0" w:left="0" w:right="0"/>
              <w:jc w:val="right"/>
              <w:jc w:val="center"/>
            </w:pPr>
            <w:r>
              <w:rPr>
                <w:rFonts w:ascii="Calibri" w:hAnsi="Calibri"/>
                <w:sz w:val="15"/>
              </w:rPr>
              <w:t xml:space="preserve">98.5%</w:t>
            </w:r>
          </w:p>
        </w:tc>
      </w:tr>
      <w:tr>
        <w:trPr>
          <w:cantSplit/>
        </w:trPr>
        <w:tc>
          <w:tcPr/>
          <w:p>
            <w:pPr>
              <w:pStyle w:val="Compact"/>
              <w:spacing w:before="8" w:after="8" w:line="240" w:lineRule="auto"/>
              <w:ind w:firstLine="0" w:left="0" w:right="0"/>
              <w:jc w:val="left"/>
              <w:jc w:val="center"/>
            </w:pPr>
            <w:r>
              <w:rPr>
                <w:rFonts w:ascii="Calibri" w:hAnsi="Calibri"/>
                <w:sz w:val="15"/>
              </w:rPr>
              <w:t xml:space="preserve">Firm-year</w:t>
            </w:r>
          </w:p>
        </w:tc>
        <w:tc>
          <w:tcPr/>
          <w:p>
            <w:pPr>
              <w:pStyle w:val="Compact"/>
              <w:spacing w:before="8" w:after="8" w:line="240" w:lineRule="auto"/>
              <w:ind w:firstLine="0" w:left="0" w:right="0"/>
              <w:jc w:val="left"/>
              <w:jc w:val="center"/>
            </w:pPr>
            <w:r>
              <w:rPr>
                <w:rFonts w:ascii="Calibri" w:hAnsi="Calibri"/>
                <w:sz w:val="15"/>
              </w:rPr>
              <w:t xml:space="preserve">market</w:t>
            </w:r>
          </w:p>
        </w:tc>
        <w:tc>
          <w:tcPr/>
          <w:p>
            <w:pPr>
              <w:pStyle w:val="Compact"/>
              <w:spacing w:before="8" w:after="8" w:line="240" w:lineRule="auto"/>
              <w:ind w:firstLine="0" w:left="0" w:right="0"/>
              <w:jc w:val="left"/>
              <w:jc w:val="center"/>
            </w:pPr>
            <w:r>
              <w:rPr>
                <w:rFonts w:ascii="Calibri" w:hAnsi="Calibri"/>
                <w:sz w:val="15"/>
              </w:rPr>
              <w:t xml:space="preserve">momentum_12_1</w:t>
            </w:r>
          </w:p>
        </w:tc>
        <w:tc>
          <w:tcPr/>
          <w:p>
            <w:pPr>
              <w:pStyle w:val="Compact"/>
              <w:spacing w:before="8" w:after="8" w:line="240" w:lineRule="auto"/>
              <w:ind w:firstLine="0" w:left="0" w:right="0"/>
              <w:jc w:val="left"/>
              <w:jc w:val="center"/>
            </w:pPr>
            <w:r>
              <w:rPr>
                <w:rFonts w:ascii="Calibri" w:hAnsi="Calibri"/>
                <w:sz w:val="15"/>
              </w:rPr>
              <w:t xml:space="preserve">2,841 / 2,887</w:t>
            </w:r>
          </w:p>
        </w:tc>
        <w:tc>
          <w:tcPr/>
          <w:p>
            <w:pPr>
              <w:pStyle w:val="Compact"/>
              <w:spacing w:before="8" w:after="8" w:line="240" w:lineRule="auto"/>
              <w:ind w:firstLine="0" w:left="0" w:right="0"/>
              <w:jc w:val="right"/>
              <w:jc w:val="center"/>
            </w:pPr>
            <w:r>
              <w:rPr>
                <w:rFonts w:ascii="Calibri" w:hAnsi="Calibri"/>
                <w:sz w:val="15"/>
              </w:rPr>
              <w:t xml:space="preserve">98.4%</w:t>
            </w:r>
          </w:p>
        </w:tc>
      </w:tr>
      <w:tr>
        <w:trPr>
          <w:cantSplit/>
        </w:trPr>
        <w:tc>
          <w:tcPr/>
          <w:p>
            <w:pPr>
              <w:pStyle w:val="Compact"/>
              <w:spacing w:before="8" w:after="8" w:line="240" w:lineRule="auto"/>
              <w:ind w:firstLine="0" w:left="0" w:right="0"/>
              <w:jc w:val="left"/>
              <w:jc w:val="center"/>
            </w:pPr>
            <w:r>
              <w:rPr>
                <w:rFonts w:ascii="Calibri" w:hAnsi="Calibri"/>
                <w:sz w:val="15"/>
              </w:rPr>
              <w:t xml:space="preserve">Firm-year</w:t>
            </w:r>
          </w:p>
        </w:tc>
        <w:tc>
          <w:tcPr/>
          <w:p>
            <w:pPr>
              <w:pStyle w:val="Compact"/>
              <w:spacing w:before="8" w:after="8" w:line="240" w:lineRule="auto"/>
              <w:ind w:firstLine="0" w:left="0" w:right="0"/>
              <w:jc w:val="left"/>
              <w:jc w:val="center"/>
            </w:pPr>
            <w:r>
              <w:rPr>
                <w:rFonts w:ascii="Calibri" w:hAnsi="Calibri"/>
                <w:sz w:val="15"/>
              </w:rPr>
              <w:t xml:space="preserve">market</w:t>
            </w:r>
          </w:p>
        </w:tc>
        <w:tc>
          <w:tcPr/>
          <w:p>
            <w:pPr>
              <w:pStyle w:val="Compact"/>
              <w:spacing w:before="8" w:after="8" w:line="240" w:lineRule="auto"/>
              <w:ind w:firstLine="0" w:left="0" w:right="0"/>
              <w:jc w:val="left"/>
              <w:jc w:val="center"/>
            </w:pPr>
            <w:r>
              <w:rPr>
                <w:rFonts w:ascii="Calibri" w:hAnsi="Calibri"/>
                <w:sz w:val="15"/>
              </w:rPr>
              <w:t xml:space="preserve">ps_ratio</w:t>
            </w:r>
          </w:p>
        </w:tc>
        <w:tc>
          <w:tcPr/>
          <w:p>
            <w:pPr>
              <w:pStyle w:val="Compact"/>
              <w:spacing w:before="8" w:after="8" w:line="240" w:lineRule="auto"/>
              <w:ind w:firstLine="0" w:left="0" w:right="0"/>
              <w:jc w:val="left"/>
              <w:jc w:val="center"/>
            </w:pPr>
            <w:r>
              <w:rPr>
                <w:rFonts w:ascii="Calibri" w:hAnsi="Calibri"/>
                <w:sz w:val="15"/>
              </w:rPr>
              <w:t xml:space="preserve">2,844 / 2,887</w:t>
            </w:r>
          </w:p>
        </w:tc>
        <w:tc>
          <w:tcPr/>
          <w:p>
            <w:pPr>
              <w:pStyle w:val="Compact"/>
              <w:spacing w:before="8" w:after="8" w:line="240" w:lineRule="auto"/>
              <w:ind w:firstLine="0" w:left="0" w:right="0"/>
              <w:jc w:val="right"/>
              <w:jc w:val="center"/>
            </w:pPr>
            <w:r>
              <w:rPr>
                <w:rFonts w:ascii="Calibri" w:hAnsi="Calibri"/>
                <w:sz w:val="15"/>
              </w:rPr>
              <w:t xml:space="preserve">98.5%</w:t>
            </w:r>
          </w:p>
        </w:tc>
      </w:tr>
      <w:tr>
        <w:trPr>
          <w:cantSplit/>
        </w:trPr>
        <w:tc>
          <w:tcPr/>
          <w:p>
            <w:pPr>
              <w:pStyle w:val="Compact"/>
              <w:spacing w:before="8" w:after="8" w:line="240" w:lineRule="auto"/>
              <w:ind w:firstLine="0" w:left="0" w:right="0"/>
              <w:jc w:val="left"/>
              <w:jc w:val="center"/>
            </w:pPr>
            <w:r>
              <w:rPr>
                <w:rFonts w:ascii="Calibri" w:hAnsi="Calibri"/>
                <w:sz w:val="15"/>
              </w:rPr>
              <w:t xml:space="preserve">Firm-quarter</w:t>
            </w:r>
          </w:p>
        </w:tc>
        <w:tc>
          <w:tcPr/>
          <w:p>
            <w:pPr>
              <w:pStyle w:val="Compact"/>
              <w:spacing w:before="8" w:after="8" w:line="240" w:lineRule="auto"/>
              <w:ind w:firstLine="0" w:left="0" w:right="0"/>
              <w:jc w:val="left"/>
              <w:jc w:val="center"/>
            </w:pPr>
            <w:r>
              <w:rPr>
                <w:rFonts w:ascii="Calibri" w:hAnsi="Calibri"/>
                <w:sz w:val="15"/>
              </w:rPr>
              <w:t xml:space="preserve">financial</w:t>
            </w:r>
          </w:p>
        </w:tc>
        <w:tc>
          <w:tcPr/>
          <w:p>
            <w:pPr>
              <w:pStyle w:val="Compact"/>
              <w:spacing w:before="8" w:after="8" w:line="240" w:lineRule="auto"/>
              <w:ind w:firstLine="0" w:left="0" w:right="0"/>
              <w:jc w:val="left"/>
              <w:jc w:val="center"/>
            </w:pPr>
            <w:r>
              <w:rPr>
                <w:rFonts w:ascii="Calibri" w:hAnsi="Calibri"/>
                <w:sz w:val="15"/>
              </w:rPr>
              <w:t xml:space="preserve">capex</w:t>
            </w:r>
          </w:p>
        </w:tc>
        <w:tc>
          <w:tcPr/>
          <w:p>
            <w:pPr>
              <w:pStyle w:val="Compact"/>
              <w:spacing w:before="8" w:after="8" w:line="240" w:lineRule="auto"/>
              <w:ind w:firstLine="0" w:left="0" w:right="0"/>
              <w:jc w:val="left"/>
              <w:jc w:val="center"/>
            </w:pPr>
            <w:r>
              <w:rPr>
                <w:rFonts w:ascii="Calibri" w:hAnsi="Calibri"/>
                <w:sz w:val="15"/>
              </w:rPr>
              <w:t xml:space="preserve">11,836 / 12,086</w:t>
            </w:r>
          </w:p>
        </w:tc>
        <w:tc>
          <w:tcPr/>
          <w:p>
            <w:pPr>
              <w:pStyle w:val="Compact"/>
              <w:spacing w:before="8" w:after="8" w:line="240" w:lineRule="auto"/>
              <w:ind w:firstLine="0" w:left="0" w:right="0"/>
              <w:jc w:val="right"/>
              <w:jc w:val="center"/>
            </w:pPr>
            <w:r>
              <w:rPr>
                <w:rFonts w:ascii="Calibri" w:hAnsi="Calibri"/>
                <w:sz w:val="15"/>
              </w:rPr>
              <w:t xml:space="preserve">97.9%</w:t>
            </w:r>
          </w:p>
        </w:tc>
      </w:tr>
      <w:tr>
        <w:trPr>
          <w:cantSplit/>
        </w:trPr>
        <w:tc>
          <w:tcPr/>
          <w:p>
            <w:pPr>
              <w:pStyle w:val="Compact"/>
              <w:spacing w:before="8" w:after="8" w:line="240" w:lineRule="auto"/>
              <w:ind w:firstLine="0" w:left="0" w:right="0"/>
              <w:jc w:val="left"/>
              <w:jc w:val="center"/>
            </w:pPr>
            <w:r>
              <w:rPr>
                <w:rFonts w:ascii="Calibri" w:hAnsi="Calibri"/>
                <w:sz w:val="15"/>
              </w:rPr>
              <w:t xml:space="preserve">Firm-quarter</w:t>
            </w:r>
          </w:p>
        </w:tc>
        <w:tc>
          <w:tcPr/>
          <w:p>
            <w:pPr>
              <w:pStyle w:val="Compact"/>
              <w:spacing w:before="8" w:after="8" w:line="240" w:lineRule="auto"/>
              <w:ind w:firstLine="0" w:left="0" w:right="0"/>
              <w:jc w:val="left"/>
              <w:jc w:val="center"/>
            </w:pPr>
            <w:r>
              <w:rPr>
                <w:rFonts w:ascii="Calibri" w:hAnsi="Calibri"/>
                <w:sz w:val="15"/>
              </w:rPr>
              <w:t xml:space="preserve">financial</w:t>
            </w:r>
          </w:p>
        </w:tc>
        <w:tc>
          <w:tcPr/>
          <w:p>
            <w:pPr>
              <w:pStyle w:val="Compact"/>
              <w:spacing w:before="8" w:after="8" w:line="240" w:lineRule="auto"/>
              <w:ind w:firstLine="0" w:left="0" w:right="0"/>
              <w:jc w:val="left"/>
              <w:jc w:val="center"/>
            </w:pPr>
            <w:r>
              <w:rPr>
                <w:rFonts w:ascii="Calibri" w:hAnsi="Calibri"/>
                <w:sz w:val="15"/>
              </w:rPr>
              <w:t xml:space="preserve">next_revenue_yoy</w:t>
            </w:r>
          </w:p>
        </w:tc>
        <w:tc>
          <w:tcPr/>
          <w:p>
            <w:pPr>
              <w:pStyle w:val="Compact"/>
              <w:spacing w:before="8" w:after="8" w:line="240" w:lineRule="auto"/>
              <w:ind w:firstLine="0" w:left="0" w:right="0"/>
              <w:jc w:val="left"/>
              <w:jc w:val="center"/>
            </w:pPr>
            <w:r>
              <w:rPr>
                <w:rFonts w:ascii="Calibri" w:hAnsi="Calibri"/>
                <w:sz w:val="15"/>
              </w:rPr>
              <w:t xml:space="preserve">11,516 / 12,086</w:t>
            </w:r>
          </w:p>
        </w:tc>
        <w:tc>
          <w:tcPr/>
          <w:p>
            <w:pPr>
              <w:pStyle w:val="Compact"/>
              <w:spacing w:before="8" w:after="8" w:line="240" w:lineRule="auto"/>
              <w:ind w:firstLine="0" w:left="0" w:right="0"/>
              <w:jc w:val="right"/>
              <w:jc w:val="center"/>
            </w:pPr>
            <w:r>
              <w:rPr>
                <w:rFonts w:ascii="Calibri" w:hAnsi="Calibri"/>
                <w:sz w:val="15"/>
              </w:rPr>
              <w:t xml:space="preserve">95.3%</w:t>
            </w:r>
          </w:p>
        </w:tc>
      </w:tr>
      <w:tr>
        <w:trPr>
          <w:cantSplit/>
        </w:trPr>
        <w:tc>
          <w:tcPr/>
          <w:p>
            <w:pPr>
              <w:pStyle w:val="Compact"/>
              <w:spacing w:before="8" w:after="8" w:line="240" w:lineRule="auto"/>
              <w:ind w:firstLine="0" w:left="0" w:right="0"/>
              <w:jc w:val="left"/>
              <w:jc w:val="center"/>
            </w:pPr>
            <w:r>
              <w:rPr>
                <w:rFonts w:ascii="Calibri" w:hAnsi="Calibri"/>
                <w:sz w:val="15"/>
              </w:rPr>
              <w:t xml:space="preserve">Firm-quarter</w:t>
            </w:r>
          </w:p>
        </w:tc>
        <w:tc>
          <w:tcPr/>
          <w:p>
            <w:pPr>
              <w:pStyle w:val="Compact"/>
              <w:spacing w:before="8" w:after="8" w:line="240" w:lineRule="auto"/>
              <w:ind w:firstLine="0" w:left="0" w:right="0"/>
              <w:jc w:val="left"/>
              <w:jc w:val="center"/>
            </w:pPr>
            <w:r>
              <w:rPr>
                <w:rFonts w:ascii="Calibri" w:hAnsi="Calibri"/>
                <w:sz w:val="15"/>
              </w:rPr>
              <w:t xml:space="preserve">financial</w:t>
            </w:r>
          </w:p>
        </w:tc>
        <w:tc>
          <w:tcPr/>
          <w:p>
            <w:pPr>
              <w:pStyle w:val="Compact"/>
              <w:spacing w:before="8" w:after="8" w:line="240" w:lineRule="auto"/>
              <w:ind w:firstLine="0" w:left="0" w:right="0"/>
              <w:jc w:val="left"/>
              <w:jc w:val="center"/>
            </w:pPr>
            <w:r>
              <w:rPr>
                <w:rFonts w:ascii="Calibri" w:hAnsi="Calibri"/>
                <w:sz w:val="15"/>
              </w:rPr>
              <w:t xml:space="preserve">rd_expense</w:t>
            </w:r>
          </w:p>
        </w:tc>
        <w:tc>
          <w:tcPr/>
          <w:p>
            <w:pPr>
              <w:pStyle w:val="Compact"/>
              <w:spacing w:before="8" w:after="8" w:line="240" w:lineRule="auto"/>
              <w:ind w:firstLine="0" w:left="0" w:right="0"/>
              <w:jc w:val="left"/>
              <w:jc w:val="center"/>
            </w:pPr>
            <w:r>
              <w:rPr>
                <w:rFonts w:ascii="Calibri" w:hAnsi="Calibri"/>
                <w:sz w:val="15"/>
              </w:rPr>
              <w:t xml:space="preserve">4,103 / 12,086</w:t>
            </w:r>
          </w:p>
        </w:tc>
        <w:tc>
          <w:tcPr/>
          <w:p>
            <w:pPr>
              <w:pStyle w:val="Compact"/>
              <w:spacing w:before="8" w:after="8" w:line="240" w:lineRule="auto"/>
              <w:ind w:firstLine="0" w:left="0" w:right="0"/>
              <w:jc w:val="right"/>
              <w:jc w:val="center"/>
            </w:pPr>
            <w:r>
              <w:rPr>
                <w:rFonts w:ascii="Calibri" w:hAnsi="Calibri"/>
                <w:sz w:val="15"/>
              </w:rPr>
              <w:t xml:space="preserve">34.0%</w:t>
            </w:r>
          </w:p>
        </w:tc>
      </w:tr>
      <w:tr>
        <w:trPr>
          <w:cantSplit/>
        </w:trPr>
        <w:tc>
          <w:tcPr/>
          <w:p>
            <w:pPr>
              <w:pStyle w:val="Compact"/>
              <w:spacing w:before="8" w:after="8" w:line="240" w:lineRule="auto"/>
              <w:ind w:firstLine="0" w:left="0" w:right="0"/>
              <w:jc w:val="left"/>
              <w:jc w:val="center"/>
            </w:pPr>
            <w:r>
              <w:rPr>
                <w:rFonts w:ascii="Calibri" w:hAnsi="Calibri"/>
                <w:sz w:val="15"/>
              </w:rPr>
              <w:t xml:space="preserve">Firm-quarter</w:t>
            </w:r>
          </w:p>
        </w:tc>
        <w:tc>
          <w:tcPr/>
          <w:p>
            <w:pPr>
              <w:pStyle w:val="Compact"/>
              <w:spacing w:before="8" w:after="8" w:line="240" w:lineRule="auto"/>
              <w:ind w:firstLine="0" w:left="0" w:right="0"/>
              <w:jc w:val="left"/>
              <w:jc w:val="center"/>
            </w:pPr>
            <w:r>
              <w:rPr>
                <w:rFonts w:ascii="Calibri" w:hAnsi="Calibri"/>
                <w:sz w:val="15"/>
              </w:rPr>
              <w:t xml:space="preserve">financial</w:t>
            </w:r>
          </w:p>
        </w:tc>
        <w:tc>
          <w:tcPr/>
          <w:p>
            <w:pPr>
              <w:pStyle w:val="Compact"/>
              <w:spacing w:before="8" w:after="8" w:line="240" w:lineRule="auto"/>
              <w:ind w:firstLine="0" w:left="0" w:right="0"/>
              <w:jc w:val="left"/>
              <w:jc w:val="center"/>
            </w:pPr>
            <w:r>
              <w:rPr>
                <w:rFonts w:ascii="Calibri" w:hAnsi="Calibri"/>
                <w:sz w:val="15"/>
              </w:rPr>
              <w:t xml:space="preserve">revenue</w:t>
            </w:r>
          </w:p>
        </w:tc>
        <w:tc>
          <w:tcPr/>
          <w:p>
            <w:pPr>
              <w:pStyle w:val="Compact"/>
              <w:spacing w:before="8" w:after="8" w:line="240" w:lineRule="auto"/>
              <w:ind w:firstLine="0" w:left="0" w:right="0"/>
              <w:jc w:val="left"/>
              <w:jc w:val="center"/>
            </w:pPr>
            <w:r>
              <w:rPr>
                <w:rFonts w:ascii="Calibri" w:hAnsi="Calibri"/>
                <w:sz w:val="15"/>
              </w:rPr>
              <w:t xml:space="preserve">12,086 / 12,086</w:t>
            </w:r>
          </w:p>
        </w:tc>
        <w:tc>
          <w:tcPr/>
          <w:p>
            <w:pPr>
              <w:pStyle w:val="Compact"/>
              <w:spacing w:before="8" w:after="8" w:line="240" w:lineRule="auto"/>
              <w:ind w:firstLine="0" w:left="0" w:right="0"/>
              <w:jc w:val="right"/>
              <w:jc w:val="center"/>
            </w:pPr>
            <w:r>
              <w:rPr>
                <w:rFonts w:ascii="Calibri" w:hAnsi="Calibri"/>
                <w:sz w:val="15"/>
              </w:rPr>
              <w:t xml:space="preserve">100.0%</w:t>
            </w:r>
          </w:p>
        </w:tc>
      </w:tr>
      <w:tr>
        <w:trPr>
          <w:cantSplit/>
        </w:trPr>
        <w:tc>
          <w:tcPr/>
          <w:p>
            <w:pPr>
              <w:pStyle w:val="Compact"/>
              <w:spacing w:before="8" w:after="8" w:line="240" w:lineRule="auto"/>
              <w:ind w:firstLine="0" w:left="0" w:right="0"/>
              <w:jc w:val="left"/>
              <w:jc w:val="center"/>
            </w:pPr>
            <w:r>
              <w:rPr>
                <w:rFonts w:ascii="Calibri" w:hAnsi="Calibri"/>
                <w:sz w:val="15"/>
              </w:rPr>
              <w:t xml:space="preserve">Firm-quarter</w:t>
            </w:r>
          </w:p>
        </w:tc>
        <w:tc>
          <w:tcPr/>
          <w:p>
            <w:pPr>
              <w:pStyle w:val="Compact"/>
              <w:spacing w:before="8" w:after="8" w:line="240" w:lineRule="auto"/>
              <w:ind w:firstLine="0" w:left="0" w:right="0"/>
              <w:jc w:val="left"/>
              <w:jc w:val="center"/>
            </w:pPr>
            <w:r>
              <w:rPr>
                <w:rFonts w:ascii="Calibri" w:hAnsi="Calibri"/>
                <w:sz w:val="15"/>
              </w:rPr>
              <w:t xml:space="preserve">financial</w:t>
            </w:r>
          </w:p>
        </w:tc>
        <w:tc>
          <w:tcPr/>
          <w:p>
            <w:pPr>
              <w:pStyle w:val="Compact"/>
              <w:spacing w:before="8" w:after="8" w:line="240" w:lineRule="auto"/>
              <w:ind w:firstLine="0" w:left="0" w:right="0"/>
              <w:jc w:val="left"/>
              <w:jc w:val="center"/>
            </w:pPr>
            <w:r>
              <w:rPr>
                <w:rFonts w:ascii="Calibri" w:hAnsi="Calibri"/>
                <w:sz w:val="15"/>
              </w:rPr>
              <w:t xml:space="preserve">sga_expense</w:t>
            </w:r>
          </w:p>
        </w:tc>
        <w:tc>
          <w:tcPr/>
          <w:p>
            <w:pPr>
              <w:pStyle w:val="Compact"/>
              <w:spacing w:before="8" w:after="8" w:line="240" w:lineRule="auto"/>
              <w:ind w:firstLine="0" w:left="0" w:right="0"/>
              <w:jc w:val="left"/>
              <w:jc w:val="center"/>
            </w:pPr>
            <w:r>
              <w:rPr>
                <w:rFonts w:ascii="Calibri" w:hAnsi="Calibri"/>
                <w:sz w:val="15"/>
              </w:rPr>
              <w:t xml:space="preserve">10,853 / 12,086</w:t>
            </w:r>
          </w:p>
        </w:tc>
        <w:tc>
          <w:tcPr/>
          <w:p>
            <w:pPr>
              <w:pStyle w:val="Compact"/>
              <w:spacing w:before="8" w:after="8" w:line="240" w:lineRule="auto"/>
              <w:ind w:firstLine="0" w:left="0" w:right="0"/>
              <w:jc w:val="right"/>
              <w:jc w:val="center"/>
            </w:pPr>
            <w:r>
              <w:rPr>
                <w:rFonts w:ascii="Calibri" w:hAnsi="Calibri"/>
                <w:sz w:val="15"/>
              </w:rPr>
              <w:t xml:space="preserve">89.8%</w:t>
            </w:r>
          </w:p>
        </w:tc>
      </w:tr>
      <w:tr>
        <w:trPr>
          <w:cantSplit/>
        </w:trPr>
        <w:tc>
          <w:tcPr/>
          <w:p>
            <w:pPr>
              <w:pStyle w:val="Compact"/>
              <w:spacing w:before="8" w:after="8" w:line="240" w:lineRule="auto"/>
              <w:ind w:firstLine="0" w:left="0" w:right="0"/>
              <w:jc w:val="left"/>
              <w:jc w:val="center"/>
            </w:pPr>
            <w:r>
              <w:rPr>
                <w:rFonts w:ascii="Calibri" w:hAnsi="Calibri"/>
                <w:sz w:val="15"/>
              </w:rPr>
              <w:t xml:space="preserve">Firm-quarter</w:t>
            </w:r>
          </w:p>
        </w:tc>
        <w:tc>
          <w:tcPr/>
          <w:p>
            <w:pPr>
              <w:pStyle w:val="Compact"/>
              <w:spacing w:before="8" w:after="8" w:line="240" w:lineRule="auto"/>
              <w:ind w:firstLine="0" w:left="0" w:right="0"/>
              <w:jc w:val="left"/>
              <w:jc w:val="center"/>
            </w:pPr>
            <w:r>
              <w:rPr>
                <w:rFonts w:ascii="Calibri" w:hAnsi="Calibri"/>
                <w:sz w:val="15"/>
              </w:rPr>
              <w:t xml:space="preserve">market</w:t>
            </w:r>
          </w:p>
        </w:tc>
        <w:tc>
          <w:tcPr/>
          <w:p>
            <w:pPr>
              <w:pStyle w:val="Compact"/>
              <w:spacing w:before="8" w:after="8" w:line="240" w:lineRule="auto"/>
              <w:ind w:firstLine="0" w:left="0" w:right="0"/>
              <w:jc w:val="left"/>
              <w:jc w:val="center"/>
            </w:pPr>
            <w:r>
              <w:rPr>
                <w:rFonts w:ascii="Calibri" w:hAnsi="Calibri"/>
                <w:sz w:val="15"/>
              </w:rPr>
              <w:t xml:space="preserve">beta_post_63</w:t>
            </w:r>
          </w:p>
        </w:tc>
        <w:tc>
          <w:tcPr/>
          <w:p>
            <w:pPr>
              <w:pStyle w:val="Compact"/>
              <w:spacing w:before="8" w:after="8" w:line="240" w:lineRule="auto"/>
              <w:ind w:firstLine="0" w:left="0" w:right="0"/>
              <w:jc w:val="left"/>
              <w:jc w:val="center"/>
            </w:pPr>
            <w:r>
              <w:rPr>
                <w:rFonts w:ascii="Calibri" w:hAnsi="Calibri"/>
                <w:sz w:val="15"/>
              </w:rPr>
              <w:t xml:space="preserve">11,551 / 12,086</w:t>
            </w:r>
          </w:p>
        </w:tc>
        <w:tc>
          <w:tcPr/>
          <w:p>
            <w:pPr>
              <w:pStyle w:val="Compact"/>
              <w:spacing w:before="8" w:after="8" w:line="240" w:lineRule="auto"/>
              <w:ind w:firstLine="0" w:left="0" w:right="0"/>
              <w:jc w:val="right"/>
              <w:jc w:val="center"/>
            </w:pPr>
            <w:r>
              <w:rPr>
                <w:rFonts w:ascii="Calibri" w:hAnsi="Calibri"/>
                <w:sz w:val="15"/>
              </w:rPr>
              <w:t xml:space="preserve">95.6%</w:t>
            </w:r>
          </w:p>
        </w:tc>
      </w:tr>
      <w:tr>
        <w:trPr>
          <w:cantSplit/>
        </w:trPr>
        <w:tc>
          <w:tcPr/>
          <w:p>
            <w:pPr>
              <w:pStyle w:val="Compact"/>
              <w:spacing w:before="8" w:after="8" w:line="240" w:lineRule="auto"/>
              <w:ind w:firstLine="0" w:left="0" w:right="0"/>
              <w:jc w:val="left"/>
              <w:jc w:val="center"/>
            </w:pPr>
            <w:r>
              <w:rPr>
                <w:rFonts w:ascii="Calibri" w:hAnsi="Calibri"/>
                <w:sz w:val="15"/>
              </w:rPr>
              <w:t xml:space="preserve">Firm-quarter</w:t>
            </w:r>
          </w:p>
        </w:tc>
        <w:tc>
          <w:tcPr/>
          <w:p>
            <w:pPr>
              <w:pStyle w:val="Compact"/>
              <w:spacing w:before="8" w:after="8" w:line="240" w:lineRule="auto"/>
              <w:ind w:firstLine="0" w:left="0" w:right="0"/>
              <w:jc w:val="left"/>
              <w:jc w:val="center"/>
            </w:pPr>
            <w:r>
              <w:rPr>
                <w:rFonts w:ascii="Calibri" w:hAnsi="Calibri"/>
                <w:sz w:val="15"/>
              </w:rPr>
              <w:t xml:space="preserve">market</w:t>
            </w:r>
          </w:p>
        </w:tc>
        <w:tc>
          <w:tcPr/>
          <w:p>
            <w:pPr>
              <w:pStyle w:val="Compact"/>
              <w:spacing w:before="8" w:after="8" w:line="240" w:lineRule="auto"/>
              <w:ind w:firstLine="0" w:left="0" w:right="0"/>
              <w:jc w:val="left"/>
              <w:jc w:val="center"/>
            </w:pPr>
            <w:r>
              <w:rPr>
                <w:rFonts w:ascii="Calibri" w:hAnsi="Calibri"/>
                <w:sz w:val="15"/>
              </w:rPr>
              <w:t xml:space="preserve">beta_pre_252</w:t>
            </w:r>
          </w:p>
        </w:tc>
        <w:tc>
          <w:tcPr/>
          <w:p>
            <w:pPr>
              <w:pStyle w:val="Compact"/>
              <w:spacing w:before="8" w:after="8" w:line="240" w:lineRule="auto"/>
              <w:ind w:firstLine="0" w:left="0" w:right="0"/>
              <w:jc w:val="left"/>
              <w:jc w:val="center"/>
            </w:pPr>
            <w:r>
              <w:rPr>
                <w:rFonts w:ascii="Calibri" w:hAnsi="Calibri"/>
                <w:sz w:val="15"/>
              </w:rPr>
              <w:t xml:space="preserve">12,075 / 12,086</w:t>
            </w:r>
          </w:p>
        </w:tc>
        <w:tc>
          <w:tcPr/>
          <w:p>
            <w:pPr>
              <w:pStyle w:val="Compact"/>
              <w:spacing w:before="8" w:after="8" w:line="240" w:lineRule="auto"/>
              <w:ind w:firstLine="0" w:left="0" w:right="0"/>
              <w:jc w:val="right"/>
              <w:jc w:val="center"/>
            </w:pPr>
            <w:r>
              <w:rPr>
                <w:rFonts w:ascii="Calibri" w:hAnsi="Calibri"/>
                <w:sz w:val="15"/>
              </w:rPr>
              <w:t xml:space="preserve">99.9%</w:t>
            </w:r>
          </w:p>
        </w:tc>
      </w:tr>
      <w:tr>
        <w:trPr>
          <w:cantSplit/>
        </w:trPr>
        <w:tc>
          <w:tcPr/>
          <w:p>
            <w:pPr>
              <w:pStyle w:val="Compact"/>
              <w:spacing w:before="8" w:after="8" w:line="240" w:lineRule="auto"/>
              <w:ind w:firstLine="0" w:left="0" w:right="0"/>
              <w:jc w:val="left"/>
              <w:jc w:val="center"/>
            </w:pPr>
            <w:r>
              <w:rPr>
                <w:rFonts w:ascii="Calibri" w:hAnsi="Calibri"/>
                <w:sz w:val="15"/>
              </w:rPr>
              <w:t xml:space="preserve">Firm-quarter</w:t>
            </w:r>
          </w:p>
        </w:tc>
        <w:tc>
          <w:tcPr/>
          <w:p>
            <w:pPr>
              <w:pStyle w:val="Compact"/>
              <w:spacing w:before="8" w:after="8" w:line="240" w:lineRule="auto"/>
              <w:ind w:firstLine="0" w:left="0" w:right="0"/>
              <w:jc w:val="left"/>
              <w:jc w:val="center"/>
            </w:pPr>
            <w:r>
              <w:rPr>
                <w:rFonts w:ascii="Calibri" w:hAnsi="Calibri"/>
                <w:sz w:val="15"/>
              </w:rPr>
              <w:t xml:space="preserve">market</w:t>
            </w:r>
          </w:p>
        </w:tc>
        <w:tc>
          <w:tcPr/>
          <w:p>
            <w:pPr>
              <w:pStyle w:val="Compact"/>
              <w:spacing w:before="8" w:after="8" w:line="240" w:lineRule="auto"/>
              <w:ind w:firstLine="0" w:left="0" w:right="0"/>
              <w:jc w:val="left"/>
              <w:jc w:val="center"/>
            </w:pPr>
            <w:r>
              <w:rPr>
                <w:rFonts w:ascii="Calibri" w:hAnsi="Calibri"/>
                <w:sz w:val="15"/>
              </w:rPr>
              <w:t xml:space="preserve">idio_vol_pre_252</w:t>
            </w:r>
          </w:p>
        </w:tc>
        <w:tc>
          <w:tcPr/>
          <w:p>
            <w:pPr>
              <w:pStyle w:val="Compact"/>
              <w:spacing w:before="8" w:after="8" w:line="240" w:lineRule="auto"/>
              <w:ind w:firstLine="0" w:left="0" w:right="0"/>
              <w:jc w:val="left"/>
              <w:jc w:val="center"/>
            </w:pPr>
            <w:r>
              <w:rPr>
                <w:rFonts w:ascii="Calibri" w:hAnsi="Calibri"/>
                <w:sz w:val="15"/>
              </w:rPr>
              <w:t xml:space="preserve">12,075 / 12,086</w:t>
            </w:r>
          </w:p>
        </w:tc>
        <w:tc>
          <w:tcPr/>
          <w:p>
            <w:pPr>
              <w:pStyle w:val="Compact"/>
              <w:spacing w:before="8" w:after="8" w:line="240" w:lineRule="auto"/>
              <w:ind w:firstLine="0" w:left="0" w:right="0"/>
              <w:jc w:val="right"/>
              <w:jc w:val="center"/>
            </w:pPr>
            <w:r>
              <w:rPr>
                <w:rFonts w:ascii="Calibri" w:hAnsi="Calibri"/>
                <w:sz w:val="15"/>
              </w:rPr>
              <w:t xml:space="preserve">99.9%</w:t>
            </w:r>
          </w:p>
        </w:tc>
      </w:tr>
      <w:tr>
        <w:trPr>
          <w:cantSplit/>
        </w:trPr>
        <w:tc>
          <w:tcPr/>
          <w:p>
            <w:pPr>
              <w:pStyle w:val="Compact"/>
              <w:spacing w:before="8" w:after="8" w:line="240" w:lineRule="auto"/>
              <w:ind w:firstLine="0" w:left="0" w:right="0"/>
              <w:jc w:val="left"/>
              <w:jc w:val="center"/>
            </w:pPr>
            <w:r>
              <w:rPr>
                <w:rFonts w:ascii="Calibri" w:hAnsi="Calibri"/>
                <w:sz w:val="15"/>
              </w:rPr>
              <w:t xml:space="preserve">Firm-quarter</w:t>
            </w:r>
          </w:p>
        </w:tc>
        <w:tc>
          <w:tcPr/>
          <w:p>
            <w:pPr>
              <w:pStyle w:val="Compact"/>
              <w:spacing w:before="8" w:after="8" w:line="240" w:lineRule="auto"/>
              <w:ind w:firstLine="0" w:left="0" w:right="0"/>
              <w:jc w:val="left"/>
              <w:jc w:val="center"/>
            </w:pPr>
            <w:r>
              <w:rPr>
                <w:rFonts w:ascii="Calibri" w:hAnsi="Calibri"/>
                <w:sz w:val="15"/>
              </w:rPr>
              <w:t xml:space="preserve">market</w:t>
            </w:r>
          </w:p>
        </w:tc>
        <w:tc>
          <w:tcPr/>
          <w:p>
            <w:pPr>
              <w:pStyle w:val="Compact"/>
              <w:spacing w:before="8" w:after="8" w:line="240" w:lineRule="auto"/>
              <w:ind w:firstLine="0" w:left="0" w:right="0"/>
              <w:jc w:val="left"/>
              <w:jc w:val="center"/>
            </w:pPr>
            <w:r>
              <w:rPr>
                <w:rFonts w:ascii="Calibri" w:hAnsi="Calibri"/>
                <w:sz w:val="15"/>
              </w:rPr>
              <w:t xml:space="preserve">log_market_cap</w:t>
            </w:r>
          </w:p>
        </w:tc>
        <w:tc>
          <w:tcPr/>
          <w:p>
            <w:pPr>
              <w:pStyle w:val="Compact"/>
              <w:spacing w:before="8" w:after="8" w:line="240" w:lineRule="auto"/>
              <w:ind w:firstLine="0" w:left="0" w:right="0"/>
              <w:jc w:val="left"/>
              <w:jc w:val="center"/>
            </w:pPr>
            <w:r>
              <w:rPr>
                <w:rFonts w:ascii="Calibri" w:hAnsi="Calibri"/>
                <w:sz w:val="15"/>
              </w:rPr>
              <w:t xml:space="preserve">12,049 / 12,086</w:t>
            </w:r>
          </w:p>
        </w:tc>
        <w:tc>
          <w:tcPr/>
          <w:p>
            <w:pPr>
              <w:pStyle w:val="Compact"/>
              <w:spacing w:before="8" w:after="8" w:line="240" w:lineRule="auto"/>
              <w:ind w:firstLine="0" w:left="0" w:right="0"/>
              <w:jc w:val="right"/>
              <w:jc w:val="center"/>
            </w:pPr>
            <w:r>
              <w:rPr>
                <w:rFonts w:ascii="Calibri" w:hAnsi="Calibri"/>
                <w:sz w:val="15"/>
              </w:rPr>
              <w:t xml:space="preserve">99.7%</w:t>
            </w:r>
          </w:p>
        </w:tc>
      </w:tr>
      <w:tr>
        <w:trPr>
          <w:cantSplit/>
        </w:trPr>
        <w:tc>
          <w:tcPr/>
          <w:p>
            <w:pPr>
              <w:pStyle w:val="Compact"/>
              <w:spacing w:before="8" w:after="8" w:line="240" w:lineRule="auto"/>
              <w:ind w:firstLine="0" w:left="0" w:right="0"/>
              <w:jc w:val="left"/>
              <w:jc w:val="center"/>
            </w:pPr>
            <w:r>
              <w:rPr>
                <w:rFonts w:ascii="Calibri" w:hAnsi="Calibri"/>
                <w:sz w:val="15"/>
              </w:rPr>
              <w:t xml:space="preserve">Firm-quarter</w:t>
            </w:r>
          </w:p>
        </w:tc>
        <w:tc>
          <w:tcPr/>
          <w:p>
            <w:pPr>
              <w:pStyle w:val="Compact"/>
              <w:spacing w:before="8" w:after="8" w:line="240" w:lineRule="auto"/>
              <w:ind w:firstLine="0" w:left="0" w:right="0"/>
              <w:jc w:val="left"/>
              <w:jc w:val="center"/>
            </w:pPr>
            <w:r>
              <w:rPr>
                <w:rFonts w:ascii="Calibri" w:hAnsi="Calibri"/>
                <w:sz w:val="15"/>
              </w:rPr>
              <w:t xml:space="preserve">market</w:t>
            </w:r>
          </w:p>
        </w:tc>
        <w:tc>
          <w:tcPr/>
          <w:p>
            <w:pPr>
              <w:pStyle w:val="Compact"/>
              <w:spacing w:before="8" w:after="8" w:line="240" w:lineRule="auto"/>
              <w:ind w:firstLine="0" w:left="0" w:right="0"/>
              <w:jc w:val="left"/>
              <w:jc w:val="center"/>
            </w:pPr>
            <w:r>
              <w:rPr>
                <w:rFonts w:ascii="Calibri" w:hAnsi="Calibri"/>
                <w:sz w:val="15"/>
              </w:rPr>
              <w:t xml:space="preserve">ps_ratio</w:t>
            </w:r>
          </w:p>
        </w:tc>
        <w:tc>
          <w:tcPr/>
          <w:p>
            <w:pPr>
              <w:pStyle w:val="Compact"/>
              <w:spacing w:before="8" w:after="8" w:line="240" w:lineRule="auto"/>
              <w:ind w:firstLine="0" w:left="0" w:right="0"/>
              <w:jc w:val="left"/>
              <w:jc w:val="center"/>
            </w:pPr>
            <w:r>
              <w:rPr>
                <w:rFonts w:ascii="Calibri" w:hAnsi="Calibri"/>
                <w:sz w:val="15"/>
              </w:rPr>
              <w:t xml:space="preserve">11,789 / 12,086</w:t>
            </w:r>
          </w:p>
        </w:tc>
        <w:tc>
          <w:tcPr/>
          <w:p>
            <w:pPr>
              <w:pStyle w:val="Compact"/>
              <w:spacing w:before="8" w:after="8" w:line="240" w:lineRule="auto"/>
              <w:ind w:firstLine="0" w:left="0" w:right="0"/>
              <w:jc w:val="right"/>
              <w:jc w:val="center"/>
            </w:pPr>
            <w:r>
              <w:rPr>
                <w:rFonts w:ascii="Calibri" w:hAnsi="Calibri"/>
                <w:sz w:val="15"/>
              </w:rPr>
              <w:t xml:space="preserve">97.5%</w:t>
            </w:r>
          </w:p>
        </w:tc>
      </w:tr>
      <w:tr>
        <w:trPr>
          <w:cantSplit/>
        </w:trPr>
        <w:tc>
          <w:tcPr/>
          <w:p>
            <w:pPr>
              <w:pStyle w:val="Compact"/>
              <w:spacing w:before="8" w:after="8" w:line="240" w:lineRule="auto"/>
              <w:ind w:firstLine="0" w:left="0" w:right="0"/>
              <w:jc w:val="left"/>
              <w:jc w:val="center"/>
            </w:pPr>
            <w:r>
              <w:rPr>
                <w:rFonts w:ascii="Calibri" w:hAnsi="Calibri"/>
                <w:sz w:val="15"/>
              </w:rPr>
              <w:t xml:space="preserve">Call</w:t>
            </w:r>
          </w:p>
        </w:tc>
        <w:tc>
          <w:tcPr/>
          <w:p>
            <w:pPr>
              <w:pStyle w:val="Compact"/>
              <w:spacing w:before="8" w:after="8" w:line="240" w:lineRule="auto"/>
              <w:ind w:firstLine="0" w:left="0" w:right="0"/>
              <w:jc w:val="left"/>
              <w:jc w:val="center"/>
            </w:pPr>
            <w:r>
              <w:rPr>
                <w:rFonts w:ascii="Calibri" w:hAnsi="Calibri"/>
                <w:sz w:val="15"/>
              </w:rPr>
              <w:t xml:space="preserve">financial</w:t>
            </w:r>
          </w:p>
        </w:tc>
        <w:tc>
          <w:tcPr/>
          <w:p>
            <w:pPr>
              <w:pStyle w:val="Compact"/>
              <w:spacing w:before="8" w:after="8" w:line="240" w:lineRule="auto"/>
              <w:ind w:firstLine="0" w:left="0" w:right="0"/>
              <w:jc w:val="left"/>
              <w:jc w:val="center"/>
            </w:pPr>
            <w:r>
              <w:rPr>
                <w:rFonts w:ascii="Calibri" w:hAnsi="Calibri"/>
                <w:sz w:val="15"/>
              </w:rPr>
              <w:t xml:space="preserve">gross_margin_ttm_post</w:t>
            </w:r>
          </w:p>
        </w:tc>
        <w:tc>
          <w:tcPr/>
          <w:p>
            <w:pPr>
              <w:pStyle w:val="Compact"/>
              <w:spacing w:before="8" w:after="8" w:line="240" w:lineRule="auto"/>
              <w:ind w:firstLine="0" w:left="0" w:right="0"/>
              <w:jc w:val="left"/>
              <w:jc w:val="center"/>
            </w:pPr>
            <w:r>
              <w:rPr>
                <w:rFonts w:ascii="Calibri" w:hAnsi="Calibri"/>
                <w:sz w:val="15"/>
              </w:rPr>
              <w:t xml:space="preserve">6,666 / 10,650</w:t>
            </w:r>
          </w:p>
        </w:tc>
        <w:tc>
          <w:tcPr/>
          <w:p>
            <w:pPr>
              <w:pStyle w:val="Compact"/>
              <w:spacing w:before="8" w:after="8" w:line="240" w:lineRule="auto"/>
              <w:ind w:firstLine="0" w:left="0" w:right="0"/>
              <w:jc w:val="right"/>
              <w:jc w:val="center"/>
            </w:pPr>
            <w:r>
              <w:rPr>
                <w:rFonts w:ascii="Calibri" w:hAnsi="Calibri"/>
                <w:sz w:val="15"/>
              </w:rPr>
              <w:t xml:space="preserve">62.6%</w:t>
            </w:r>
          </w:p>
        </w:tc>
      </w:tr>
      <w:tr>
        <w:trPr>
          <w:cantSplit/>
        </w:trPr>
        <w:tc>
          <w:tcPr/>
          <w:p>
            <w:pPr>
              <w:pStyle w:val="Compact"/>
              <w:spacing w:before="8" w:after="8" w:line="240" w:lineRule="auto"/>
              <w:ind w:firstLine="0" w:left="0" w:right="0"/>
              <w:jc w:val="left"/>
              <w:jc w:val="center"/>
            </w:pPr>
            <w:r>
              <w:rPr>
                <w:rFonts w:ascii="Calibri" w:hAnsi="Calibri"/>
                <w:sz w:val="15"/>
              </w:rPr>
              <w:t xml:space="preserve">Call</w:t>
            </w:r>
          </w:p>
        </w:tc>
        <w:tc>
          <w:tcPr/>
          <w:p>
            <w:pPr>
              <w:pStyle w:val="Compact"/>
              <w:spacing w:before="8" w:after="8" w:line="240" w:lineRule="auto"/>
              <w:ind w:firstLine="0" w:left="0" w:right="0"/>
              <w:jc w:val="left"/>
              <w:jc w:val="center"/>
            </w:pPr>
            <w:r>
              <w:rPr>
                <w:rFonts w:ascii="Calibri" w:hAnsi="Calibri"/>
                <w:sz w:val="15"/>
              </w:rPr>
              <w:t xml:space="preserve">financial</w:t>
            </w:r>
          </w:p>
        </w:tc>
        <w:tc>
          <w:tcPr/>
          <w:p>
            <w:pPr>
              <w:pStyle w:val="Compact"/>
              <w:spacing w:before="8" w:after="8" w:line="240" w:lineRule="auto"/>
              <w:ind w:firstLine="0" w:left="0" w:right="0"/>
              <w:jc w:val="left"/>
              <w:jc w:val="center"/>
            </w:pPr>
            <w:r>
              <w:rPr>
                <w:rFonts w:ascii="Calibri" w:hAnsi="Calibri"/>
                <w:sz w:val="15"/>
              </w:rPr>
              <w:t xml:space="preserve">gross_margin_ttm_pre</w:t>
            </w:r>
          </w:p>
        </w:tc>
        <w:tc>
          <w:tcPr/>
          <w:p>
            <w:pPr>
              <w:pStyle w:val="Compact"/>
              <w:spacing w:before="8" w:after="8" w:line="240" w:lineRule="auto"/>
              <w:ind w:firstLine="0" w:left="0" w:right="0"/>
              <w:jc w:val="left"/>
              <w:jc w:val="center"/>
            </w:pPr>
            <w:r>
              <w:rPr>
                <w:rFonts w:ascii="Calibri" w:hAnsi="Calibri"/>
                <w:sz w:val="15"/>
              </w:rPr>
              <w:t xml:space="preserve">8,108 / 10,650</w:t>
            </w:r>
          </w:p>
        </w:tc>
        <w:tc>
          <w:tcPr/>
          <w:p>
            <w:pPr>
              <w:pStyle w:val="Compact"/>
              <w:spacing w:before="8" w:after="8" w:line="240" w:lineRule="auto"/>
              <w:ind w:firstLine="0" w:left="0" w:right="0"/>
              <w:jc w:val="right"/>
              <w:jc w:val="center"/>
            </w:pPr>
            <w:r>
              <w:rPr>
                <w:rFonts w:ascii="Calibri" w:hAnsi="Calibri"/>
                <w:sz w:val="15"/>
              </w:rPr>
              <w:t xml:space="preserve">76.1%</w:t>
            </w:r>
          </w:p>
        </w:tc>
      </w:tr>
      <w:tr>
        <w:trPr>
          <w:cantSplit/>
        </w:trPr>
        <w:tc>
          <w:tcPr/>
          <w:p>
            <w:pPr>
              <w:pStyle w:val="Compact"/>
              <w:spacing w:before="8" w:after="8" w:line="240" w:lineRule="auto"/>
              <w:ind w:firstLine="0" w:left="0" w:right="0"/>
              <w:jc w:val="left"/>
              <w:jc w:val="center"/>
            </w:pPr>
            <w:r>
              <w:rPr>
                <w:rFonts w:ascii="Calibri" w:hAnsi="Calibri"/>
                <w:sz w:val="15"/>
              </w:rPr>
              <w:t xml:space="preserve">Call</w:t>
            </w:r>
          </w:p>
        </w:tc>
        <w:tc>
          <w:tcPr/>
          <w:p>
            <w:pPr>
              <w:pStyle w:val="Compact"/>
              <w:spacing w:before="8" w:after="8" w:line="240" w:lineRule="auto"/>
              <w:ind w:firstLine="0" w:left="0" w:right="0"/>
              <w:jc w:val="left"/>
              <w:jc w:val="center"/>
            </w:pPr>
            <w:r>
              <w:rPr>
                <w:rFonts w:ascii="Calibri" w:hAnsi="Calibri"/>
                <w:sz w:val="15"/>
              </w:rPr>
              <w:t xml:space="preserve">financial</w:t>
            </w:r>
          </w:p>
        </w:tc>
        <w:tc>
          <w:tcPr/>
          <w:p>
            <w:pPr>
              <w:pStyle w:val="Compact"/>
              <w:spacing w:before="8" w:after="8" w:line="240" w:lineRule="auto"/>
              <w:ind w:firstLine="0" w:left="0" w:right="0"/>
              <w:jc w:val="left"/>
              <w:jc w:val="center"/>
            </w:pPr>
            <w:r>
              <w:rPr>
                <w:rFonts w:ascii="Calibri" w:hAnsi="Calibri"/>
                <w:sz w:val="15"/>
              </w:rPr>
              <w:t xml:space="preserve">revenue</w:t>
            </w:r>
          </w:p>
        </w:tc>
        <w:tc>
          <w:tcPr/>
          <w:p>
            <w:pPr>
              <w:pStyle w:val="Compact"/>
              <w:spacing w:before="8" w:after="8" w:line="240" w:lineRule="auto"/>
              <w:ind w:firstLine="0" w:left="0" w:right="0"/>
              <w:jc w:val="left"/>
              <w:jc w:val="center"/>
            </w:pPr>
            <w:r>
              <w:rPr>
                <w:rFonts w:ascii="Calibri" w:hAnsi="Calibri"/>
                <w:sz w:val="15"/>
              </w:rPr>
              <w:t xml:space="preserve">9,957 / 10,650</w:t>
            </w:r>
          </w:p>
        </w:tc>
        <w:tc>
          <w:tcPr/>
          <w:p>
            <w:pPr>
              <w:pStyle w:val="Compact"/>
              <w:spacing w:before="8" w:after="8" w:line="240" w:lineRule="auto"/>
              <w:ind w:firstLine="0" w:left="0" w:right="0"/>
              <w:jc w:val="right"/>
              <w:jc w:val="center"/>
            </w:pPr>
            <w:r>
              <w:rPr>
                <w:rFonts w:ascii="Calibri" w:hAnsi="Calibri"/>
                <w:sz w:val="15"/>
              </w:rPr>
              <w:t xml:space="preserve">93.5%</w:t>
            </w:r>
          </w:p>
        </w:tc>
      </w:tr>
      <w:tr>
        <w:trPr>
          <w:cantSplit/>
        </w:trPr>
        <w:tc>
          <w:tcPr/>
          <w:p>
            <w:pPr>
              <w:pStyle w:val="Compact"/>
              <w:spacing w:before="8" w:after="8" w:line="240" w:lineRule="auto"/>
              <w:ind w:firstLine="0" w:left="0" w:right="0"/>
              <w:jc w:val="left"/>
              <w:jc w:val="center"/>
            </w:pPr>
            <w:r>
              <w:rPr>
                <w:rFonts w:ascii="Calibri" w:hAnsi="Calibri"/>
                <w:sz w:val="15"/>
              </w:rPr>
              <w:t xml:space="preserve">Call</w:t>
            </w:r>
          </w:p>
        </w:tc>
        <w:tc>
          <w:tcPr/>
          <w:p>
            <w:pPr>
              <w:pStyle w:val="Compact"/>
              <w:spacing w:before="8" w:after="8" w:line="240" w:lineRule="auto"/>
              <w:ind w:firstLine="0" w:left="0" w:right="0"/>
              <w:jc w:val="left"/>
              <w:jc w:val="center"/>
            </w:pPr>
            <w:r>
              <w:rPr>
                <w:rFonts w:ascii="Calibri" w:hAnsi="Calibri"/>
                <w:sz w:val="15"/>
              </w:rPr>
              <w:t xml:space="preserve">financial</w:t>
            </w:r>
          </w:p>
        </w:tc>
        <w:tc>
          <w:tcPr/>
          <w:p>
            <w:pPr>
              <w:pStyle w:val="Compact"/>
              <w:spacing w:before="8" w:after="8" w:line="240" w:lineRule="auto"/>
              <w:ind w:firstLine="0" w:left="0" w:right="0"/>
              <w:jc w:val="left"/>
              <w:jc w:val="center"/>
            </w:pPr>
            <w:r>
              <w:rPr>
                <w:rFonts w:ascii="Calibri" w:hAnsi="Calibri"/>
                <w:sz w:val="15"/>
              </w:rPr>
              <w:t xml:space="preserve">revenue_growth_ttm_post</w:t>
            </w:r>
          </w:p>
        </w:tc>
        <w:tc>
          <w:tcPr/>
          <w:p>
            <w:pPr>
              <w:pStyle w:val="Compact"/>
              <w:spacing w:before="8" w:after="8" w:line="240" w:lineRule="auto"/>
              <w:ind w:firstLine="0" w:left="0" w:right="0"/>
              <w:jc w:val="left"/>
              <w:jc w:val="center"/>
            </w:pPr>
            <w:r>
              <w:rPr>
                <w:rFonts w:ascii="Calibri" w:hAnsi="Calibri"/>
                <w:sz w:val="15"/>
              </w:rPr>
              <w:t xml:space="preserve">8,293 / 10,650</w:t>
            </w:r>
          </w:p>
        </w:tc>
        <w:tc>
          <w:tcPr/>
          <w:p>
            <w:pPr>
              <w:pStyle w:val="Compact"/>
              <w:spacing w:before="8" w:after="8" w:line="240" w:lineRule="auto"/>
              <w:ind w:firstLine="0" w:left="0" w:right="0"/>
              <w:jc w:val="right"/>
              <w:jc w:val="center"/>
            </w:pPr>
            <w:r>
              <w:rPr>
                <w:rFonts w:ascii="Calibri" w:hAnsi="Calibri"/>
                <w:sz w:val="15"/>
              </w:rPr>
              <w:t xml:space="preserve">77.9%</w:t>
            </w:r>
          </w:p>
        </w:tc>
      </w:tr>
      <w:tr>
        <w:trPr>
          <w:cantSplit/>
        </w:trPr>
        <w:tc>
          <w:tcPr/>
          <w:p>
            <w:pPr>
              <w:pStyle w:val="Compact"/>
              <w:spacing w:before="8" w:after="8" w:line="240" w:lineRule="auto"/>
              <w:ind w:firstLine="0" w:left="0" w:right="0"/>
              <w:jc w:val="left"/>
              <w:jc w:val="center"/>
            </w:pPr>
            <w:r>
              <w:rPr>
                <w:rFonts w:ascii="Calibri" w:hAnsi="Calibri"/>
                <w:sz w:val="15"/>
              </w:rPr>
              <w:t xml:space="preserve">Call</w:t>
            </w:r>
          </w:p>
        </w:tc>
        <w:tc>
          <w:tcPr/>
          <w:p>
            <w:pPr>
              <w:pStyle w:val="Compact"/>
              <w:spacing w:before="8" w:after="8" w:line="240" w:lineRule="auto"/>
              <w:ind w:firstLine="0" w:left="0" w:right="0"/>
              <w:jc w:val="left"/>
              <w:jc w:val="center"/>
            </w:pPr>
            <w:r>
              <w:rPr>
                <w:rFonts w:ascii="Calibri" w:hAnsi="Calibri"/>
                <w:sz w:val="15"/>
              </w:rPr>
              <w:t xml:space="preserve">financial</w:t>
            </w:r>
          </w:p>
        </w:tc>
        <w:tc>
          <w:tcPr/>
          <w:p>
            <w:pPr>
              <w:pStyle w:val="Compact"/>
              <w:spacing w:before="8" w:after="8" w:line="240" w:lineRule="auto"/>
              <w:ind w:firstLine="0" w:left="0" w:right="0"/>
              <w:jc w:val="left"/>
              <w:jc w:val="center"/>
            </w:pPr>
            <w:r>
              <w:rPr>
                <w:rFonts w:ascii="Calibri" w:hAnsi="Calibri"/>
                <w:sz w:val="15"/>
              </w:rPr>
              <w:t xml:space="preserve">revenue_growth_ttm_pre</w:t>
            </w:r>
          </w:p>
        </w:tc>
        <w:tc>
          <w:tcPr/>
          <w:p>
            <w:pPr>
              <w:pStyle w:val="Compact"/>
              <w:spacing w:before="8" w:after="8" w:line="240" w:lineRule="auto"/>
              <w:ind w:firstLine="0" w:left="0" w:right="0"/>
              <w:jc w:val="left"/>
              <w:jc w:val="center"/>
            </w:pPr>
            <w:r>
              <w:rPr>
                <w:rFonts w:ascii="Calibri" w:hAnsi="Calibri"/>
                <w:sz w:val="15"/>
              </w:rPr>
              <w:t xml:space="preserve">8,222 / 10,650</w:t>
            </w:r>
          </w:p>
        </w:tc>
        <w:tc>
          <w:tcPr/>
          <w:p>
            <w:pPr>
              <w:pStyle w:val="Compact"/>
              <w:spacing w:before="8" w:after="8" w:line="240" w:lineRule="auto"/>
              <w:ind w:firstLine="0" w:left="0" w:right="0"/>
              <w:jc w:val="right"/>
              <w:jc w:val="center"/>
            </w:pPr>
            <w:r>
              <w:rPr>
                <w:rFonts w:ascii="Calibri" w:hAnsi="Calibri"/>
                <w:sz w:val="15"/>
              </w:rPr>
              <w:t xml:space="preserve">77.2%</w:t>
            </w:r>
          </w:p>
        </w:tc>
      </w:tr>
      <w:tr>
        <w:trPr>
          <w:cantSplit/>
        </w:trPr>
        <w:tc>
          <w:tcPr/>
          <w:p>
            <w:pPr>
              <w:pStyle w:val="Compact"/>
              <w:spacing w:before="8" w:after="8" w:line="240" w:lineRule="auto"/>
              <w:ind w:firstLine="0" w:left="0" w:right="0"/>
              <w:jc w:val="left"/>
              <w:jc w:val="center"/>
            </w:pPr>
            <w:r>
              <w:rPr>
                <w:rFonts w:ascii="Calibri" w:hAnsi="Calibri"/>
                <w:sz w:val="15"/>
              </w:rPr>
              <w:t xml:space="preserve">Call</w:t>
            </w:r>
          </w:p>
        </w:tc>
        <w:tc>
          <w:tcPr/>
          <w:p>
            <w:pPr>
              <w:pStyle w:val="Compact"/>
              <w:spacing w:before="8" w:after="8" w:line="240" w:lineRule="auto"/>
              <w:ind w:firstLine="0" w:left="0" w:right="0"/>
              <w:jc w:val="left"/>
              <w:jc w:val="center"/>
            </w:pPr>
            <w:r>
              <w:rPr>
                <w:rFonts w:ascii="Calibri" w:hAnsi="Calibri"/>
                <w:sz w:val="15"/>
              </w:rPr>
              <w:t xml:space="preserve">financial</w:t>
            </w:r>
          </w:p>
        </w:tc>
        <w:tc>
          <w:tcPr/>
          <w:p>
            <w:pPr>
              <w:pStyle w:val="Compact"/>
              <w:spacing w:before="8" w:after="8" w:line="240" w:lineRule="auto"/>
              <w:ind w:firstLine="0" w:left="0" w:right="0"/>
              <w:jc w:val="left"/>
              <w:jc w:val="center"/>
            </w:pPr>
            <w:r>
              <w:rPr>
                <w:rFonts w:ascii="Calibri" w:hAnsi="Calibri"/>
                <w:sz w:val="15"/>
              </w:rPr>
              <w:t xml:space="preserve">roa</w:t>
            </w:r>
          </w:p>
        </w:tc>
        <w:tc>
          <w:tcPr/>
          <w:p>
            <w:pPr>
              <w:pStyle w:val="Compact"/>
              <w:spacing w:before="8" w:after="8" w:line="240" w:lineRule="auto"/>
              <w:ind w:firstLine="0" w:left="0" w:right="0"/>
              <w:jc w:val="left"/>
              <w:jc w:val="center"/>
            </w:pPr>
            <w:r>
              <w:rPr>
                <w:rFonts w:ascii="Calibri" w:hAnsi="Calibri"/>
                <w:sz w:val="15"/>
              </w:rPr>
              <w:t xml:space="preserve">9,957 / 10,650</w:t>
            </w:r>
          </w:p>
        </w:tc>
        <w:tc>
          <w:tcPr/>
          <w:p>
            <w:pPr>
              <w:pStyle w:val="Compact"/>
              <w:spacing w:before="8" w:after="8" w:line="240" w:lineRule="auto"/>
              <w:ind w:firstLine="0" w:left="0" w:right="0"/>
              <w:jc w:val="right"/>
              <w:jc w:val="center"/>
            </w:pPr>
            <w:r>
              <w:rPr>
                <w:rFonts w:ascii="Calibri" w:hAnsi="Calibri"/>
                <w:sz w:val="15"/>
              </w:rPr>
              <w:t xml:space="preserve">93.5%</w:t>
            </w:r>
          </w:p>
        </w:tc>
      </w:tr>
      <w:tr>
        <w:trPr>
          <w:cantSplit/>
        </w:trPr>
        <w:tc>
          <w:tcPr/>
          <w:p>
            <w:pPr>
              <w:pStyle w:val="Compact"/>
              <w:spacing w:before="8" w:after="8" w:line="240" w:lineRule="auto"/>
              <w:ind w:firstLine="0" w:left="0" w:right="0"/>
              <w:jc w:val="left"/>
              <w:jc w:val="center"/>
            </w:pPr>
            <w:r>
              <w:rPr>
                <w:rFonts w:ascii="Calibri" w:hAnsi="Calibri"/>
                <w:sz w:val="15"/>
              </w:rPr>
              <w:t xml:space="preserve">Call</w:t>
            </w:r>
          </w:p>
        </w:tc>
        <w:tc>
          <w:tcPr/>
          <w:p>
            <w:pPr>
              <w:pStyle w:val="Compact"/>
              <w:spacing w:before="8" w:after="8" w:line="240" w:lineRule="auto"/>
              <w:ind w:firstLine="0" w:left="0" w:right="0"/>
              <w:jc w:val="left"/>
              <w:jc w:val="center"/>
            </w:pPr>
            <w:r>
              <w:rPr>
                <w:rFonts w:ascii="Calibri" w:hAnsi="Calibri"/>
                <w:sz w:val="15"/>
              </w:rPr>
              <w:t xml:space="preserve">financial</w:t>
            </w:r>
          </w:p>
        </w:tc>
        <w:tc>
          <w:tcPr/>
          <w:p>
            <w:pPr>
              <w:pStyle w:val="Compact"/>
              <w:spacing w:before="8" w:after="8" w:line="240" w:lineRule="auto"/>
              <w:ind w:firstLine="0" w:left="0" w:right="0"/>
              <w:jc w:val="left"/>
              <w:jc w:val="center"/>
            </w:pPr>
            <w:r>
              <w:rPr>
                <w:rFonts w:ascii="Calibri" w:hAnsi="Calibri"/>
                <w:sz w:val="15"/>
              </w:rPr>
              <w:t xml:space="preserve">roic_minus_wacc_ttm_post</w:t>
            </w:r>
          </w:p>
        </w:tc>
        <w:tc>
          <w:tcPr/>
          <w:p>
            <w:pPr>
              <w:pStyle w:val="Compact"/>
              <w:spacing w:before="8" w:after="8" w:line="240" w:lineRule="auto"/>
              <w:ind w:firstLine="0" w:left="0" w:right="0"/>
              <w:jc w:val="left"/>
              <w:jc w:val="center"/>
            </w:pPr>
            <w:r>
              <w:rPr>
                <w:rFonts w:ascii="Calibri" w:hAnsi="Calibri"/>
                <w:sz w:val="15"/>
              </w:rPr>
              <w:t xml:space="preserve">6,642 / 10,650</w:t>
            </w:r>
          </w:p>
        </w:tc>
        <w:tc>
          <w:tcPr/>
          <w:p>
            <w:pPr>
              <w:pStyle w:val="Compact"/>
              <w:spacing w:before="8" w:after="8" w:line="240" w:lineRule="auto"/>
              <w:ind w:firstLine="0" w:left="0" w:right="0"/>
              <w:jc w:val="right"/>
              <w:jc w:val="center"/>
            </w:pPr>
            <w:r>
              <w:rPr>
                <w:rFonts w:ascii="Calibri" w:hAnsi="Calibri"/>
                <w:sz w:val="15"/>
              </w:rPr>
              <w:t xml:space="preserve">62.4%</w:t>
            </w:r>
          </w:p>
        </w:tc>
      </w:tr>
      <w:tr>
        <w:trPr>
          <w:cantSplit/>
        </w:trPr>
        <w:tc>
          <w:tcPr/>
          <w:p>
            <w:pPr>
              <w:pStyle w:val="Compact"/>
              <w:spacing w:before="8" w:after="8" w:line="240" w:lineRule="auto"/>
              <w:ind w:firstLine="0" w:left="0" w:right="0"/>
              <w:jc w:val="left"/>
              <w:jc w:val="center"/>
            </w:pPr>
            <w:r>
              <w:rPr>
                <w:rFonts w:ascii="Calibri" w:hAnsi="Calibri"/>
                <w:sz w:val="15"/>
              </w:rPr>
              <w:t xml:space="preserve">Call</w:t>
            </w:r>
          </w:p>
        </w:tc>
        <w:tc>
          <w:tcPr/>
          <w:p>
            <w:pPr>
              <w:pStyle w:val="Compact"/>
              <w:spacing w:before="8" w:after="8" w:line="240" w:lineRule="auto"/>
              <w:ind w:firstLine="0" w:left="0" w:right="0"/>
              <w:jc w:val="left"/>
              <w:jc w:val="center"/>
            </w:pPr>
            <w:r>
              <w:rPr>
                <w:rFonts w:ascii="Calibri" w:hAnsi="Calibri"/>
                <w:sz w:val="15"/>
              </w:rPr>
              <w:t xml:space="preserve">financial</w:t>
            </w:r>
          </w:p>
        </w:tc>
        <w:tc>
          <w:tcPr/>
          <w:p>
            <w:pPr>
              <w:pStyle w:val="Compact"/>
              <w:spacing w:before="8" w:after="8" w:line="240" w:lineRule="auto"/>
              <w:ind w:firstLine="0" w:left="0" w:right="0"/>
              <w:jc w:val="left"/>
              <w:jc w:val="center"/>
            </w:pPr>
            <w:r>
              <w:rPr>
                <w:rFonts w:ascii="Calibri" w:hAnsi="Calibri"/>
                <w:sz w:val="15"/>
              </w:rPr>
              <w:t xml:space="preserve">roic_minus_wacc_ttm_pre</w:t>
            </w:r>
          </w:p>
        </w:tc>
        <w:tc>
          <w:tcPr/>
          <w:p>
            <w:pPr>
              <w:pStyle w:val="Compact"/>
              <w:spacing w:before="8" w:after="8" w:line="240" w:lineRule="auto"/>
              <w:ind w:firstLine="0" w:left="0" w:right="0"/>
              <w:jc w:val="left"/>
              <w:jc w:val="center"/>
            </w:pPr>
            <w:r>
              <w:rPr>
                <w:rFonts w:ascii="Calibri" w:hAnsi="Calibri"/>
                <w:sz w:val="15"/>
              </w:rPr>
              <w:t xml:space="preserve">8,098 / 10,650</w:t>
            </w:r>
          </w:p>
        </w:tc>
        <w:tc>
          <w:tcPr/>
          <w:p>
            <w:pPr>
              <w:pStyle w:val="Compact"/>
              <w:spacing w:before="8" w:after="8" w:line="240" w:lineRule="auto"/>
              <w:ind w:firstLine="0" w:left="0" w:right="0"/>
              <w:jc w:val="right"/>
              <w:jc w:val="center"/>
            </w:pPr>
            <w:r>
              <w:rPr>
                <w:rFonts w:ascii="Calibri" w:hAnsi="Calibri"/>
                <w:sz w:val="15"/>
              </w:rPr>
              <w:t xml:space="preserve">76.0%</w:t>
            </w:r>
          </w:p>
        </w:tc>
      </w:tr>
      <w:tr>
        <w:trPr>
          <w:cantSplit/>
        </w:trPr>
        <w:tc>
          <w:tcPr/>
          <w:p>
            <w:pPr>
              <w:pStyle w:val="Compact"/>
              <w:spacing w:before="8" w:after="8" w:line="240" w:lineRule="auto"/>
              <w:ind w:firstLine="0" w:left="0" w:right="0"/>
              <w:jc w:val="left"/>
              <w:jc w:val="center"/>
            </w:pPr>
            <w:r>
              <w:rPr>
                <w:rFonts w:ascii="Calibri" w:hAnsi="Calibri"/>
                <w:sz w:val="15"/>
              </w:rPr>
              <w:t xml:space="preserve">Call</w:t>
            </w:r>
          </w:p>
        </w:tc>
        <w:tc>
          <w:tcPr/>
          <w:p>
            <w:pPr>
              <w:pStyle w:val="Compact"/>
              <w:spacing w:before="8" w:after="8" w:line="240" w:lineRule="auto"/>
              <w:ind w:firstLine="0" w:left="0" w:right="0"/>
              <w:jc w:val="left"/>
              <w:jc w:val="center"/>
            </w:pPr>
            <w:r>
              <w:rPr>
                <w:rFonts w:ascii="Calibri" w:hAnsi="Calibri"/>
                <w:sz w:val="15"/>
              </w:rPr>
              <w:t xml:space="preserve">market</w:t>
            </w:r>
          </w:p>
        </w:tc>
        <w:tc>
          <w:tcPr/>
          <w:p>
            <w:pPr>
              <w:pStyle w:val="Compact"/>
              <w:spacing w:before="8" w:after="8" w:line="240" w:lineRule="auto"/>
              <w:ind w:firstLine="0" w:left="0" w:right="0"/>
              <w:jc w:val="left"/>
              <w:jc w:val="center"/>
            </w:pPr>
            <w:r>
              <w:rPr>
                <w:rFonts w:ascii="Calibri" w:hAnsi="Calibri"/>
                <w:sz w:val="15"/>
              </w:rPr>
              <w:t xml:space="preserve">beta_pre</w:t>
            </w:r>
          </w:p>
        </w:tc>
        <w:tc>
          <w:tcPr/>
          <w:p>
            <w:pPr>
              <w:pStyle w:val="Compact"/>
              <w:spacing w:before="8" w:after="8" w:line="240" w:lineRule="auto"/>
              <w:ind w:firstLine="0" w:left="0" w:right="0"/>
              <w:jc w:val="left"/>
              <w:jc w:val="center"/>
            </w:pPr>
            <w:r>
              <w:rPr>
                <w:rFonts w:ascii="Calibri" w:hAnsi="Calibri"/>
                <w:sz w:val="15"/>
              </w:rPr>
              <w:t xml:space="preserve">10,645 / 10,650</w:t>
            </w:r>
          </w:p>
        </w:tc>
        <w:tc>
          <w:tcPr/>
          <w:p>
            <w:pPr>
              <w:pStyle w:val="Compact"/>
              <w:spacing w:before="8" w:after="8" w:line="240" w:lineRule="auto"/>
              <w:ind w:firstLine="0" w:left="0" w:right="0"/>
              <w:jc w:val="right"/>
              <w:jc w:val="center"/>
            </w:pPr>
            <w:r>
              <w:rPr>
                <w:rFonts w:ascii="Calibri" w:hAnsi="Calibri"/>
                <w:sz w:val="15"/>
              </w:rPr>
              <w:t xml:space="preserve">100.0%</w:t>
            </w:r>
          </w:p>
        </w:tc>
      </w:tr>
      <w:tr>
        <w:trPr>
          <w:cantSplit/>
        </w:trPr>
        <w:tc>
          <w:tcPr/>
          <w:p>
            <w:pPr>
              <w:pStyle w:val="Compact"/>
              <w:spacing w:before="8" w:after="8" w:line="240" w:lineRule="auto"/>
              <w:ind w:firstLine="0" w:left="0" w:right="0"/>
              <w:jc w:val="left"/>
              <w:jc w:val="center"/>
            </w:pPr>
            <w:r>
              <w:rPr>
                <w:rFonts w:ascii="Calibri" w:hAnsi="Calibri"/>
                <w:sz w:val="15"/>
              </w:rPr>
              <w:t xml:space="preserve">Call</w:t>
            </w:r>
          </w:p>
        </w:tc>
        <w:tc>
          <w:tcPr/>
          <w:p>
            <w:pPr>
              <w:pStyle w:val="Compact"/>
              <w:spacing w:before="8" w:after="8" w:line="240" w:lineRule="auto"/>
              <w:ind w:firstLine="0" w:left="0" w:right="0"/>
              <w:jc w:val="left"/>
              <w:jc w:val="center"/>
            </w:pPr>
            <w:r>
              <w:rPr>
                <w:rFonts w:ascii="Calibri" w:hAnsi="Calibri"/>
                <w:sz w:val="15"/>
              </w:rPr>
              <w:t xml:space="preserve">market</w:t>
            </w:r>
          </w:p>
        </w:tc>
        <w:tc>
          <w:tcPr/>
          <w:p>
            <w:pPr>
              <w:pStyle w:val="Compact"/>
              <w:spacing w:before="8" w:after="8" w:line="240" w:lineRule="auto"/>
              <w:ind w:firstLine="0" w:left="0" w:right="0"/>
              <w:jc w:val="left"/>
              <w:jc w:val="center"/>
            </w:pPr>
            <w:r>
              <w:rPr>
                <w:rFonts w:ascii="Calibri" w:hAnsi="Calibri"/>
                <w:sz w:val="15"/>
              </w:rPr>
              <w:t xml:space="preserve">beta_shift_delta</w:t>
            </w:r>
          </w:p>
        </w:tc>
        <w:tc>
          <w:tcPr/>
          <w:p>
            <w:pPr>
              <w:pStyle w:val="Compact"/>
              <w:spacing w:before="8" w:after="8" w:line="240" w:lineRule="auto"/>
              <w:ind w:firstLine="0" w:left="0" w:right="0"/>
              <w:jc w:val="left"/>
              <w:jc w:val="center"/>
            </w:pPr>
            <w:r>
              <w:rPr>
                <w:rFonts w:ascii="Calibri" w:hAnsi="Calibri"/>
                <w:sz w:val="15"/>
              </w:rPr>
              <w:t xml:space="preserve">10,124 / 10,650</w:t>
            </w:r>
          </w:p>
        </w:tc>
        <w:tc>
          <w:tcPr/>
          <w:p>
            <w:pPr>
              <w:pStyle w:val="Compact"/>
              <w:spacing w:before="8" w:after="8" w:line="240" w:lineRule="auto"/>
              <w:ind w:firstLine="0" w:left="0" w:right="0"/>
              <w:jc w:val="right"/>
              <w:jc w:val="center"/>
            </w:pPr>
            <w:r>
              <w:rPr>
                <w:rFonts w:ascii="Calibri" w:hAnsi="Calibri"/>
                <w:sz w:val="15"/>
              </w:rPr>
              <w:t xml:space="preserve">95.1%</w:t>
            </w:r>
          </w:p>
        </w:tc>
      </w:tr>
      <w:tr>
        <w:trPr>
          <w:cantSplit/>
        </w:trPr>
        <w:tc>
          <w:tcPr/>
          <w:p>
            <w:pPr>
              <w:pStyle w:val="Compact"/>
              <w:spacing w:before="8" w:after="8" w:line="240" w:lineRule="auto"/>
              <w:ind w:firstLine="0" w:left="0" w:right="0"/>
              <w:jc w:val="left"/>
              <w:jc w:val="center"/>
            </w:pPr>
            <w:r>
              <w:rPr>
                <w:rFonts w:ascii="Calibri" w:hAnsi="Calibri"/>
                <w:sz w:val="15"/>
              </w:rPr>
              <w:t xml:space="preserve">Call</w:t>
            </w:r>
          </w:p>
        </w:tc>
        <w:tc>
          <w:tcPr/>
          <w:p>
            <w:pPr>
              <w:pStyle w:val="Compact"/>
              <w:spacing w:before="8" w:after="8" w:line="240" w:lineRule="auto"/>
              <w:ind w:firstLine="0" w:left="0" w:right="0"/>
              <w:jc w:val="left"/>
              <w:jc w:val="center"/>
            </w:pPr>
            <w:r>
              <w:rPr>
                <w:rFonts w:ascii="Calibri" w:hAnsi="Calibri"/>
                <w:sz w:val="15"/>
              </w:rPr>
              <w:t xml:space="preserve">market</w:t>
            </w:r>
          </w:p>
        </w:tc>
        <w:tc>
          <w:tcPr/>
          <w:p>
            <w:pPr>
              <w:pStyle w:val="Compact"/>
              <w:spacing w:before="8" w:after="8" w:line="240" w:lineRule="auto"/>
              <w:ind w:firstLine="0" w:left="0" w:right="0"/>
              <w:jc w:val="left"/>
              <w:jc w:val="center"/>
            </w:pPr>
            <w:r>
              <w:rPr>
                <w:rFonts w:ascii="Calibri" w:hAnsi="Calibri"/>
                <w:sz w:val="15"/>
              </w:rPr>
              <w:t xml:space="preserve">beta_shift_pre</w:t>
            </w:r>
          </w:p>
        </w:tc>
        <w:tc>
          <w:tcPr/>
          <w:p>
            <w:pPr>
              <w:pStyle w:val="Compact"/>
              <w:spacing w:before="8" w:after="8" w:line="240" w:lineRule="auto"/>
              <w:ind w:firstLine="0" w:left="0" w:right="0"/>
              <w:jc w:val="left"/>
              <w:jc w:val="center"/>
            </w:pPr>
            <w:r>
              <w:rPr>
                <w:rFonts w:ascii="Calibri" w:hAnsi="Calibri"/>
                <w:sz w:val="15"/>
              </w:rPr>
              <w:t xml:space="preserve">10,124 / 10,650</w:t>
            </w:r>
          </w:p>
        </w:tc>
        <w:tc>
          <w:tcPr/>
          <w:p>
            <w:pPr>
              <w:pStyle w:val="Compact"/>
              <w:spacing w:before="8" w:after="8" w:line="240" w:lineRule="auto"/>
              <w:ind w:firstLine="0" w:left="0" w:right="0"/>
              <w:jc w:val="right"/>
              <w:jc w:val="center"/>
            </w:pPr>
            <w:r>
              <w:rPr>
                <w:rFonts w:ascii="Calibri" w:hAnsi="Calibri"/>
                <w:sz w:val="15"/>
              </w:rPr>
              <w:t xml:space="preserve">95.1%</w:t>
            </w:r>
          </w:p>
        </w:tc>
      </w:tr>
      <w:tr>
        <w:trPr>
          <w:cantSplit/>
        </w:trPr>
        <w:tc>
          <w:tcPr/>
          <w:p>
            <w:pPr>
              <w:pStyle w:val="Compact"/>
              <w:spacing w:before="8" w:after="8" w:line="240" w:lineRule="auto"/>
              <w:ind w:firstLine="0" w:left="0" w:right="0"/>
              <w:jc w:val="left"/>
              <w:jc w:val="center"/>
            </w:pPr>
            <w:r>
              <w:rPr>
                <w:rFonts w:ascii="Calibri" w:hAnsi="Calibri"/>
                <w:sz w:val="15"/>
              </w:rPr>
              <w:t xml:space="preserve">Call</w:t>
            </w:r>
          </w:p>
        </w:tc>
        <w:tc>
          <w:tcPr/>
          <w:p>
            <w:pPr>
              <w:pStyle w:val="Compact"/>
              <w:spacing w:before="8" w:after="8" w:line="240" w:lineRule="auto"/>
              <w:ind w:firstLine="0" w:left="0" w:right="0"/>
              <w:jc w:val="left"/>
              <w:jc w:val="center"/>
            </w:pPr>
            <w:r>
              <w:rPr>
                <w:rFonts w:ascii="Calibri" w:hAnsi="Calibri"/>
                <w:sz w:val="15"/>
              </w:rPr>
              <w:t xml:space="preserve">market</w:t>
            </w:r>
          </w:p>
        </w:tc>
        <w:tc>
          <w:tcPr/>
          <w:p>
            <w:pPr>
              <w:pStyle w:val="Compact"/>
              <w:spacing w:before="8" w:after="8" w:line="240" w:lineRule="auto"/>
              <w:ind w:firstLine="0" w:left="0" w:right="0"/>
              <w:jc w:val="left"/>
              <w:jc w:val="center"/>
            </w:pPr>
            <w:r>
              <w:rPr>
                <w:rFonts w:ascii="Calibri" w:hAnsi="Calibri"/>
                <w:sz w:val="15"/>
              </w:rPr>
              <w:t xml:space="preserve">car_m1_p1</w:t>
            </w:r>
          </w:p>
        </w:tc>
        <w:tc>
          <w:tcPr/>
          <w:p>
            <w:pPr>
              <w:pStyle w:val="Compact"/>
              <w:spacing w:before="8" w:after="8" w:line="240" w:lineRule="auto"/>
              <w:ind w:firstLine="0" w:left="0" w:right="0"/>
              <w:jc w:val="left"/>
              <w:jc w:val="center"/>
            </w:pPr>
            <w:r>
              <w:rPr>
                <w:rFonts w:ascii="Calibri" w:hAnsi="Calibri"/>
                <w:sz w:val="15"/>
              </w:rPr>
              <w:t xml:space="preserve">10,490 / 10,650</w:t>
            </w:r>
          </w:p>
        </w:tc>
        <w:tc>
          <w:tcPr/>
          <w:p>
            <w:pPr>
              <w:pStyle w:val="Compact"/>
              <w:spacing w:before="8" w:after="8" w:line="240" w:lineRule="auto"/>
              <w:ind w:firstLine="0" w:left="0" w:right="0"/>
              <w:jc w:val="right"/>
              <w:jc w:val="center"/>
            </w:pPr>
            <w:r>
              <w:rPr>
                <w:rFonts w:ascii="Calibri" w:hAnsi="Calibri"/>
                <w:sz w:val="15"/>
              </w:rPr>
              <w:t xml:space="preserve">98.5%</w:t>
            </w:r>
          </w:p>
        </w:tc>
      </w:tr>
      <w:tr>
        <w:trPr>
          <w:cantSplit/>
        </w:trPr>
        <w:tc>
          <w:tcPr/>
          <w:p>
            <w:pPr>
              <w:pStyle w:val="Compact"/>
              <w:spacing w:before="8" w:after="8" w:line="240" w:lineRule="auto"/>
              <w:ind w:firstLine="0" w:left="0" w:right="0"/>
              <w:jc w:val="left"/>
              <w:jc w:val="center"/>
            </w:pPr>
            <w:r>
              <w:rPr>
                <w:rFonts w:ascii="Calibri" w:hAnsi="Calibri"/>
                <w:sz w:val="15"/>
              </w:rPr>
              <w:t xml:space="preserve">Call</w:t>
            </w:r>
          </w:p>
        </w:tc>
        <w:tc>
          <w:tcPr/>
          <w:p>
            <w:pPr>
              <w:pStyle w:val="Compact"/>
              <w:spacing w:before="8" w:after="8" w:line="240" w:lineRule="auto"/>
              <w:ind w:firstLine="0" w:left="0" w:right="0"/>
              <w:jc w:val="left"/>
              <w:jc w:val="center"/>
            </w:pPr>
            <w:r>
              <w:rPr>
                <w:rFonts w:ascii="Calibri" w:hAnsi="Calibri"/>
                <w:sz w:val="15"/>
              </w:rPr>
              <w:t xml:space="preserve">market</w:t>
            </w:r>
          </w:p>
        </w:tc>
        <w:tc>
          <w:tcPr/>
          <w:p>
            <w:pPr>
              <w:pStyle w:val="Compact"/>
              <w:spacing w:before="8" w:after="8" w:line="240" w:lineRule="auto"/>
              <w:ind w:firstLine="0" w:left="0" w:right="0"/>
              <w:jc w:val="left"/>
              <w:jc w:val="center"/>
            </w:pPr>
            <w:r>
              <w:rPr>
                <w:rFonts w:ascii="Calibri" w:hAnsi="Calibri"/>
                <w:sz w:val="15"/>
              </w:rPr>
              <w:t xml:space="preserve">car_p2_p63</w:t>
            </w:r>
          </w:p>
        </w:tc>
        <w:tc>
          <w:tcPr/>
          <w:p>
            <w:pPr>
              <w:pStyle w:val="Compact"/>
              <w:spacing w:before="8" w:after="8" w:line="240" w:lineRule="auto"/>
              <w:ind w:firstLine="0" w:left="0" w:right="0"/>
              <w:jc w:val="left"/>
              <w:jc w:val="center"/>
            </w:pPr>
            <w:r>
              <w:rPr>
                <w:rFonts w:ascii="Calibri" w:hAnsi="Calibri"/>
                <w:sz w:val="15"/>
              </w:rPr>
              <w:t xml:space="preserve">10,217 / 10,650</w:t>
            </w:r>
          </w:p>
        </w:tc>
        <w:tc>
          <w:tcPr/>
          <w:p>
            <w:pPr>
              <w:pStyle w:val="Compact"/>
              <w:spacing w:before="8" w:after="8" w:line="240" w:lineRule="auto"/>
              <w:ind w:firstLine="0" w:left="0" w:right="0"/>
              <w:jc w:val="right"/>
              <w:jc w:val="center"/>
            </w:pPr>
            <w:r>
              <w:rPr>
                <w:rFonts w:ascii="Calibri" w:hAnsi="Calibri"/>
                <w:sz w:val="15"/>
              </w:rPr>
              <w:t xml:space="preserve">95.9%</w:t>
            </w:r>
          </w:p>
        </w:tc>
      </w:tr>
      <w:tr>
        <w:trPr>
          <w:cantSplit/>
        </w:trPr>
        <w:tc>
          <w:tcPr/>
          <w:p>
            <w:pPr>
              <w:pStyle w:val="Compact"/>
              <w:spacing w:before="8" w:after="8" w:line="240" w:lineRule="auto"/>
              <w:ind w:firstLine="0" w:left="0" w:right="0"/>
              <w:jc w:val="left"/>
              <w:jc w:val="center"/>
            </w:pPr>
            <w:r>
              <w:rPr>
                <w:rFonts w:ascii="Calibri" w:hAnsi="Calibri"/>
                <w:sz w:val="15"/>
              </w:rPr>
              <w:t xml:space="preserve">Call</w:t>
            </w:r>
          </w:p>
        </w:tc>
        <w:tc>
          <w:tcPr/>
          <w:p>
            <w:pPr>
              <w:pStyle w:val="Compact"/>
              <w:spacing w:before="8" w:after="8" w:line="240" w:lineRule="auto"/>
              <w:ind w:firstLine="0" w:left="0" w:right="0"/>
              <w:jc w:val="left"/>
              <w:jc w:val="center"/>
            </w:pPr>
            <w:r>
              <w:rPr>
                <w:rFonts w:ascii="Calibri" w:hAnsi="Calibri"/>
                <w:sz w:val="15"/>
              </w:rPr>
              <w:t xml:space="preserve">market</w:t>
            </w:r>
          </w:p>
        </w:tc>
        <w:tc>
          <w:tcPr/>
          <w:p>
            <w:pPr>
              <w:pStyle w:val="Compact"/>
              <w:spacing w:before="8" w:after="8" w:line="240" w:lineRule="auto"/>
              <w:ind w:firstLine="0" w:left="0" w:right="0"/>
              <w:jc w:val="left"/>
              <w:jc w:val="center"/>
            </w:pPr>
            <w:r>
              <w:rPr>
                <w:rFonts w:ascii="Calibri" w:hAnsi="Calibri"/>
                <w:sz w:val="15"/>
              </w:rPr>
              <w:t xml:space="preserve">duvol_wk_post</w:t>
            </w:r>
          </w:p>
        </w:tc>
        <w:tc>
          <w:tcPr/>
          <w:p>
            <w:pPr>
              <w:pStyle w:val="Compact"/>
              <w:spacing w:before="8" w:after="8" w:line="240" w:lineRule="auto"/>
              <w:ind w:firstLine="0" w:left="0" w:right="0"/>
              <w:jc w:val="left"/>
              <w:jc w:val="center"/>
            </w:pPr>
            <w:r>
              <w:rPr>
                <w:rFonts w:ascii="Calibri" w:hAnsi="Calibri"/>
                <w:sz w:val="15"/>
              </w:rPr>
              <w:t xml:space="preserve">9,494 / 10,650</w:t>
            </w:r>
          </w:p>
        </w:tc>
        <w:tc>
          <w:tcPr/>
          <w:p>
            <w:pPr>
              <w:pStyle w:val="Compact"/>
              <w:spacing w:before="8" w:after="8" w:line="240" w:lineRule="auto"/>
              <w:ind w:firstLine="0" w:left="0" w:right="0"/>
              <w:jc w:val="right"/>
              <w:jc w:val="center"/>
            </w:pPr>
            <w:r>
              <w:rPr>
                <w:rFonts w:ascii="Calibri" w:hAnsi="Calibri"/>
                <w:sz w:val="15"/>
              </w:rPr>
              <w:t xml:space="preserve">89.2%</w:t>
            </w:r>
          </w:p>
        </w:tc>
      </w:tr>
      <w:tr>
        <w:trPr>
          <w:cantSplit/>
        </w:trPr>
        <w:tc>
          <w:tcPr/>
          <w:p>
            <w:pPr>
              <w:pStyle w:val="Compact"/>
              <w:spacing w:before="8" w:after="8" w:line="240" w:lineRule="auto"/>
              <w:ind w:firstLine="0" w:left="0" w:right="0"/>
              <w:jc w:val="left"/>
              <w:jc w:val="center"/>
            </w:pPr>
            <w:r>
              <w:rPr>
                <w:rFonts w:ascii="Calibri" w:hAnsi="Calibri"/>
                <w:sz w:val="15"/>
              </w:rPr>
              <w:t xml:space="preserve">Call</w:t>
            </w:r>
          </w:p>
        </w:tc>
        <w:tc>
          <w:tcPr/>
          <w:p>
            <w:pPr>
              <w:pStyle w:val="Compact"/>
              <w:spacing w:before="8" w:after="8" w:line="240" w:lineRule="auto"/>
              <w:ind w:firstLine="0" w:left="0" w:right="0"/>
              <w:jc w:val="left"/>
              <w:jc w:val="center"/>
            </w:pPr>
            <w:r>
              <w:rPr>
                <w:rFonts w:ascii="Calibri" w:hAnsi="Calibri"/>
                <w:sz w:val="15"/>
              </w:rPr>
              <w:t xml:space="preserve">market</w:t>
            </w:r>
          </w:p>
        </w:tc>
        <w:tc>
          <w:tcPr/>
          <w:p>
            <w:pPr>
              <w:pStyle w:val="Compact"/>
              <w:spacing w:before="8" w:after="8" w:line="240" w:lineRule="auto"/>
              <w:ind w:firstLine="0" w:left="0" w:right="0"/>
              <w:jc w:val="left"/>
              <w:jc w:val="center"/>
            </w:pPr>
            <w:r>
              <w:rPr>
                <w:rFonts w:ascii="Calibri" w:hAnsi="Calibri"/>
                <w:sz w:val="15"/>
              </w:rPr>
              <w:t xml:space="preserve">duvol_wk_pre</w:t>
            </w:r>
          </w:p>
        </w:tc>
        <w:tc>
          <w:tcPr/>
          <w:p>
            <w:pPr>
              <w:pStyle w:val="Compact"/>
              <w:spacing w:before="8" w:after="8" w:line="240" w:lineRule="auto"/>
              <w:ind w:firstLine="0" w:left="0" w:right="0"/>
              <w:jc w:val="left"/>
              <w:jc w:val="center"/>
            </w:pPr>
            <w:r>
              <w:rPr>
                <w:rFonts w:ascii="Calibri" w:hAnsi="Calibri"/>
                <w:sz w:val="15"/>
              </w:rPr>
              <w:t xml:space="preserve">10,649 / 10,650</w:t>
            </w:r>
          </w:p>
        </w:tc>
        <w:tc>
          <w:tcPr/>
          <w:p>
            <w:pPr>
              <w:pStyle w:val="Compact"/>
              <w:spacing w:before="8" w:after="8" w:line="240" w:lineRule="auto"/>
              <w:ind w:firstLine="0" w:left="0" w:right="0"/>
              <w:jc w:val="right"/>
              <w:jc w:val="center"/>
            </w:pPr>
            <w:r>
              <w:rPr>
                <w:rFonts w:ascii="Calibri" w:hAnsi="Calibri"/>
                <w:sz w:val="15"/>
              </w:rPr>
              <w:t xml:space="preserve">100.0%</w:t>
            </w:r>
          </w:p>
        </w:tc>
      </w:tr>
      <w:tr>
        <w:trPr>
          <w:cantSplit/>
        </w:trPr>
        <w:tc>
          <w:tcPr/>
          <w:p>
            <w:pPr>
              <w:pStyle w:val="Compact"/>
              <w:spacing w:before="8" w:after="8" w:line="240" w:lineRule="auto"/>
              <w:ind w:firstLine="0" w:left="0" w:right="0"/>
              <w:jc w:val="left"/>
              <w:jc w:val="center"/>
            </w:pPr>
            <w:r>
              <w:rPr>
                <w:rFonts w:ascii="Calibri" w:hAnsi="Calibri"/>
                <w:sz w:val="15"/>
              </w:rPr>
              <w:t xml:space="preserve">Call</w:t>
            </w:r>
          </w:p>
        </w:tc>
        <w:tc>
          <w:tcPr/>
          <w:p>
            <w:pPr>
              <w:pStyle w:val="Compact"/>
              <w:spacing w:before="8" w:after="8" w:line="240" w:lineRule="auto"/>
              <w:ind w:firstLine="0" w:left="0" w:right="0"/>
              <w:jc w:val="left"/>
              <w:jc w:val="center"/>
            </w:pPr>
            <w:r>
              <w:rPr>
                <w:rFonts w:ascii="Calibri" w:hAnsi="Calibri"/>
                <w:sz w:val="15"/>
              </w:rPr>
              <w:t xml:space="preserve">market</w:t>
            </w:r>
          </w:p>
        </w:tc>
        <w:tc>
          <w:tcPr/>
          <w:p>
            <w:pPr>
              <w:pStyle w:val="Compact"/>
              <w:spacing w:before="8" w:after="8" w:line="240" w:lineRule="auto"/>
              <w:ind w:firstLine="0" w:left="0" w:right="0"/>
              <w:jc w:val="left"/>
              <w:jc w:val="center"/>
            </w:pPr>
            <w:r>
              <w:rPr>
                <w:rFonts w:ascii="Calibri" w:hAnsi="Calibri"/>
                <w:sz w:val="15"/>
              </w:rPr>
              <w:t xml:space="preserve">log_market_cap</w:t>
            </w:r>
          </w:p>
        </w:tc>
        <w:tc>
          <w:tcPr/>
          <w:p>
            <w:pPr>
              <w:pStyle w:val="Compact"/>
              <w:spacing w:before="8" w:after="8" w:line="240" w:lineRule="auto"/>
              <w:ind w:firstLine="0" w:left="0" w:right="0"/>
              <w:jc w:val="left"/>
              <w:jc w:val="center"/>
            </w:pPr>
            <w:r>
              <w:rPr>
                <w:rFonts w:ascii="Calibri" w:hAnsi="Calibri"/>
                <w:sz w:val="15"/>
              </w:rPr>
              <w:t xml:space="preserve">10,650 / 10,650</w:t>
            </w:r>
          </w:p>
        </w:tc>
        <w:tc>
          <w:tcPr/>
          <w:p>
            <w:pPr>
              <w:pStyle w:val="Compact"/>
              <w:spacing w:before="8" w:after="8" w:line="240" w:lineRule="auto"/>
              <w:ind w:firstLine="0" w:left="0" w:right="0"/>
              <w:jc w:val="right"/>
              <w:jc w:val="center"/>
            </w:pPr>
            <w:r>
              <w:rPr>
                <w:rFonts w:ascii="Calibri" w:hAnsi="Calibri"/>
                <w:sz w:val="15"/>
              </w:rPr>
              <w:t xml:space="preserve">100.0%</w:t>
            </w:r>
          </w:p>
        </w:tc>
      </w:tr>
      <w:tr>
        <w:trPr>
          <w:cantSplit/>
        </w:trPr>
        <w:tc>
          <w:tcPr/>
          <w:p>
            <w:pPr>
              <w:pStyle w:val="Compact"/>
              <w:spacing w:before="8" w:after="8" w:line="240" w:lineRule="auto"/>
              <w:ind w:firstLine="0" w:left="0" w:right="0"/>
              <w:jc w:val="left"/>
              <w:jc w:val="center"/>
            </w:pPr>
            <w:r>
              <w:rPr>
                <w:rFonts w:ascii="Calibri" w:hAnsi="Calibri"/>
                <w:sz w:val="15"/>
              </w:rPr>
              <w:t xml:space="preserve">Call</w:t>
            </w:r>
          </w:p>
        </w:tc>
        <w:tc>
          <w:tcPr/>
          <w:p>
            <w:pPr>
              <w:pStyle w:val="Compact"/>
              <w:spacing w:before="8" w:after="8" w:line="240" w:lineRule="auto"/>
              <w:ind w:firstLine="0" w:left="0" w:right="0"/>
              <w:jc w:val="left"/>
              <w:jc w:val="center"/>
            </w:pPr>
            <w:r>
              <w:rPr>
                <w:rFonts w:ascii="Calibri" w:hAnsi="Calibri"/>
                <w:sz w:val="15"/>
              </w:rPr>
              <w:t xml:space="preserve">market</w:t>
            </w:r>
          </w:p>
        </w:tc>
        <w:tc>
          <w:tcPr/>
          <w:p>
            <w:pPr>
              <w:pStyle w:val="Compact"/>
              <w:spacing w:before="8" w:after="8" w:line="240" w:lineRule="auto"/>
              <w:ind w:firstLine="0" w:left="0" w:right="0"/>
              <w:jc w:val="left"/>
              <w:jc w:val="center"/>
            </w:pPr>
            <w:r>
              <w:rPr>
                <w:rFonts w:ascii="Calibri" w:hAnsi="Calibri"/>
                <w:sz w:val="15"/>
              </w:rPr>
              <w:t xml:space="preserve">ncskew_wk_post</w:t>
            </w:r>
          </w:p>
        </w:tc>
        <w:tc>
          <w:tcPr/>
          <w:p>
            <w:pPr>
              <w:pStyle w:val="Compact"/>
              <w:spacing w:before="8" w:after="8" w:line="240" w:lineRule="auto"/>
              <w:ind w:firstLine="0" w:left="0" w:right="0"/>
              <w:jc w:val="left"/>
              <w:jc w:val="center"/>
            </w:pPr>
            <w:r>
              <w:rPr>
                <w:rFonts w:ascii="Calibri" w:hAnsi="Calibri"/>
                <w:sz w:val="15"/>
              </w:rPr>
              <w:t xml:space="preserve">9,494 / 10,650</w:t>
            </w:r>
          </w:p>
        </w:tc>
        <w:tc>
          <w:tcPr/>
          <w:p>
            <w:pPr>
              <w:pStyle w:val="Compact"/>
              <w:spacing w:before="8" w:after="8" w:line="240" w:lineRule="auto"/>
              <w:ind w:firstLine="0" w:left="0" w:right="0"/>
              <w:jc w:val="right"/>
              <w:jc w:val="center"/>
            </w:pPr>
            <w:r>
              <w:rPr>
                <w:rFonts w:ascii="Calibri" w:hAnsi="Calibri"/>
                <w:sz w:val="15"/>
              </w:rPr>
              <w:t xml:space="preserve">89.2%</w:t>
            </w:r>
          </w:p>
        </w:tc>
      </w:tr>
      <w:tr>
        <w:trPr>
          <w:cantSplit/>
        </w:trPr>
        <w:tc>
          <w:tcPr/>
          <w:p>
            <w:pPr>
              <w:pStyle w:val="Compact"/>
              <w:spacing w:before="8" w:after="8" w:line="240" w:lineRule="auto"/>
              <w:ind w:firstLine="0" w:left="0" w:right="0"/>
              <w:jc w:val="left"/>
              <w:jc w:val="center"/>
            </w:pPr>
            <w:r>
              <w:rPr>
                <w:rFonts w:ascii="Calibri" w:hAnsi="Calibri"/>
                <w:sz w:val="15"/>
              </w:rPr>
              <w:t xml:space="preserve">Call</w:t>
            </w:r>
          </w:p>
        </w:tc>
        <w:tc>
          <w:tcPr/>
          <w:p>
            <w:pPr>
              <w:pStyle w:val="Compact"/>
              <w:spacing w:before="8" w:after="8" w:line="240" w:lineRule="auto"/>
              <w:ind w:firstLine="0" w:left="0" w:right="0"/>
              <w:jc w:val="left"/>
              <w:jc w:val="center"/>
            </w:pPr>
            <w:r>
              <w:rPr>
                <w:rFonts w:ascii="Calibri" w:hAnsi="Calibri"/>
                <w:sz w:val="15"/>
              </w:rPr>
              <w:t xml:space="preserve">market</w:t>
            </w:r>
          </w:p>
        </w:tc>
        <w:tc>
          <w:tcPr/>
          <w:p>
            <w:pPr>
              <w:pStyle w:val="Compact"/>
              <w:spacing w:before="8" w:after="8" w:line="240" w:lineRule="auto"/>
              <w:ind w:firstLine="0" w:left="0" w:right="0"/>
              <w:jc w:val="left"/>
              <w:jc w:val="center"/>
            </w:pPr>
            <w:r>
              <w:rPr>
                <w:rFonts w:ascii="Calibri" w:hAnsi="Calibri"/>
                <w:sz w:val="15"/>
              </w:rPr>
              <w:t xml:space="preserve">ncskew_wk_pre</w:t>
            </w:r>
          </w:p>
        </w:tc>
        <w:tc>
          <w:tcPr/>
          <w:p>
            <w:pPr>
              <w:pStyle w:val="Compact"/>
              <w:spacing w:before="8" w:after="8" w:line="240" w:lineRule="auto"/>
              <w:ind w:firstLine="0" w:left="0" w:right="0"/>
              <w:jc w:val="left"/>
              <w:jc w:val="center"/>
            </w:pPr>
            <w:r>
              <w:rPr>
                <w:rFonts w:ascii="Calibri" w:hAnsi="Calibri"/>
                <w:sz w:val="15"/>
              </w:rPr>
              <w:t xml:space="preserve">10,649 / 10,650</w:t>
            </w:r>
          </w:p>
        </w:tc>
        <w:tc>
          <w:tcPr/>
          <w:p>
            <w:pPr>
              <w:pStyle w:val="Compact"/>
              <w:spacing w:before="8" w:after="8" w:line="240" w:lineRule="auto"/>
              <w:ind w:firstLine="0" w:left="0" w:right="0"/>
              <w:jc w:val="right"/>
              <w:jc w:val="center"/>
            </w:pPr>
            <w:r>
              <w:rPr>
                <w:rFonts w:ascii="Calibri" w:hAnsi="Calibri"/>
                <w:sz w:val="15"/>
              </w:rPr>
              <w:t xml:space="preserve">100.0%</w:t>
            </w:r>
          </w:p>
        </w:tc>
      </w:tr>
      <w:tr>
        <w:trPr>
          <w:cantSplit/>
        </w:trPr>
        <w:tc>
          <w:tcPr/>
          <w:p>
            <w:pPr>
              <w:pStyle w:val="Compact"/>
              <w:spacing w:before="8" w:after="8" w:line="240" w:lineRule="auto"/>
              <w:ind w:firstLine="0" w:left="0" w:right="0"/>
              <w:jc w:val="left"/>
              <w:jc w:val="center"/>
            </w:pPr>
            <w:r>
              <w:rPr>
                <w:rFonts w:ascii="Calibri" w:hAnsi="Calibri"/>
                <w:sz w:val="15"/>
              </w:rPr>
              <w:t xml:space="preserve">Call</w:t>
            </w:r>
          </w:p>
        </w:tc>
        <w:tc>
          <w:tcPr/>
          <w:p>
            <w:pPr>
              <w:pStyle w:val="Compact"/>
              <w:spacing w:before="8" w:after="8" w:line="240" w:lineRule="auto"/>
              <w:ind w:firstLine="0" w:left="0" w:right="0"/>
              <w:jc w:val="left"/>
              <w:jc w:val="center"/>
            </w:pPr>
            <w:r>
              <w:rPr>
                <w:rFonts w:ascii="Calibri" w:hAnsi="Calibri"/>
                <w:sz w:val="15"/>
              </w:rPr>
              <w:t xml:space="preserve">market</w:t>
            </w:r>
          </w:p>
        </w:tc>
        <w:tc>
          <w:tcPr/>
          <w:p>
            <w:pPr>
              <w:pStyle w:val="Compact"/>
              <w:spacing w:before="8" w:after="8" w:line="240" w:lineRule="auto"/>
              <w:ind w:firstLine="0" w:left="0" w:right="0"/>
              <w:jc w:val="left"/>
              <w:jc w:val="center"/>
            </w:pPr>
            <w:r>
              <w:rPr>
                <w:rFonts w:ascii="Calibri" w:hAnsi="Calibri"/>
                <w:sz w:val="15"/>
              </w:rPr>
              <w:t xml:space="preserve">ps_ratio_pre</w:t>
            </w:r>
          </w:p>
        </w:tc>
        <w:tc>
          <w:tcPr/>
          <w:p>
            <w:pPr>
              <w:pStyle w:val="Compact"/>
              <w:spacing w:before="8" w:after="8" w:line="240" w:lineRule="auto"/>
              <w:ind w:firstLine="0" w:left="0" w:right="0"/>
              <w:jc w:val="left"/>
              <w:jc w:val="center"/>
            </w:pPr>
            <w:r>
              <w:rPr>
                <w:rFonts w:ascii="Calibri" w:hAnsi="Calibri"/>
                <w:sz w:val="15"/>
              </w:rPr>
              <w:t xml:space="preserve">9,957 / 10,650</w:t>
            </w:r>
          </w:p>
        </w:tc>
        <w:tc>
          <w:tcPr/>
          <w:p>
            <w:pPr>
              <w:pStyle w:val="Compact"/>
              <w:spacing w:before="8" w:after="8" w:line="240" w:lineRule="auto"/>
              <w:ind w:firstLine="0" w:left="0" w:right="0"/>
              <w:jc w:val="right"/>
              <w:jc w:val="center"/>
            </w:pPr>
            <w:r>
              <w:rPr>
                <w:rFonts w:ascii="Calibri" w:hAnsi="Calibri"/>
                <w:sz w:val="15"/>
              </w:rPr>
              <w:t xml:space="preserve">93.5%</w:t>
            </w:r>
          </w:p>
        </w:tc>
      </w:tr>
    </w:tbl>
    <w:bookmarkEnd w:id="183"/>
    <w:p/>
    <w:p>
      <w:pPr>
        <w:pStyle w:val="Textoindependiente"/>
      </w:pPr>
      <w:r>
        <w:t xml:space="preserve"> </w:t>
      </w:r>
    </w:p>
    <w:bookmarkStart w:id="187" w:name="tbl-a5-coverage-year"/>
    <w:p>
      <w:pPr>
        <w:keepNext/>
        <w:pStyle w:val="ImageCaption"/>
        <w:jc w:val="left"/>
        <w:spacing w:before="200"/>
        <w:ind w:firstLine="0" w:left="0" w:right="0"/>
      </w:pPr>
      <w:r>
        <w:t xml:space="preserve">Table 32:</w:t>
      </w:r>
      <w:r>
        <w:t xml:space="preserve"> </w:t>
      </w:r>
      <w:r>
        <w:rPr>
          <w:rStyle w:val="CaptionText"/>
        </w:rPr>
        <w:t xml:space="preserve">Non-null coverage of a representative subset of market and financial variables, by year (2026 year-to-date).</w:t>
      </w:r>
    </w:p>
    <w:tbl>
      <w:tblPr>
        <w:tblStyle w:val="Table"/>
        <w:tblW w:type="auto" w:w="0"/>
        <w:jc w:val="center"/>
        <w:tblLook w:firstRow="1" w:lastRow="0" w:firstColumn="0" w:lastColumn="0" w:noHBand="0" w:noVBand="0" w:val="0020"/>
        <w:tblBorders>
          <w:top w:val="single" w:sz="8" w:space="0" w:color="0F172A"/>
          <w:bottom w:val="single" w:sz="8" w:space="0" w:color="0F172A"/>
          <w:left w:val="none"/>
          <w:right w:val="none"/>
          <w:insideH w:val="single" w:sz="4" w:space="0" w:color="E2E8F0"/>
          <w:insideV w:val="none"/>
        </w:tblBorders>
        <w:tblCellMar>
          <w:top w:w="20" w:type="dxa"/>
          <w:bottom w:w="20" w:type="dxa"/>
          <w:left w:w="35" w:type="dxa"/>
          <w:right w:w="35" w:type="dxa"/>
        </w:tblCellMar>
      </w:tblPr>
      <w:tblGrid>
        <w:gridCol w:w="990"/>
        <w:gridCol w:w="990"/>
        <w:gridCol w:w="990"/>
        <w:gridCol w:w="990"/>
        <w:gridCol w:w="990"/>
        <w:gridCol w:w="990"/>
        <w:gridCol w:w="990"/>
        <w:gridCol w:w="990"/>
      </w:tblGrid>
      <w:tr>
        <w:trPr>
          <w:tblHeader w:val="on"/>
          <w:cantSplit/>
          <w:tblHeader/>
        </w:trPr>
        <w:tc>
          <w:tcPr>
            <w:shd w:fill="F1F5F9"/>
            <w:tcBorders>
              <w:bottom w:val="single" w:sz="8" w:space="0" w:color="475569"/>
            </w:tcBorders>
          </w:tcPr>
          <w:p>
            <w:pPr>
              <w:pStyle w:val="Compact"/>
              <w:spacing w:before="8" w:after="8" w:line="240" w:lineRule="auto"/>
              <w:ind w:firstLine="0" w:left="0" w:right="0"/>
              <w:jc w:val="left"/>
              <w:jc w:val="center"/>
            </w:pPr>
            <w:r>
              <w:rPr>
                <w:rFonts w:ascii="Calibri" w:hAnsi="Calibri"/>
                <w:b/>
                <w:color w:val="0F172A"/>
                <w:sz w:val="13"/>
              </w:rPr>
              <w:t xml:space="preserve">Grain</w:t>
            </w:r>
          </w:p>
        </w:tc>
        <w:tc>
          <w:tcPr>
            <w:shd w:fill="F1F5F9"/>
            <w:tcBorders>
              <w:bottom w:val="single" w:sz="8" w:space="0" w:color="475569"/>
            </w:tcBorders>
          </w:tcPr>
          <w:p>
            <w:pPr>
              <w:pStyle w:val="Compact"/>
              <w:spacing w:before="8" w:after="8" w:line="240" w:lineRule="auto"/>
              <w:ind w:firstLine="0" w:left="0" w:right="0"/>
              <w:jc w:val="left"/>
              <w:jc w:val="center"/>
            </w:pPr>
            <w:r>
              <w:rPr>
                <w:rFonts w:ascii="Calibri" w:hAnsi="Calibri"/>
                <w:b/>
                <w:color w:val="0F172A"/>
                <w:sz w:val="13"/>
              </w:rPr>
              <w:t xml:space="preserve">Variable</w:t>
            </w:r>
          </w:p>
        </w:tc>
        <w:tc>
          <w:tcPr>
            <w:shd w:fill="F1F5F9"/>
            <w:tcBorders>
              <w:bottom w:val="single" w:sz="8" w:space="0" w:color="475569"/>
            </w:tcBorders>
          </w:tcPr>
          <w:p>
            <w:pPr>
              <w:pStyle w:val="Compact"/>
              <w:spacing w:before="8" w:after="8" w:line="240" w:lineRule="auto"/>
              <w:ind w:firstLine="0" w:left="0" w:right="0"/>
              <w:jc w:val="right"/>
              <w:jc w:val="center"/>
            </w:pPr>
            <w:r>
              <w:rPr>
                <w:rFonts w:ascii="Calibri" w:hAnsi="Calibri"/>
                <w:b/>
                <w:color w:val="0F172A"/>
                <w:sz w:val="13"/>
              </w:rPr>
              <w:t xml:space="preserve">2021</w:t>
            </w:r>
          </w:p>
        </w:tc>
        <w:tc>
          <w:tcPr>
            <w:shd w:fill="F1F5F9"/>
            <w:tcBorders>
              <w:bottom w:val="single" w:sz="8" w:space="0" w:color="475569"/>
            </w:tcBorders>
          </w:tcPr>
          <w:p>
            <w:pPr>
              <w:pStyle w:val="Compact"/>
              <w:spacing w:before="8" w:after="8" w:line="240" w:lineRule="auto"/>
              <w:ind w:firstLine="0" w:left="0" w:right="0"/>
              <w:jc w:val="right"/>
              <w:jc w:val="center"/>
            </w:pPr>
            <w:r>
              <w:rPr>
                <w:rFonts w:ascii="Calibri" w:hAnsi="Calibri"/>
                <w:b/>
                <w:color w:val="0F172A"/>
                <w:sz w:val="13"/>
              </w:rPr>
              <w:t xml:space="preserve">2022</w:t>
            </w:r>
          </w:p>
        </w:tc>
        <w:tc>
          <w:tcPr>
            <w:shd w:fill="F1F5F9"/>
            <w:tcBorders>
              <w:bottom w:val="single" w:sz="8" w:space="0" w:color="475569"/>
            </w:tcBorders>
          </w:tcPr>
          <w:p>
            <w:pPr>
              <w:pStyle w:val="Compact"/>
              <w:spacing w:before="8" w:after="8" w:line="240" w:lineRule="auto"/>
              <w:ind w:firstLine="0" w:left="0" w:right="0"/>
              <w:jc w:val="right"/>
              <w:jc w:val="center"/>
            </w:pPr>
            <w:r>
              <w:rPr>
                <w:rFonts w:ascii="Calibri" w:hAnsi="Calibri"/>
                <w:b/>
                <w:color w:val="0F172A"/>
                <w:sz w:val="13"/>
              </w:rPr>
              <w:t xml:space="preserve">2023</w:t>
            </w:r>
          </w:p>
        </w:tc>
        <w:tc>
          <w:tcPr>
            <w:shd w:fill="F1F5F9"/>
            <w:tcBorders>
              <w:bottom w:val="single" w:sz="8" w:space="0" w:color="475569"/>
            </w:tcBorders>
          </w:tcPr>
          <w:p>
            <w:pPr>
              <w:pStyle w:val="Compact"/>
              <w:spacing w:before="8" w:after="8" w:line="240" w:lineRule="auto"/>
              <w:ind w:firstLine="0" w:left="0" w:right="0"/>
              <w:jc w:val="right"/>
              <w:jc w:val="center"/>
            </w:pPr>
            <w:r>
              <w:rPr>
                <w:rFonts w:ascii="Calibri" w:hAnsi="Calibri"/>
                <w:b/>
                <w:color w:val="0F172A"/>
                <w:sz w:val="13"/>
              </w:rPr>
              <w:t xml:space="preserve">2024</w:t>
            </w:r>
          </w:p>
        </w:tc>
        <w:tc>
          <w:tcPr>
            <w:shd w:fill="F1F5F9"/>
            <w:tcBorders>
              <w:bottom w:val="single" w:sz="8" w:space="0" w:color="475569"/>
            </w:tcBorders>
          </w:tcPr>
          <w:p>
            <w:pPr>
              <w:pStyle w:val="Compact"/>
              <w:spacing w:before="8" w:after="8" w:line="240" w:lineRule="auto"/>
              <w:ind w:firstLine="0" w:left="0" w:right="0"/>
              <w:jc w:val="right"/>
              <w:jc w:val="center"/>
            </w:pPr>
            <w:r>
              <w:rPr>
                <w:rFonts w:ascii="Calibri" w:hAnsi="Calibri"/>
                <w:b/>
                <w:color w:val="0F172A"/>
                <w:sz w:val="13"/>
              </w:rPr>
              <w:t xml:space="preserve">2025</w:t>
            </w:r>
          </w:p>
        </w:tc>
        <w:tc>
          <w:tcPr>
            <w:shd w:fill="F1F5F9"/>
            <w:tcBorders>
              <w:bottom w:val="single" w:sz="8" w:space="0" w:color="475569"/>
            </w:tcBorders>
          </w:tcPr>
          <w:p>
            <w:pPr>
              <w:pStyle w:val="Compact"/>
              <w:spacing w:before="8" w:after="8" w:line="240" w:lineRule="auto"/>
              <w:ind w:firstLine="0" w:left="0" w:right="0"/>
              <w:jc w:val="right"/>
              <w:jc w:val="center"/>
            </w:pPr>
            <w:r>
              <w:rPr>
                <w:rFonts w:ascii="Calibri" w:hAnsi="Calibri"/>
                <w:b/>
                <w:color w:val="0F172A"/>
                <w:sz w:val="13"/>
              </w:rPr>
              <w:t xml:space="preserve">2026</w:t>
            </w:r>
          </w:p>
        </w:tc>
      </w:tr>
      <w:tr>
        <w:trPr>
          <w:cantSplit/>
        </w:trPr>
        <w:tc>
          <w:tcPr/>
          <w:p>
            <w:pPr>
              <w:pStyle w:val="Compact"/>
              <w:spacing w:before="8" w:after="8" w:line="240" w:lineRule="auto"/>
              <w:ind w:firstLine="0" w:left="0" w:right="0"/>
              <w:jc w:val="left"/>
              <w:jc w:val="center"/>
            </w:pPr>
            <w:r>
              <w:rPr>
                <w:rFonts w:ascii="Calibri" w:hAnsi="Calibri"/>
                <w:sz w:val="13"/>
              </w:rPr>
              <w:t xml:space="preserve">Firm-year</w:t>
            </w:r>
          </w:p>
        </w:tc>
        <w:tc>
          <w:tcPr/>
          <w:p>
            <w:pPr>
              <w:pStyle w:val="Compact"/>
              <w:spacing w:before="8" w:after="8" w:line="240" w:lineRule="auto"/>
              <w:ind w:firstLine="0" w:left="0" w:right="0"/>
              <w:jc w:val="left"/>
              <w:jc w:val="center"/>
            </w:pPr>
            <w:r>
              <w:rPr>
                <w:rFonts w:ascii="Calibri" w:hAnsi="Calibri"/>
                <w:sz w:val="13"/>
              </w:rPr>
              <w:t xml:space="preserve">revenue</w:t>
            </w:r>
          </w:p>
        </w:tc>
        <w:tc>
          <w:tcPr/>
          <w:p>
            <w:pPr>
              <w:pStyle w:val="Compact"/>
              <w:spacing w:before="8" w:after="8" w:line="240" w:lineRule="auto"/>
              <w:ind w:firstLine="0" w:left="0" w:right="0"/>
              <w:jc w:val="left"/>
              <w:jc w:val="center"/>
            </w:pPr>
            <w:r>
              <w:rPr>
                <w:rFonts w:ascii="Calibri" w:hAnsi="Calibri"/>
                <w:sz w:val="13"/>
              </w:rPr>
              <w:t xml:space="preserve">–</w:t>
            </w:r>
          </w:p>
        </w:tc>
        <w:tc>
          <w:tcPr/>
          <w:p>
            <w:pPr>
              <w:pStyle w:val="Compact"/>
              <w:spacing w:before="8" w:after="8" w:line="240" w:lineRule="auto"/>
              <w:ind w:firstLine="0" w:left="0" w:right="0"/>
              <w:jc w:val="right"/>
              <w:jc w:val="center"/>
            </w:pPr>
            <w:r>
              <w:rPr>
                <w:rFonts w:ascii="Calibri" w:hAnsi="Calibri"/>
                <w:sz w:val="13"/>
              </w:rPr>
              <w:t xml:space="preserve">99%</w:t>
            </w:r>
          </w:p>
        </w:tc>
        <w:tc>
          <w:tcPr/>
          <w:p>
            <w:pPr>
              <w:pStyle w:val="Compact"/>
              <w:spacing w:before="8" w:after="8" w:line="240" w:lineRule="auto"/>
              <w:ind w:firstLine="0" w:left="0" w:right="0"/>
              <w:jc w:val="right"/>
              <w:jc w:val="center"/>
            </w:pPr>
            <w:r>
              <w:rPr>
                <w:rFonts w:ascii="Calibri" w:hAnsi="Calibri"/>
                <w:sz w:val="13"/>
              </w:rPr>
              <w:t xml:space="preserve">100%</w:t>
            </w:r>
          </w:p>
        </w:tc>
        <w:tc>
          <w:tcPr/>
          <w:p>
            <w:pPr>
              <w:pStyle w:val="Compact"/>
              <w:spacing w:before="8" w:after="8" w:line="240" w:lineRule="auto"/>
              <w:ind w:firstLine="0" w:left="0" w:right="0"/>
              <w:jc w:val="right"/>
              <w:jc w:val="center"/>
            </w:pPr>
            <w:r>
              <w:rPr>
                <w:rFonts w:ascii="Calibri" w:hAnsi="Calibri"/>
                <w:sz w:val="13"/>
              </w:rPr>
              <w:t xml:space="preserve">100%</w:t>
            </w:r>
          </w:p>
        </w:tc>
        <w:tc>
          <w:tcPr/>
          <w:p>
            <w:pPr>
              <w:pStyle w:val="Compact"/>
              <w:spacing w:before="8" w:after="8" w:line="240" w:lineRule="auto"/>
              <w:ind w:firstLine="0" w:left="0" w:right="0"/>
              <w:jc w:val="right"/>
              <w:jc w:val="center"/>
            </w:pPr>
            <w:r>
              <w:rPr>
                <w:rFonts w:ascii="Calibri" w:hAnsi="Calibri"/>
                <w:sz w:val="13"/>
              </w:rPr>
              <w:t xml:space="preserve">100%</w:t>
            </w:r>
          </w:p>
        </w:tc>
        <w:tc>
          <w:tcPr/>
          <w:p>
            <w:pPr>
              <w:pStyle w:val="Compact"/>
              <w:spacing w:before="8" w:after="8" w:line="240" w:lineRule="auto"/>
              <w:ind w:firstLine="0" w:left="0" w:right="0"/>
              <w:jc w:val="right"/>
              <w:jc w:val="center"/>
            </w:pPr>
            <w:r>
              <w:rPr>
                <w:rFonts w:ascii="Calibri" w:hAnsi="Calibri"/>
                <w:sz w:val="13"/>
              </w:rPr>
              <w:t xml:space="preserve">100%</w:t>
            </w:r>
          </w:p>
        </w:tc>
      </w:tr>
      <w:tr>
        <w:trPr>
          <w:cantSplit/>
        </w:trPr>
        <w:tc>
          <w:tcPr/>
          <w:p>
            <w:pPr>
              <w:pStyle w:val="Compact"/>
              <w:spacing w:before="8" w:after="8" w:line="240" w:lineRule="auto"/>
              <w:ind w:firstLine="0" w:left="0" w:right="0"/>
              <w:jc w:val="left"/>
              <w:jc w:val="center"/>
            </w:pPr>
            <w:r>
              <w:rPr>
                <w:rFonts w:ascii="Calibri" w:hAnsi="Calibri"/>
                <w:sz w:val="13"/>
              </w:rPr>
              <w:t xml:space="preserve">Firm-year</w:t>
            </w:r>
          </w:p>
        </w:tc>
        <w:tc>
          <w:tcPr/>
          <w:p>
            <w:pPr>
              <w:pStyle w:val="Compact"/>
              <w:spacing w:before="8" w:after="8" w:line="240" w:lineRule="auto"/>
              <w:ind w:firstLine="0" w:left="0" w:right="0"/>
              <w:jc w:val="left"/>
              <w:jc w:val="center"/>
            </w:pPr>
            <w:r>
              <w:rPr>
                <w:rFonts w:ascii="Calibri" w:hAnsi="Calibri"/>
                <w:sz w:val="13"/>
              </w:rPr>
              <w:t xml:space="preserve">cash</w:t>
            </w:r>
          </w:p>
        </w:tc>
        <w:tc>
          <w:tcPr/>
          <w:p>
            <w:pPr>
              <w:pStyle w:val="Compact"/>
              <w:spacing w:before="8" w:after="8" w:line="240" w:lineRule="auto"/>
              <w:ind w:firstLine="0" w:left="0" w:right="0"/>
              <w:jc w:val="left"/>
              <w:jc w:val="center"/>
            </w:pPr>
            <w:r>
              <w:rPr>
                <w:rFonts w:ascii="Calibri" w:hAnsi="Calibri"/>
                <w:sz w:val="13"/>
              </w:rPr>
              <w:t xml:space="preserve">–</w:t>
            </w:r>
          </w:p>
        </w:tc>
        <w:tc>
          <w:tcPr/>
          <w:p>
            <w:pPr>
              <w:pStyle w:val="Compact"/>
              <w:spacing w:before="8" w:after="8" w:line="240" w:lineRule="auto"/>
              <w:ind w:firstLine="0" w:left="0" w:right="0"/>
              <w:jc w:val="right"/>
              <w:jc w:val="center"/>
            </w:pPr>
            <w:r>
              <w:rPr>
                <w:rFonts w:ascii="Calibri" w:hAnsi="Calibri"/>
                <w:sz w:val="13"/>
              </w:rPr>
              <w:t xml:space="preserve">99%</w:t>
            </w:r>
          </w:p>
        </w:tc>
        <w:tc>
          <w:tcPr/>
          <w:p>
            <w:pPr>
              <w:pStyle w:val="Compact"/>
              <w:spacing w:before="8" w:after="8" w:line="240" w:lineRule="auto"/>
              <w:ind w:firstLine="0" w:left="0" w:right="0"/>
              <w:jc w:val="right"/>
              <w:jc w:val="center"/>
            </w:pPr>
            <w:r>
              <w:rPr>
                <w:rFonts w:ascii="Calibri" w:hAnsi="Calibri"/>
                <w:sz w:val="13"/>
              </w:rPr>
              <w:t xml:space="preserve">100%</w:t>
            </w:r>
          </w:p>
        </w:tc>
        <w:tc>
          <w:tcPr/>
          <w:p>
            <w:pPr>
              <w:pStyle w:val="Compact"/>
              <w:spacing w:before="8" w:after="8" w:line="240" w:lineRule="auto"/>
              <w:ind w:firstLine="0" w:left="0" w:right="0"/>
              <w:jc w:val="right"/>
              <w:jc w:val="center"/>
            </w:pPr>
            <w:r>
              <w:rPr>
                <w:rFonts w:ascii="Calibri" w:hAnsi="Calibri"/>
                <w:sz w:val="13"/>
              </w:rPr>
              <w:t xml:space="preserve">100%</w:t>
            </w:r>
          </w:p>
        </w:tc>
        <w:tc>
          <w:tcPr/>
          <w:p>
            <w:pPr>
              <w:pStyle w:val="Compact"/>
              <w:spacing w:before="8" w:after="8" w:line="240" w:lineRule="auto"/>
              <w:ind w:firstLine="0" w:left="0" w:right="0"/>
              <w:jc w:val="right"/>
              <w:jc w:val="center"/>
            </w:pPr>
            <w:r>
              <w:rPr>
                <w:rFonts w:ascii="Calibri" w:hAnsi="Calibri"/>
                <w:sz w:val="13"/>
              </w:rPr>
              <w:t xml:space="preserve">100%</w:t>
            </w:r>
          </w:p>
        </w:tc>
        <w:tc>
          <w:tcPr/>
          <w:p>
            <w:pPr>
              <w:pStyle w:val="Compact"/>
              <w:spacing w:before="8" w:after="8" w:line="240" w:lineRule="auto"/>
              <w:ind w:firstLine="0" w:left="0" w:right="0"/>
              <w:jc w:val="right"/>
              <w:jc w:val="center"/>
            </w:pPr>
            <w:r>
              <w:rPr>
                <w:rFonts w:ascii="Calibri" w:hAnsi="Calibri"/>
                <w:sz w:val="13"/>
              </w:rPr>
              <w:t xml:space="preserve">100%</w:t>
            </w:r>
          </w:p>
        </w:tc>
      </w:tr>
      <w:tr>
        <w:trPr>
          <w:cantSplit/>
        </w:trPr>
        <w:tc>
          <w:tcPr/>
          <w:p>
            <w:pPr>
              <w:pStyle w:val="Compact"/>
              <w:spacing w:before="8" w:after="8" w:line="240" w:lineRule="auto"/>
              <w:ind w:firstLine="0" w:left="0" w:right="0"/>
              <w:jc w:val="left"/>
              <w:jc w:val="center"/>
            </w:pPr>
            <w:r>
              <w:rPr>
                <w:rFonts w:ascii="Calibri" w:hAnsi="Calibri"/>
                <w:sz w:val="13"/>
              </w:rPr>
              <w:t xml:space="preserve">Firm-year</w:t>
            </w:r>
          </w:p>
        </w:tc>
        <w:tc>
          <w:tcPr/>
          <w:p>
            <w:pPr>
              <w:pStyle w:val="Compact"/>
              <w:spacing w:before="8" w:after="8" w:line="240" w:lineRule="auto"/>
              <w:ind w:firstLine="0" w:left="0" w:right="0"/>
              <w:jc w:val="left"/>
              <w:jc w:val="center"/>
            </w:pPr>
            <w:r>
              <w:rPr>
                <w:rFonts w:ascii="Calibri" w:hAnsi="Calibri"/>
                <w:sz w:val="13"/>
              </w:rPr>
              <w:t xml:space="preserve">interest_expense</w:t>
            </w:r>
          </w:p>
        </w:tc>
        <w:tc>
          <w:tcPr/>
          <w:p>
            <w:pPr>
              <w:pStyle w:val="Compact"/>
              <w:spacing w:before="8" w:after="8" w:line="240" w:lineRule="auto"/>
              <w:ind w:firstLine="0" w:left="0" w:right="0"/>
              <w:jc w:val="left"/>
              <w:jc w:val="center"/>
            </w:pPr>
            <w:r>
              <w:rPr>
                <w:rFonts w:ascii="Calibri" w:hAnsi="Calibri"/>
                <w:sz w:val="13"/>
              </w:rPr>
              <w:t xml:space="preserve">–</w:t>
            </w:r>
          </w:p>
        </w:tc>
        <w:tc>
          <w:tcPr/>
          <w:p>
            <w:pPr>
              <w:pStyle w:val="Compact"/>
              <w:spacing w:before="8" w:after="8" w:line="240" w:lineRule="auto"/>
              <w:ind w:firstLine="0" w:left="0" w:right="0"/>
              <w:jc w:val="right"/>
              <w:jc w:val="center"/>
            </w:pPr>
            <w:r>
              <w:rPr>
                <w:rFonts w:ascii="Calibri" w:hAnsi="Calibri"/>
                <w:sz w:val="13"/>
              </w:rPr>
              <w:t xml:space="preserve">97%</w:t>
            </w:r>
          </w:p>
        </w:tc>
        <w:tc>
          <w:tcPr/>
          <w:p>
            <w:pPr>
              <w:pStyle w:val="Compact"/>
              <w:spacing w:before="8" w:after="8" w:line="240" w:lineRule="auto"/>
              <w:ind w:firstLine="0" w:left="0" w:right="0"/>
              <w:jc w:val="right"/>
              <w:jc w:val="center"/>
            </w:pPr>
            <w:r>
              <w:rPr>
                <w:rFonts w:ascii="Calibri" w:hAnsi="Calibri"/>
                <w:sz w:val="13"/>
              </w:rPr>
              <w:t xml:space="preserve">98%</w:t>
            </w:r>
          </w:p>
        </w:tc>
        <w:tc>
          <w:tcPr/>
          <w:p>
            <w:pPr>
              <w:pStyle w:val="Compact"/>
              <w:spacing w:before="8" w:after="8" w:line="240" w:lineRule="auto"/>
              <w:ind w:firstLine="0" w:left="0" w:right="0"/>
              <w:jc w:val="right"/>
              <w:jc w:val="center"/>
            </w:pPr>
            <w:r>
              <w:rPr>
                <w:rFonts w:ascii="Calibri" w:hAnsi="Calibri"/>
                <w:sz w:val="13"/>
              </w:rPr>
              <w:t xml:space="preserve">98%</w:t>
            </w:r>
          </w:p>
        </w:tc>
        <w:tc>
          <w:tcPr/>
          <w:p>
            <w:pPr>
              <w:pStyle w:val="Compact"/>
              <w:spacing w:before="8" w:after="8" w:line="240" w:lineRule="auto"/>
              <w:ind w:firstLine="0" w:left="0" w:right="0"/>
              <w:jc w:val="right"/>
              <w:jc w:val="center"/>
            </w:pPr>
            <w:r>
              <w:rPr>
                <w:rFonts w:ascii="Calibri" w:hAnsi="Calibri"/>
                <w:sz w:val="13"/>
              </w:rPr>
              <w:t xml:space="preserve">98%</w:t>
            </w:r>
          </w:p>
        </w:tc>
        <w:tc>
          <w:tcPr/>
          <w:p>
            <w:pPr>
              <w:pStyle w:val="Compact"/>
              <w:spacing w:before="8" w:after="8" w:line="240" w:lineRule="auto"/>
              <w:ind w:firstLine="0" w:left="0" w:right="0"/>
              <w:jc w:val="right"/>
              <w:jc w:val="center"/>
            </w:pPr>
            <w:r>
              <w:rPr>
                <w:rFonts w:ascii="Calibri" w:hAnsi="Calibri"/>
                <w:sz w:val="13"/>
              </w:rPr>
              <w:t xml:space="preserve">98%</w:t>
            </w:r>
          </w:p>
        </w:tc>
      </w:tr>
      <w:tr>
        <w:trPr>
          <w:cantSplit/>
        </w:trPr>
        <w:tc>
          <w:tcPr/>
          <w:p>
            <w:pPr>
              <w:pStyle w:val="Compact"/>
              <w:spacing w:before="8" w:after="8" w:line="240" w:lineRule="auto"/>
              <w:ind w:firstLine="0" w:left="0" w:right="0"/>
              <w:jc w:val="left"/>
              <w:jc w:val="center"/>
            </w:pPr>
            <w:r>
              <w:rPr>
                <w:rFonts w:ascii="Calibri" w:hAnsi="Calibri"/>
                <w:sz w:val="13"/>
              </w:rPr>
              <w:t xml:space="preserve">Firm-year</w:t>
            </w:r>
          </w:p>
        </w:tc>
        <w:tc>
          <w:tcPr/>
          <w:p>
            <w:pPr>
              <w:pStyle w:val="Compact"/>
              <w:spacing w:before="8" w:after="8" w:line="240" w:lineRule="auto"/>
              <w:ind w:firstLine="0" w:left="0" w:right="0"/>
              <w:jc w:val="left"/>
              <w:jc w:val="center"/>
            </w:pPr>
            <w:r>
              <w:rPr>
                <w:rFonts w:ascii="Calibri" w:hAnsi="Calibri"/>
                <w:sz w:val="13"/>
              </w:rPr>
              <w:t xml:space="preserve">sga_expense</w:t>
            </w:r>
          </w:p>
        </w:tc>
        <w:tc>
          <w:tcPr/>
          <w:p>
            <w:pPr>
              <w:pStyle w:val="Compact"/>
              <w:spacing w:before="8" w:after="8" w:line="240" w:lineRule="auto"/>
              <w:ind w:firstLine="0" w:left="0" w:right="0"/>
              <w:jc w:val="left"/>
              <w:jc w:val="center"/>
            </w:pPr>
            <w:r>
              <w:rPr>
                <w:rFonts w:ascii="Calibri" w:hAnsi="Calibri"/>
                <w:sz w:val="13"/>
              </w:rPr>
              <w:t xml:space="preserve">–</w:t>
            </w:r>
          </w:p>
        </w:tc>
        <w:tc>
          <w:tcPr/>
          <w:p>
            <w:pPr>
              <w:pStyle w:val="Compact"/>
              <w:spacing w:before="8" w:after="8" w:line="240" w:lineRule="auto"/>
              <w:ind w:firstLine="0" w:left="0" w:right="0"/>
              <w:jc w:val="right"/>
              <w:jc w:val="center"/>
            </w:pPr>
            <w:r>
              <w:rPr>
                <w:rFonts w:ascii="Calibri" w:hAnsi="Calibri"/>
                <w:sz w:val="13"/>
              </w:rPr>
              <w:t xml:space="preserve">89%</w:t>
            </w:r>
          </w:p>
        </w:tc>
        <w:tc>
          <w:tcPr/>
          <w:p>
            <w:pPr>
              <w:pStyle w:val="Compact"/>
              <w:spacing w:before="8" w:after="8" w:line="240" w:lineRule="auto"/>
              <w:ind w:firstLine="0" w:left="0" w:right="0"/>
              <w:jc w:val="right"/>
              <w:jc w:val="center"/>
            </w:pPr>
            <w:r>
              <w:rPr>
                <w:rFonts w:ascii="Calibri" w:hAnsi="Calibri"/>
                <w:sz w:val="13"/>
              </w:rPr>
              <w:t xml:space="preserve">89%</w:t>
            </w:r>
          </w:p>
        </w:tc>
        <w:tc>
          <w:tcPr/>
          <w:p>
            <w:pPr>
              <w:pStyle w:val="Compact"/>
              <w:spacing w:before="8" w:after="8" w:line="240" w:lineRule="auto"/>
              <w:ind w:firstLine="0" w:left="0" w:right="0"/>
              <w:jc w:val="right"/>
              <w:jc w:val="center"/>
            </w:pPr>
            <w:r>
              <w:rPr>
                <w:rFonts w:ascii="Calibri" w:hAnsi="Calibri"/>
                <w:sz w:val="13"/>
              </w:rPr>
              <w:t xml:space="preserve">90%</w:t>
            </w:r>
          </w:p>
        </w:tc>
        <w:tc>
          <w:tcPr/>
          <w:p>
            <w:pPr>
              <w:pStyle w:val="Compact"/>
              <w:spacing w:before="8" w:after="8" w:line="240" w:lineRule="auto"/>
              <w:ind w:firstLine="0" w:left="0" w:right="0"/>
              <w:jc w:val="right"/>
              <w:jc w:val="center"/>
            </w:pPr>
            <w:r>
              <w:rPr>
                <w:rFonts w:ascii="Calibri" w:hAnsi="Calibri"/>
                <w:sz w:val="13"/>
              </w:rPr>
              <w:t xml:space="preserve">90%</w:t>
            </w:r>
          </w:p>
        </w:tc>
        <w:tc>
          <w:tcPr/>
          <w:p>
            <w:pPr>
              <w:pStyle w:val="Compact"/>
              <w:spacing w:before="8" w:after="8" w:line="240" w:lineRule="auto"/>
              <w:ind w:firstLine="0" w:left="0" w:right="0"/>
              <w:jc w:val="right"/>
              <w:jc w:val="center"/>
            </w:pPr>
            <w:r>
              <w:rPr>
                <w:rFonts w:ascii="Calibri" w:hAnsi="Calibri"/>
                <w:sz w:val="13"/>
              </w:rPr>
              <w:t xml:space="preserve">89%</w:t>
            </w:r>
          </w:p>
        </w:tc>
      </w:tr>
      <w:tr>
        <w:trPr>
          <w:cantSplit/>
        </w:trPr>
        <w:tc>
          <w:tcPr/>
          <w:p>
            <w:pPr>
              <w:pStyle w:val="Compact"/>
              <w:spacing w:before="8" w:after="8" w:line="240" w:lineRule="auto"/>
              <w:ind w:firstLine="0" w:left="0" w:right="0"/>
              <w:jc w:val="left"/>
              <w:jc w:val="center"/>
            </w:pPr>
            <w:r>
              <w:rPr>
                <w:rFonts w:ascii="Calibri" w:hAnsi="Calibri"/>
                <w:sz w:val="13"/>
              </w:rPr>
              <w:t xml:space="preserve">Firm-year</w:t>
            </w:r>
          </w:p>
        </w:tc>
        <w:tc>
          <w:tcPr/>
          <w:p>
            <w:pPr>
              <w:pStyle w:val="Compact"/>
              <w:spacing w:before="8" w:after="8" w:line="240" w:lineRule="auto"/>
              <w:ind w:firstLine="0" w:left="0" w:right="0"/>
              <w:jc w:val="left"/>
              <w:jc w:val="center"/>
            </w:pPr>
            <w:r>
              <w:rPr>
                <w:rFonts w:ascii="Calibri" w:hAnsi="Calibri"/>
                <w:sz w:val="13"/>
              </w:rPr>
              <w:t xml:space="preserve">rd_expense</w:t>
            </w:r>
          </w:p>
        </w:tc>
        <w:tc>
          <w:tcPr/>
          <w:p>
            <w:pPr>
              <w:pStyle w:val="Compact"/>
              <w:spacing w:before="8" w:after="8" w:line="240" w:lineRule="auto"/>
              <w:ind w:firstLine="0" w:left="0" w:right="0"/>
              <w:jc w:val="left"/>
              <w:jc w:val="center"/>
            </w:pPr>
            <w:r>
              <w:rPr>
                <w:rFonts w:ascii="Calibri" w:hAnsi="Calibri"/>
                <w:sz w:val="13"/>
              </w:rPr>
              <w:t xml:space="preserve">–</w:t>
            </w:r>
          </w:p>
        </w:tc>
        <w:tc>
          <w:tcPr/>
          <w:p>
            <w:pPr>
              <w:pStyle w:val="Compact"/>
              <w:spacing w:before="8" w:after="8" w:line="240" w:lineRule="auto"/>
              <w:ind w:firstLine="0" w:left="0" w:right="0"/>
              <w:jc w:val="right"/>
              <w:jc w:val="center"/>
            </w:pPr>
            <w:r>
              <w:rPr>
                <w:rFonts w:ascii="Calibri" w:hAnsi="Calibri"/>
                <w:sz w:val="13"/>
              </w:rPr>
              <w:t xml:space="preserve">45%</w:t>
            </w:r>
          </w:p>
        </w:tc>
        <w:tc>
          <w:tcPr/>
          <w:p>
            <w:pPr>
              <w:pStyle w:val="Compact"/>
              <w:spacing w:before="8" w:after="8" w:line="240" w:lineRule="auto"/>
              <w:ind w:firstLine="0" w:left="0" w:right="0"/>
              <w:jc w:val="right"/>
              <w:jc w:val="center"/>
            </w:pPr>
            <w:r>
              <w:rPr>
                <w:rFonts w:ascii="Calibri" w:hAnsi="Calibri"/>
                <w:sz w:val="13"/>
              </w:rPr>
              <w:t xml:space="preserve">45%</w:t>
            </w:r>
          </w:p>
        </w:tc>
        <w:tc>
          <w:tcPr/>
          <w:p>
            <w:pPr>
              <w:pStyle w:val="Compact"/>
              <w:spacing w:before="8" w:after="8" w:line="240" w:lineRule="auto"/>
              <w:ind w:firstLine="0" w:left="0" w:right="0"/>
              <w:jc w:val="right"/>
              <w:jc w:val="center"/>
            </w:pPr>
            <w:r>
              <w:rPr>
                <w:rFonts w:ascii="Calibri" w:hAnsi="Calibri"/>
                <w:sz w:val="13"/>
              </w:rPr>
              <w:t xml:space="preserve">45%</w:t>
            </w:r>
          </w:p>
        </w:tc>
        <w:tc>
          <w:tcPr/>
          <w:p>
            <w:pPr>
              <w:pStyle w:val="Compact"/>
              <w:spacing w:before="8" w:after="8" w:line="240" w:lineRule="auto"/>
              <w:ind w:firstLine="0" w:left="0" w:right="0"/>
              <w:jc w:val="right"/>
              <w:jc w:val="center"/>
            </w:pPr>
            <w:r>
              <w:rPr>
                <w:rFonts w:ascii="Calibri" w:hAnsi="Calibri"/>
                <w:sz w:val="13"/>
              </w:rPr>
              <w:t xml:space="preserve">45%</w:t>
            </w:r>
          </w:p>
        </w:tc>
        <w:tc>
          <w:tcPr/>
          <w:p>
            <w:pPr>
              <w:pStyle w:val="Compact"/>
              <w:spacing w:before="8" w:after="8" w:line="240" w:lineRule="auto"/>
              <w:ind w:firstLine="0" w:left="0" w:right="0"/>
              <w:jc w:val="right"/>
              <w:jc w:val="center"/>
            </w:pPr>
            <w:r>
              <w:rPr>
                <w:rFonts w:ascii="Calibri" w:hAnsi="Calibri"/>
                <w:sz w:val="13"/>
              </w:rPr>
              <w:t xml:space="preserve">45%</w:t>
            </w:r>
          </w:p>
        </w:tc>
      </w:tr>
      <w:tr>
        <w:trPr>
          <w:cantSplit/>
        </w:trPr>
        <w:tc>
          <w:tcPr/>
          <w:p>
            <w:pPr>
              <w:pStyle w:val="Compact"/>
              <w:spacing w:before="8" w:after="8" w:line="240" w:lineRule="auto"/>
              <w:ind w:firstLine="0" w:left="0" w:right="0"/>
              <w:jc w:val="left"/>
              <w:jc w:val="center"/>
            </w:pPr>
            <w:r>
              <w:rPr>
                <w:rFonts w:ascii="Calibri" w:hAnsi="Calibri"/>
                <w:sz w:val="13"/>
              </w:rPr>
              <w:t xml:space="preserve">Firm-year</w:t>
            </w:r>
          </w:p>
        </w:tc>
        <w:tc>
          <w:tcPr/>
          <w:p>
            <w:pPr>
              <w:pStyle w:val="Compact"/>
              <w:spacing w:before="8" w:after="8" w:line="240" w:lineRule="auto"/>
              <w:ind w:firstLine="0" w:left="0" w:right="0"/>
              <w:jc w:val="left"/>
              <w:jc w:val="center"/>
            </w:pPr>
            <w:r>
              <w:rPr>
                <w:rFonts w:ascii="Calibri" w:hAnsi="Calibri"/>
                <w:sz w:val="13"/>
              </w:rPr>
              <w:t xml:space="preserve">beta</w:t>
            </w:r>
          </w:p>
        </w:tc>
        <w:tc>
          <w:tcPr/>
          <w:p>
            <w:pPr>
              <w:pStyle w:val="Compact"/>
              <w:spacing w:before="8" w:after="8" w:line="240" w:lineRule="auto"/>
              <w:ind w:firstLine="0" w:left="0" w:right="0"/>
              <w:jc w:val="left"/>
              <w:jc w:val="center"/>
            </w:pPr>
            <w:r>
              <w:rPr>
                <w:rFonts w:ascii="Calibri" w:hAnsi="Calibri"/>
                <w:sz w:val="13"/>
              </w:rPr>
              <w:t xml:space="preserve">–</w:t>
            </w:r>
          </w:p>
        </w:tc>
        <w:tc>
          <w:tcPr/>
          <w:p>
            <w:pPr>
              <w:pStyle w:val="Compact"/>
              <w:spacing w:before="8" w:after="8" w:line="240" w:lineRule="auto"/>
              <w:ind w:firstLine="0" w:left="0" w:right="0"/>
              <w:jc w:val="right"/>
              <w:jc w:val="center"/>
            </w:pPr>
            <w:r>
              <w:rPr>
                <w:rFonts w:ascii="Calibri" w:hAnsi="Calibri"/>
                <w:sz w:val="13"/>
              </w:rPr>
              <w:t xml:space="preserve">99%</w:t>
            </w:r>
          </w:p>
        </w:tc>
        <w:tc>
          <w:tcPr/>
          <w:p>
            <w:pPr>
              <w:pStyle w:val="Compact"/>
              <w:spacing w:before="8" w:after="8" w:line="240" w:lineRule="auto"/>
              <w:ind w:firstLine="0" w:left="0" w:right="0"/>
              <w:jc w:val="right"/>
              <w:jc w:val="center"/>
            </w:pPr>
            <w:r>
              <w:rPr>
                <w:rFonts w:ascii="Calibri" w:hAnsi="Calibri"/>
                <w:sz w:val="13"/>
              </w:rPr>
              <w:t xml:space="preserve">100%</w:t>
            </w:r>
          </w:p>
        </w:tc>
        <w:tc>
          <w:tcPr/>
          <w:p>
            <w:pPr>
              <w:pStyle w:val="Compact"/>
              <w:spacing w:before="8" w:after="8" w:line="240" w:lineRule="auto"/>
              <w:ind w:firstLine="0" w:left="0" w:right="0"/>
              <w:jc w:val="right"/>
              <w:jc w:val="center"/>
            </w:pPr>
            <w:r>
              <w:rPr>
                <w:rFonts w:ascii="Calibri" w:hAnsi="Calibri"/>
                <w:sz w:val="13"/>
              </w:rPr>
              <w:t xml:space="preserve">100%</w:t>
            </w:r>
          </w:p>
        </w:tc>
        <w:tc>
          <w:tcPr/>
          <w:p>
            <w:pPr>
              <w:pStyle w:val="Compact"/>
              <w:spacing w:before="8" w:after="8" w:line="240" w:lineRule="auto"/>
              <w:ind w:firstLine="0" w:left="0" w:right="0"/>
              <w:jc w:val="right"/>
              <w:jc w:val="center"/>
            </w:pPr>
            <w:r>
              <w:rPr>
                <w:rFonts w:ascii="Calibri" w:hAnsi="Calibri"/>
                <w:sz w:val="13"/>
              </w:rPr>
              <w:t xml:space="preserve">100%</w:t>
            </w:r>
          </w:p>
        </w:tc>
        <w:tc>
          <w:tcPr/>
          <w:p>
            <w:pPr>
              <w:pStyle w:val="Compact"/>
              <w:spacing w:before="8" w:after="8" w:line="240" w:lineRule="auto"/>
              <w:ind w:firstLine="0" w:left="0" w:right="0"/>
              <w:jc w:val="right"/>
              <w:jc w:val="center"/>
            </w:pPr>
            <w:r>
              <w:rPr>
                <w:rFonts w:ascii="Calibri" w:hAnsi="Calibri"/>
                <w:sz w:val="13"/>
              </w:rPr>
              <w:t xml:space="preserve">100%</w:t>
            </w:r>
          </w:p>
        </w:tc>
      </w:tr>
      <w:tr>
        <w:trPr>
          <w:cantSplit/>
        </w:trPr>
        <w:tc>
          <w:tcPr/>
          <w:p>
            <w:pPr>
              <w:pStyle w:val="Compact"/>
              <w:spacing w:before="8" w:after="8" w:line="240" w:lineRule="auto"/>
              <w:ind w:firstLine="0" w:left="0" w:right="0"/>
              <w:jc w:val="left"/>
              <w:jc w:val="center"/>
            </w:pPr>
            <w:r>
              <w:rPr>
                <w:rFonts w:ascii="Calibri" w:hAnsi="Calibri"/>
                <w:sz w:val="13"/>
              </w:rPr>
              <w:t xml:space="preserve">Firm-quarter</w:t>
            </w:r>
          </w:p>
        </w:tc>
        <w:tc>
          <w:tcPr/>
          <w:p>
            <w:pPr>
              <w:pStyle w:val="Compact"/>
              <w:spacing w:before="8" w:after="8" w:line="240" w:lineRule="auto"/>
              <w:ind w:firstLine="0" w:left="0" w:right="0"/>
              <w:jc w:val="left"/>
              <w:jc w:val="center"/>
            </w:pPr>
            <w:r>
              <w:rPr>
                <w:rFonts w:ascii="Calibri" w:hAnsi="Calibri"/>
                <w:sz w:val="13"/>
              </w:rPr>
              <w:t xml:space="preserve">revenue</w:t>
            </w:r>
          </w:p>
        </w:tc>
        <w:tc>
          <w:tcPr/>
          <w:p>
            <w:pPr>
              <w:pStyle w:val="Compact"/>
              <w:spacing w:before="8" w:after="8" w:line="240" w:lineRule="auto"/>
              <w:ind w:firstLine="0" w:left="0" w:right="0"/>
              <w:jc w:val="right"/>
              <w:jc w:val="center"/>
            </w:pPr>
            <w:r>
              <w:rPr>
                <w:rFonts w:ascii="Calibri" w:hAnsi="Calibri"/>
                <w:sz w:val="13"/>
              </w:rPr>
              <w:t xml:space="preserve">100%</w:t>
            </w:r>
          </w:p>
        </w:tc>
        <w:tc>
          <w:tcPr/>
          <w:p>
            <w:pPr>
              <w:pStyle w:val="Compact"/>
              <w:spacing w:before="8" w:after="8" w:line="240" w:lineRule="auto"/>
              <w:ind w:firstLine="0" w:left="0" w:right="0"/>
              <w:jc w:val="right"/>
              <w:jc w:val="center"/>
            </w:pPr>
            <w:r>
              <w:rPr>
                <w:rFonts w:ascii="Calibri" w:hAnsi="Calibri"/>
                <w:sz w:val="13"/>
              </w:rPr>
              <w:t xml:space="preserve">100%</w:t>
            </w:r>
          </w:p>
        </w:tc>
        <w:tc>
          <w:tcPr/>
          <w:p>
            <w:pPr>
              <w:pStyle w:val="Compact"/>
              <w:spacing w:before="8" w:after="8" w:line="240" w:lineRule="auto"/>
              <w:ind w:firstLine="0" w:left="0" w:right="0"/>
              <w:jc w:val="right"/>
              <w:jc w:val="center"/>
            </w:pPr>
            <w:r>
              <w:rPr>
                <w:rFonts w:ascii="Calibri" w:hAnsi="Calibri"/>
                <w:sz w:val="13"/>
              </w:rPr>
              <w:t xml:space="preserve">100%</w:t>
            </w:r>
          </w:p>
        </w:tc>
        <w:tc>
          <w:tcPr/>
          <w:p>
            <w:pPr>
              <w:pStyle w:val="Compact"/>
              <w:spacing w:before="8" w:after="8" w:line="240" w:lineRule="auto"/>
              <w:ind w:firstLine="0" w:left="0" w:right="0"/>
              <w:jc w:val="right"/>
              <w:jc w:val="center"/>
            </w:pPr>
            <w:r>
              <w:rPr>
                <w:rFonts w:ascii="Calibri" w:hAnsi="Calibri"/>
                <w:sz w:val="13"/>
              </w:rPr>
              <w:t xml:space="preserve">100%</w:t>
            </w:r>
          </w:p>
        </w:tc>
        <w:tc>
          <w:tcPr/>
          <w:p>
            <w:pPr>
              <w:pStyle w:val="Compact"/>
              <w:spacing w:before="8" w:after="8" w:line="240" w:lineRule="auto"/>
              <w:ind w:firstLine="0" w:left="0" w:right="0"/>
              <w:jc w:val="right"/>
              <w:jc w:val="center"/>
            </w:pPr>
            <w:r>
              <w:rPr>
                <w:rFonts w:ascii="Calibri" w:hAnsi="Calibri"/>
                <w:sz w:val="13"/>
              </w:rPr>
              <w:t xml:space="preserve">100%</w:t>
            </w:r>
          </w:p>
        </w:tc>
        <w:tc>
          <w:tcPr/>
          <w:p>
            <w:pPr>
              <w:pStyle w:val="Compact"/>
              <w:spacing w:before="8" w:after="8" w:line="240" w:lineRule="auto"/>
              <w:ind w:firstLine="0" w:left="0" w:right="0"/>
              <w:jc w:val="right"/>
              <w:jc w:val="center"/>
            </w:pPr>
            <w:r>
              <w:rPr>
                <w:rFonts w:ascii="Calibri" w:hAnsi="Calibri"/>
                <w:sz w:val="13"/>
              </w:rPr>
              <w:t xml:space="preserve">100%</w:t>
            </w:r>
          </w:p>
        </w:tc>
      </w:tr>
      <w:tr>
        <w:trPr>
          <w:cantSplit/>
        </w:trPr>
        <w:tc>
          <w:tcPr/>
          <w:p>
            <w:pPr>
              <w:pStyle w:val="Compact"/>
              <w:spacing w:before="8" w:after="8" w:line="240" w:lineRule="auto"/>
              <w:ind w:firstLine="0" w:left="0" w:right="0"/>
              <w:jc w:val="left"/>
              <w:jc w:val="center"/>
            </w:pPr>
            <w:r>
              <w:rPr>
                <w:rFonts w:ascii="Calibri" w:hAnsi="Calibri"/>
                <w:sz w:val="13"/>
              </w:rPr>
              <w:t xml:space="preserve">Firm-quarter</w:t>
            </w:r>
          </w:p>
        </w:tc>
        <w:tc>
          <w:tcPr/>
          <w:p>
            <w:pPr>
              <w:pStyle w:val="Compact"/>
              <w:spacing w:before="8" w:after="8" w:line="240" w:lineRule="auto"/>
              <w:ind w:firstLine="0" w:left="0" w:right="0"/>
              <w:jc w:val="left"/>
              <w:jc w:val="center"/>
            </w:pPr>
            <w:r>
              <w:rPr>
                <w:rFonts w:ascii="Calibri" w:hAnsi="Calibri"/>
                <w:sz w:val="13"/>
              </w:rPr>
              <w:t xml:space="preserve">rd_expense</w:t>
            </w:r>
          </w:p>
        </w:tc>
        <w:tc>
          <w:tcPr/>
          <w:p>
            <w:pPr>
              <w:pStyle w:val="Compact"/>
              <w:spacing w:before="8" w:after="8" w:line="240" w:lineRule="auto"/>
              <w:ind w:firstLine="0" w:left="0" w:right="0"/>
              <w:jc w:val="right"/>
              <w:jc w:val="center"/>
            </w:pPr>
            <w:r>
              <w:rPr>
                <w:rFonts w:ascii="Calibri" w:hAnsi="Calibri"/>
                <w:sz w:val="13"/>
              </w:rPr>
              <w:t xml:space="preserve">34%</w:t>
            </w:r>
          </w:p>
        </w:tc>
        <w:tc>
          <w:tcPr/>
          <w:p>
            <w:pPr>
              <w:pStyle w:val="Compact"/>
              <w:spacing w:before="8" w:after="8" w:line="240" w:lineRule="auto"/>
              <w:ind w:firstLine="0" w:left="0" w:right="0"/>
              <w:jc w:val="right"/>
              <w:jc w:val="center"/>
            </w:pPr>
            <w:r>
              <w:rPr>
                <w:rFonts w:ascii="Calibri" w:hAnsi="Calibri"/>
                <w:sz w:val="13"/>
              </w:rPr>
              <w:t xml:space="preserve">34%</w:t>
            </w:r>
          </w:p>
        </w:tc>
        <w:tc>
          <w:tcPr/>
          <w:p>
            <w:pPr>
              <w:pStyle w:val="Compact"/>
              <w:spacing w:before="8" w:after="8" w:line="240" w:lineRule="auto"/>
              <w:ind w:firstLine="0" w:left="0" w:right="0"/>
              <w:jc w:val="right"/>
              <w:jc w:val="center"/>
            </w:pPr>
            <w:r>
              <w:rPr>
                <w:rFonts w:ascii="Calibri" w:hAnsi="Calibri"/>
                <w:sz w:val="13"/>
              </w:rPr>
              <w:t xml:space="preserve">34%</w:t>
            </w:r>
          </w:p>
        </w:tc>
        <w:tc>
          <w:tcPr/>
          <w:p>
            <w:pPr>
              <w:pStyle w:val="Compact"/>
              <w:spacing w:before="8" w:after="8" w:line="240" w:lineRule="auto"/>
              <w:ind w:firstLine="0" w:left="0" w:right="0"/>
              <w:jc w:val="right"/>
              <w:jc w:val="center"/>
            </w:pPr>
            <w:r>
              <w:rPr>
                <w:rFonts w:ascii="Calibri" w:hAnsi="Calibri"/>
                <w:sz w:val="13"/>
              </w:rPr>
              <w:t xml:space="preserve">34%</w:t>
            </w:r>
          </w:p>
        </w:tc>
        <w:tc>
          <w:tcPr/>
          <w:p>
            <w:pPr>
              <w:pStyle w:val="Compact"/>
              <w:spacing w:before="8" w:after="8" w:line="240" w:lineRule="auto"/>
              <w:ind w:firstLine="0" w:left="0" w:right="0"/>
              <w:jc w:val="right"/>
              <w:jc w:val="center"/>
            </w:pPr>
            <w:r>
              <w:rPr>
                <w:rFonts w:ascii="Calibri" w:hAnsi="Calibri"/>
                <w:sz w:val="13"/>
              </w:rPr>
              <w:t xml:space="preserve">34%</w:t>
            </w:r>
          </w:p>
        </w:tc>
        <w:tc>
          <w:tcPr/>
          <w:p>
            <w:pPr>
              <w:pStyle w:val="Compact"/>
              <w:spacing w:before="8" w:after="8" w:line="240" w:lineRule="auto"/>
              <w:ind w:firstLine="0" w:left="0" w:right="0"/>
              <w:jc w:val="right"/>
              <w:jc w:val="center"/>
            </w:pPr>
            <w:r>
              <w:rPr>
                <w:rFonts w:ascii="Calibri" w:hAnsi="Calibri"/>
                <w:sz w:val="13"/>
              </w:rPr>
              <w:t xml:space="preserve">34%</w:t>
            </w:r>
          </w:p>
        </w:tc>
      </w:tr>
      <w:tr>
        <w:trPr>
          <w:cantSplit/>
        </w:trPr>
        <w:tc>
          <w:tcPr/>
          <w:p>
            <w:pPr>
              <w:pStyle w:val="Compact"/>
              <w:spacing w:before="8" w:after="8" w:line="240" w:lineRule="auto"/>
              <w:ind w:firstLine="0" w:left="0" w:right="0"/>
              <w:jc w:val="left"/>
              <w:jc w:val="center"/>
            </w:pPr>
            <w:r>
              <w:rPr>
                <w:rFonts w:ascii="Calibri" w:hAnsi="Calibri"/>
                <w:sz w:val="13"/>
              </w:rPr>
              <w:t xml:space="preserve">Firm-quarter</w:t>
            </w:r>
          </w:p>
        </w:tc>
        <w:tc>
          <w:tcPr/>
          <w:p>
            <w:pPr>
              <w:pStyle w:val="Compact"/>
              <w:spacing w:before="8" w:after="8" w:line="240" w:lineRule="auto"/>
              <w:ind w:firstLine="0" w:left="0" w:right="0"/>
              <w:jc w:val="left"/>
              <w:jc w:val="center"/>
            </w:pPr>
            <w:r>
              <w:rPr>
                <w:rFonts w:ascii="Calibri" w:hAnsi="Calibri"/>
                <w:sz w:val="13"/>
              </w:rPr>
              <w:t xml:space="preserve">beta_pre_252</w:t>
            </w:r>
          </w:p>
        </w:tc>
        <w:tc>
          <w:tcPr/>
          <w:p>
            <w:pPr>
              <w:pStyle w:val="Compact"/>
              <w:spacing w:before="8" w:after="8" w:line="240" w:lineRule="auto"/>
              <w:ind w:firstLine="0" w:left="0" w:right="0"/>
              <w:jc w:val="right"/>
              <w:jc w:val="center"/>
            </w:pPr>
            <w:r>
              <w:rPr>
                <w:rFonts w:ascii="Calibri" w:hAnsi="Calibri"/>
                <w:sz w:val="13"/>
              </w:rPr>
              <w:t xml:space="preserve">100%</w:t>
            </w:r>
          </w:p>
        </w:tc>
        <w:tc>
          <w:tcPr/>
          <w:p>
            <w:pPr>
              <w:pStyle w:val="Compact"/>
              <w:spacing w:before="8" w:after="8" w:line="240" w:lineRule="auto"/>
              <w:ind w:firstLine="0" w:left="0" w:right="0"/>
              <w:jc w:val="right"/>
              <w:jc w:val="center"/>
            </w:pPr>
            <w:r>
              <w:rPr>
                <w:rFonts w:ascii="Calibri" w:hAnsi="Calibri"/>
                <w:sz w:val="13"/>
              </w:rPr>
              <w:t xml:space="preserve">100%</w:t>
            </w:r>
          </w:p>
        </w:tc>
        <w:tc>
          <w:tcPr/>
          <w:p>
            <w:pPr>
              <w:pStyle w:val="Compact"/>
              <w:spacing w:before="8" w:after="8" w:line="240" w:lineRule="auto"/>
              <w:ind w:firstLine="0" w:left="0" w:right="0"/>
              <w:jc w:val="right"/>
              <w:jc w:val="center"/>
            </w:pPr>
            <w:r>
              <w:rPr>
                <w:rFonts w:ascii="Calibri" w:hAnsi="Calibri"/>
                <w:sz w:val="13"/>
              </w:rPr>
              <w:t xml:space="preserve">100%</w:t>
            </w:r>
          </w:p>
        </w:tc>
        <w:tc>
          <w:tcPr/>
          <w:p>
            <w:pPr>
              <w:pStyle w:val="Compact"/>
              <w:spacing w:before="8" w:after="8" w:line="240" w:lineRule="auto"/>
              <w:ind w:firstLine="0" w:left="0" w:right="0"/>
              <w:jc w:val="right"/>
              <w:jc w:val="center"/>
            </w:pPr>
            <w:r>
              <w:rPr>
                <w:rFonts w:ascii="Calibri" w:hAnsi="Calibri"/>
                <w:sz w:val="13"/>
              </w:rPr>
              <w:t xml:space="preserve">100%</w:t>
            </w:r>
          </w:p>
        </w:tc>
        <w:tc>
          <w:tcPr/>
          <w:p>
            <w:pPr>
              <w:pStyle w:val="Compact"/>
              <w:spacing w:before="8" w:after="8" w:line="240" w:lineRule="auto"/>
              <w:ind w:firstLine="0" w:left="0" w:right="0"/>
              <w:jc w:val="right"/>
              <w:jc w:val="center"/>
            </w:pPr>
            <w:r>
              <w:rPr>
                <w:rFonts w:ascii="Calibri" w:hAnsi="Calibri"/>
                <w:sz w:val="13"/>
              </w:rPr>
              <w:t xml:space="preserve">100%</w:t>
            </w:r>
          </w:p>
        </w:tc>
        <w:tc>
          <w:tcPr/>
          <w:p>
            <w:pPr>
              <w:pStyle w:val="Compact"/>
              <w:spacing w:before="8" w:after="8" w:line="240" w:lineRule="auto"/>
              <w:ind w:firstLine="0" w:left="0" w:right="0"/>
              <w:jc w:val="right"/>
              <w:jc w:val="center"/>
            </w:pPr>
            <w:r>
              <w:rPr>
                <w:rFonts w:ascii="Calibri" w:hAnsi="Calibri"/>
                <w:sz w:val="13"/>
              </w:rPr>
              <w:t xml:space="preserve">100%</w:t>
            </w:r>
          </w:p>
        </w:tc>
      </w:tr>
      <w:tr>
        <w:trPr>
          <w:cantSplit/>
        </w:trPr>
        <w:tc>
          <w:tcPr/>
          <w:p>
            <w:pPr>
              <w:pStyle w:val="Compact"/>
              <w:spacing w:before="8" w:after="8" w:line="240" w:lineRule="auto"/>
              <w:ind w:firstLine="0" w:left="0" w:right="0"/>
              <w:jc w:val="left"/>
              <w:jc w:val="center"/>
            </w:pPr>
            <w:r>
              <w:rPr>
                <w:rFonts w:ascii="Calibri" w:hAnsi="Calibri"/>
                <w:sz w:val="13"/>
              </w:rPr>
              <w:t xml:space="preserve">Call</w:t>
            </w:r>
          </w:p>
        </w:tc>
        <w:tc>
          <w:tcPr/>
          <w:p>
            <w:pPr>
              <w:pStyle w:val="Compact"/>
              <w:spacing w:before="8" w:after="8" w:line="240" w:lineRule="auto"/>
              <w:ind w:firstLine="0" w:left="0" w:right="0"/>
              <w:jc w:val="left"/>
              <w:jc w:val="center"/>
            </w:pPr>
            <w:r>
              <w:rPr>
                <w:rFonts w:ascii="Calibri" w:hAnsi="Calibri"/>
                <w:sz w:val="13"/>
              </w:rPr>
              <w:t xml:space="preserve">beta_shift_pre</w:t>
            </w:r>
          </w:p>
        </w:tc>
        <w:tc>
          <w:tcPr/>
          <w:p>
            <w:pPr>
              <w:pStyle w:val="Compact"/>
              <w:spacing w:before="8" w:after="8" w:line="240" w:lineRule="auto"/>
              <w:ind w:firstLine="0" w:left="0" w:right="0"/>
              <w:jc w:val="right"/>
              <w:jc w:val="center"/>
            </w:pPr>
            <w:r>
              <w:rPr>
                <w:rFonts w:ascii="Calibri" w:hAnsi="Calibri"/>
                <w:sz w:val="13"/>
              </w:rPr>
              <w:t xml:space="preserve">100%</w:t>
            </w:r>
          </w:p>
        </w:tc>
        <w:tc>
          <w:tcPr/>
          <w:p>
            <w:pPr>
              <w:pStyle w:val="Compact"/>
              <w:spacing w:before="8" w:after="8" w:line="240" w:lineRule="auto"/>
              <w:ind w:firstLine="0" w:left="0" w:right="0"/>
              <w:jc w:val="right"/>
              <w:jc w:val="center"/>
            </w:pPr>
            <w:r>
              <w:rPr>
                <w:rFonts w:ascii="Calibri" w:hAnsi="Calibri"/>
                <w:sz w:val="13"/>
              </w:rPr>
              <w:t xml:space="preserve">100%</w:t>
            </w:r>
          </w:p>
        </w:tc>
        <w:tc>
          <w:tcPr/>
          <w:p>
            <w:pPr>
              <w:pStyle w:val="Compact"/>
              <w:spacing w:before="8" w:after="8" w:line="240" w:lineRule="auto"/>
              <w:ind w:firstLine="0" w:left="0" w:right="0"/>
              <w:jc w:val="right"/>
              <w:jc w:val="center"/>
            </w:pPr>
            <w:r>
              <w:rPr>
                <w:rFonts w:ascii="Calibri" w:hAnsi="Calibri"/>
                <w:sz w:val="13"/>
              </w:rPr>
              <w:t xml:space="preserve">100%</w:t>
            </w:r>
          </w:p>
        </w:tc>
        <w:tc>
          <w:tcPr/>
          <w:p>
            <w:pPr>
              <w:pStyle w:val="Compact"/>
              <w:spacing w:before="8" w:after="8" w:line="240" w:lineRule="auto"/>
              <w:ind w:firstLine="0" w:left="0" w:right="0"/>
              <w:jc w:val="right"/>
              <w:jc w:val="center"/>
            </w:pPr>
            <w:r>
              <w:rPr>
                <w:rFonts w:ascii="Calibri" w:hAnsi="Calibri"/>
                <w:sz w:val="13"/>
              </w:rPr>
              <w:t xml:space="preserve">100%</w:t>
            </w:r>
          </w:p>
        </w:tc>
        <w:tc>
          <w:tcPr/>
          <w:p>
            <w:pPr>
              <w:pStyle w:val="Compact"/>
              <w:spacing w:before="8" w:after="8" w:line="240" w:lineRule="auto"/>
              <w:ind w:firstLine="0" w:left="0" w:right="0"/>
              <w:jc w:val="right"/>
              <w:jc w:val="center"/>
            </w:pPr>
            <w:r>
              <w:rPr>
                <w:rFonts w:ascii="Calibri" w:hAnsi="Calibri"/>
                <w:sz w:val="13"/>
              </w:rPr>
              <w:t xml:space="preserve">100%</w:t>
            </w:r>
          </w:p>
        </w:tc>
        <w:tc>
          <w:tcPr/>
          <w:p>
            <w:pPr>
              <w:pStyle w:val="Compact"/>
              <w:spacing w:before="8" w:after="8" w:line="240" w:lineRule="auto"/>
              <w:ind w:firstLine="0" w:left="0" w:right="0"/>
              <w:jc w:val="right"/>
              <w:jc w:val="center"/>
            </w:pPr>
            <w:r>
              <w:rPr>
                <w:rFonts w:ascii="Calibri" w:hAnsi="Calibri"/>
                <w:sz w:val="13"/>
              </w:rPr>
              <w:t xml:space="preserve">60%</w:t>
            </w:r>
          </w:p>
        </w:tc>
      </w:tr>
      <w:tr>
        <w:trPr>
          <w:cantSplit/>
        </w:trPr>
        <w:tc>
          <w:tcPr/>
          <w:p>
            <w:pPr>
              <w:pStyle w:val="Compact"/>
              <w:spacing w:before="8" w:after="8" w:line="240" w:lineRule="auto"/>
              <w:ind w:firstLine="0" w:left="0" w:right="0"/>
              <w:jc w:val="left"/>
              <w:jc w:val="center"/>
            </w:pPr>
            <w:r>
              <w:rPr>
                <w:rFonts w:ascii="Calibri" w:hAnsi="Calibri"/>
                <w:sz w:val="13"/>
              </w:rPr>
              <w:t xml:space="preserve">Call</w:t>
            </w:r>
          </w:p>
        </w:tc>
        <w:tc>
          <w:tcPr/>
          <w:p>
            <w:pPr>
              <w:pStyle w:val="Compact"/>
              <w:spacing w:before="8" w:after="8" w:line="240" w:lineRule="auto"/>
              <w:ind w:firstLine="0" w:left="0" w:right="0"/>
              <w:jc w:val="left"/>
              <w:jc w:val="center"/>
            </w:pPr>
            <w:r>
              <w:rPr>
                <w:rFonts w:ascii="Calibri" w:hAnsi="Calibri"/>
                <w:sz w:val="13"/>
              </w:rPr>
              <w:t xml:space="preserve">car_p2_p63</w:t>
            </w:r>
          </w:p>
        </w:tc>
        <w:tc>
          <w:tcPr/>
          <w:p>
            <w:pPr>
              <w:pStyle w:val="Compact"/>
              <w:spacing w:before="8" w:after="8" w:line="240" w:lineRule="auto"/>
              <w:ind w:firstLine="0" w:left="0" w:right="0"/>
              <w:jc w:val="right"/>
              <w:jc w:val="center"/>
            </w:pPr>
            <w:r>
              <w:rPr>
                <w:rFonts w:ascii="Calibri" w:hAnsi="Calibri"/>
                <w:sz w:val="13"/>
              </w:rPr>
              <w:t xml:space="preserve">100%</w:t>
            </w:r>
          </w:p>
        </w:tc>
        <w:tc>
          <w:tcPr/>
          <w:p>
            <w:pPr>
              <w:pStyle w:val="Compact"/>
              <w:spacing w:before="8" w:after="8" w:line="240" w:lineRule="auto"/>
              <w:ind w:firstLine="0" w:left="0" w:right="0"/>
              <w:jc w:val="right"/>
              <w:jc w:val="center"/>
            </w:pPr>
            <w:r>
              <w:rPr>
                <w:rFonts w:ascii="Calibri" w:hAnsi="Calibri"/>
                <w:sz w:val="13"/>
              </w:rPr>
              <w:t xml:space="preserve">100%</w:t>
            </w:r>
          </w:p>
        </w:tc>
        <w:tc>
          <w:tcPr/>
          <w:p>
            <w:pPr>
              <w:pStyle w:val="Compact"/>
              <w:spacing w:before="8" w:after="8" w:line="240" w:lineRule="auto"/>
              <w:ind w:firstLine="0" w:left="0" w:right="0"/>
              <w:jc w:val="right"/>
              <w:jc w:val="center"/>
            </w:pPr>
            <w:r>
              <w:rPr>
                <w:rFonts w:ascii="Calibri" w:hAnsi="Calibri"/>
                <w:sz w:val="13"/>
              </w:rPr>
              <w:t xml:space="preserve">100%</w:t>
            </w:r>
          </w:p>
        </w:tc>
        <w:tc>
          <w:tcPr/>
          <w:p>
            <w:pPr>
              <w:pStyle w:val="Compact"/>
              <w:spacing w:before="8" w:after="8" w:line="240" w:lineRule="auto"/>
              <w:ind w:firstLine="0" w:left="0" w:right="0"/>
              <w:jc w:val="right"/>
              <w:jc w:val="center"/>
            </w:pPr>
            <w:r>
              <w:rPr>
                <w:rFonts w:ascii="Calibri" w:hAnsi="Calibri"/>
                <w:sz w:val="13"/>
              </w:rPr>
              <w:t xml:space="preserve">100%</w:t>
            </w:r>
          </w:p>
        </w:tc>
        <w:tc>
          <w:tcPr/>
          <w:p>
            <w:pPr>
              <w:pStyle w:val="Compact"/>
              <w:spacing w:before="8" w:after="8" w:line="240" w:lineRule="auto"/>
              <w:ind w:firstLine="0" w:left="0" w:right="0"/>
              <w:jc w:val="right"/>
              <w:jc w:val="center"/>
            </w:pPr>
            <w:r>
              <w:rPr>
                <w:rFonts w:ascii="Calibri" w:hAnsi="Calibri"/>
                <w:sz w:val="13"/>
              </w:rPr>
              <w:t xml:space="preserve">100%</w:t>
            </w:r>
          </w:p>
        </w:tc>
        <w:tc>
          <w:tcPr/>
          <w:p>
            <w:pPr>
              <w:pStyle w:val="Compact"/>
              <w:spacing w:before="8" w:after="8" w:line="240" w:lineRule="auto"/>
              <w:ind w:firstLine="0" w:left="0" w:right="0"/>
              <w:jc w:val="right"/>
              <w:jc w:val="center"/>
            </w:pPr>
            <w:r>
              <w:rPr>
                <w:rFonts w:ascii="Calibri" w:hAnsi="Calibri"/>
                <w:sz w:val="13"/>
              </w:rPr>
              <w:t xml:space="preserve">67%</w:t>
            </w:r>
          </w:p>
        </w:tc>
      </w:tr>
      <w:tr>
        <w:trPr>
          <w:cantSplit/>
        </w:trPr>
        <w:tc>
          <w:tcPr/>
          <w:p>
            <w:pPr>
              <w:pStyle w:val="Compact"/>
              <w:spacing w:before="8" w:after="8" w:line="240" w:lineRule="auto"/>
              <w:ind w:firstLine="0" w:left="0" w:right="0"/>
              <w:jc w:val="left"/>
              <w:jc w:val="center"/>
            </w:pPr>
            <w:r>
              <w:rPr>
                <w:rFonts w:ascii="Calibri" w:hAnsi="Calibri"/>
                <w:sz w:val="13"/>
              </w:rPr>
              <w:t xml:space="preserve">Call</w:t>
            </w:r>
          </w:p>
        </w:tc>
        <w:tc>
          <w:tcPr/>
          <w:p>
            <w:pPr>
              <w:pStyle w:val="Compact"/>
              <w:spacing w:before="8" w:after="8" w:line="240" w:lineRule="auto"/>
              <w:ind w:firstLine="0" w:left="0" w:right="0"/>
              <w:jc w:val="left"/>
              <w:jc w:val="center"/>
            </w:pPr>
            <w:r>
              <w:rPr>
                <w:rFonts w:ascii="Calibri" w:hAnsi="Calibri"/>
                <w:sz w:val="13"/>
              </w:rPr>
              <w:t xml:space="preserve">revenue_growth_ttm_pre</w:t>
            </w:r>
          </w:p>
        </w:tc>
        <w:tc>
          <w:tcPr/>
          <w:p>
            <w:pPr>
              <w:pStyle w:val="Compact"/>
              <w:spacing w:before="8" w:after="8" w:line="240" w:lineRule="auto"/>
              <w:ind w:firstLine="0" w:left="0" w:right="0"/>
              <w:jc w:val="right"/>
              <w:jc w:val="center"/>
            </w:pPr>
            <w:r>
              <w:rPr>
                <w:rFonts w:ascii="Calibri" w:hAnsi="Calibri"/>
                <w:sz w:val="13"/>
              </w:rPr>
              <w:t xml:space="preserve">6%</w:t>
            </w:r>
          </w:p>
        </w:tc>
        <w:tc>
          <w:tcPr/>
          <w:p>
            <w:pPr>
              <w:pStyle w:val="Compact"/>
              <w:spacing w:before="8" w:after="8" w:line="240" w:lineRule="auto"/>
              <w:ind w:firstLine="0" w:left="0" w:right="0"/>
              <w:jc w:val="right"/>
              <w:jc w:val="center"/>
            </w:pPr>
            <w:r>
              <w:rPr>
                <w:rFonts w:ascii="Calibri" w:hAnsi="Calibri"/>
                <w:sz w:val="13"/>
              </w:rPr>
              <w:t xml:space="preserve">80%</w:t>
            </w:r>
          </w:p>
        </w:tc>
        <w:tc>
          <w:tcPr/>
          <w:p>
            <w:pPr>
              <w:pStyle w:val="Compact"/>
              <w:spacing w:before="8" w:after="8" w:line="240" w:lineRule="auto"/>
              <w:ind w:firstLine="0" w:left="0" w:right="0"/>
              <w:jc w:val="right"/>
              <w:jc w:val="center"/>
            </w:pPr>
            <w:r>
              <w:rPr>
                <w:rFonts w:ascii="Calibri" w:hAnsi="Calibri"/>
                <w:sz w:val="13"/>
              </w:rPr>
              <w:t xml:space="preserve">99%</w:t>
            </w:r>
          </w:p>
        </w:tc>
        <w:tc>
          <w:tcPr/>
          <w:p>
            <w:pPr>
              <w:pStyle w:val="Compact"/>
              <w:spacing w:before="8" w:after="8" w:line="240" w:lineRule="auto"/>
              <w:ind w:firstLine="0" w:left="0" w:right="0"/>
              <w:jc w:val="right"/>
              <w:jc w:val="center"/>
            </w:pPr>
            <w:r>
              <w:rPr>
                <w:rFonts w:ascii="Calibri" w:hAnsi="Calibri"/>
                <w:sz w:val="13"/>
              </w:rPr>
              <w:t xml:space="preserve">99%</w:t>
            </w:r>
          </w:p>
        </w:tc>
        <w:tc>
          <w:tcPr/>
          <w:p>
            <w:pPr>
              <w:pStyle w:val="Compact"/>
              <w:spacing w:before="8" w:after="8" w:line="240" w:lineRule="auto"/>
              <w:ind w:firstLine="0" w:left="0" w:right="0"/>
              <w:jc w:val="right"/>
              <w:jc w:val="center"/>
            </w:pPr>
            <w:r>
              <w:rPr>
                <w:rFonts w:ascii="Calibri" w:hAnsi="Calibri"/>
                <w:sz w:val="13"/>
              </w:rPr>
              <w:t xml:space="preserve">98%</w:t>
            </w:r>
          </w:p>
        </w:tc>
        <w:tc>
          <w:tcPr/>
          <w:p>
            <w:pPr>
              <w:pStyle w:val="Compact"/>
              <w:spacing w:before="8" w:after="8" w:line="240" w:lineRule="auto"/>
              <w:ind w:firstLine="0" w:left="0" w:right="0"/>
              <w:jc w:val="right"/>
              <w:jc w:val="center"/>
            </w:pPr>
            <w:r>
              <w:rPr>
                <w:rFonts w:ascii="Calibri" w:hAnsi="Calibri"/>
                <w:sz w:val="13"/>
              </w:rPr>
              <w:t xml:space="preserve">88%</w:t>
            </w:r>
          </w:p>
        </w:tc>
      </w:tr>
    </w:tbl>
    <w:bookmarkEnd w:id="184"/>
    <w:p/>
    <w:p>
      <w:pPr>
        <w:pStyle w:val="Textoindependiente"/>
      </w:pPr>
      <w:r>
        <w:t xml:space="preserve"> </w:t>
      </w:r>
    </w:p>
    <w:bookmarkStart w:id="188" w:name="tbl-a5-pit-source"/>
    <w:p>
      <w:pPr>
        <w:keepNext/>
        <w:pStyle w:val="ImageCaption"/>
        <w:jc w:val="left"/>
        <w:spacing w:before="200"/>
        <w:ind w:firstLine="0" w:left="0" w:right="0"/>
      </w:pPr>
      <w:r>
        <w:t xml:space="preserve">Table 33:</w:t>
      </w:r>
      <w:r>
        <w:t xml:space="preserve"> </w:t>
      </w:r>
      <w:r>
        <w:rPr>
          <w:rStyle w:val="CaptionText"/>
        </w:rPr>
        <w:t xml:space="preserve">Point-in-time dating source, by grain and year: share of rows matched to an EDGAR filing date, falling back to FactSet’s earnings-release date, or unmatched.</w:t>
      </w:r>
    </w:p>
    <w:tbl>
      <w:tblPr>
        <w:tblStyle w:val="Table"/>
        <w:tblW w:type="auto" w:w="0"/>
        <w:jc w:val="center"/>
        <w:tblLook w:firstRow="1" w:lastRow="0" w:firstColumn="0" w:lastColumn="0" w:noHBand="0" w:noVBand="0" w:val="0020"/>
        <w:tblBorders>
          <w:top w:val="single" w:sz="8" w:space="0" w:color="0F172A"/>
          <w:bottom w:val="single" w:sz="8" w:space="0" w:color="0F172A"/>
          <w:left w:val="none"/>
          <w:right w:val="none"/>
          <w:insideH w:val="single" w:sz="4" w:space="0" w:color="E2E8F0"/>
          <w:insideV w:val="none"/>
        </w:tblBorders>
        <w:tblCellMar>
          <w:top w:w="22" w:type="dxa"/>
          <w:bottom w:w="22" w:type="dxa"/>
          <w:left w:w="40" w:type="dxa"/>
          <w:right w:w="40" w:type="dxa"/>
        </w:tblCellMar>
      </w:tblPr>
      <w:tblGrid>
        <w:gridCol w:w="1584"/>
        <w:gridCol w:w="1584"/>
        <w:gridCol w:w="1584"/>
        <w:gridCol w:w="1584"/>
        <w:gridCol w:w="1584"/>
      </w:tblGrid>
      <w:tr>
        <w:trPr>
          <w:tblHeader w:val="on"/>
          <w:cantSplit/>
          <w:tblHeader/>
        </w:trPr>
        <w:tc>
          <w:tcPr>
            <w:shd w:fill="F1F5F9"/>
            <w:tcBorders>
              <w:bottom w:val="single" w:sz="8" w:space="0" w:color="475569"/>
            </w:tcBorders>
          </w:tcPr>
          <w:p>
            <w:pPr>
              <w:pStyle w:val="Compact"/>
              <w:spacing w:before="8" w:after="8" w:line="240" w:lineRule="auto"/>
              <w:ind w:firstLine="0" w:left="0" w:right="0"/>
              <w:jc w:val="left"/>
              <w:jc w:val="center"/>
            </w:pPr>
            <w:r>
              <w:rPr>
                <w:rFonts w:ascii="Calibri" w:hAnsi="Calibri"/>
                <w:b/>
                <w:color w:val="0F172A"/>
                <w:sz w:val="15"/>
              </w:rPr>
              <w:t xml:space="preserve">Grain</w:t>
            </w:r>
          </w:p>
        </w:tc>
        <w:tc>
          <w:tcPr>
            <w:shd w:fill="F1F5F9"/>
            <w:tcBorders>
              <w:bottom w:val="single" w:sz="8" w:space="0" w:color="475569"/>
            </w:tcBorders>
          </w:tcPr>
          <w:p>
            <w:pPr>
              <w:pStyle w:val="Compact"/>
              <w:spacing w:before="8" w:after="8" w:line="240" w:lineRule="auto"/>
              <w:ind w:firstLine="0" w:left="0" w:right="0"/>
              <w:jc w:val="right"/>
              <w:jc w:val="center"/>
            </w:pPr>
            <w:r>
              <w:rPr>
                <w:rFonts w:ascii="Calibri" w:hAnsi="Calibri"/>
                <w:b/>
                <w:color w:val="0F172A"/>
                <w:sz w:val="15"/>
              </w:rPr>
              <w:t xml:space="preserve">Year</w:t>
            </w:r>
          </w:p>
        </w:tc>
        <w:tc>
          <w:tcPr>
            <w:shd w:fill="F1F5F9"/>
            <w:tcBorders>
              <w:bottom w:val="single" w:sz="8" w:space="0" w:color="475569"/>
            </w:tcBorders>
          </w:tcPr>
          <w:p>
            <w:pPr>
              <w:pStyle w:val="Compact"/>
              <w:spacing w:before="8" w:after="8" w:line="240" w:lineRule="auto"/>
              <w:ind w:firstLine="0" w:left="0" w:right="0"/>
              <w:jc w:val="right"/>
              <w:jc w:val="center"/>
            </w:pPr>
            <w:r>
              <w:rPr>
                <w:rFonts w:ascii="Calibri" w:hAnsi="Calibri"/>
                <w:b/>
                <w:color w:val="0F172A"/>
                <w:sz w:val="15"/>
              </w:rPr>
              <w:t xml:space="preserve">EDGAR</w:t>
            </w:r>
          </w:p>
        </w:tc>
        <w:tc>
          <w:tcPr>
            <w:shd w:fill="F1F5F9"/>
            <w:tcBorders>
              <w:bottom w:val="single" w:sz="8" w:space="0" w:color="475569"/>
            </w:tcBorders>
          </w:tcPr>
          <w:p>
            <w:pPr>
              <w:pStyle w:val="Compact"/>
              <w:spacing w:before="8" w:after="8" w:line="240" w:lineRule="auto"/>
              <w:ind w:firstLine="0" w:left="0" w:right="0"/>
              <w:jc w:val="right"/>
              <w:jc w:val="center"/>
            </w:pPr>
            <w:r>
              <w:rPr>
                <w:rFonts w:ascii="Calibri" w:hAnsi="Calibri"/>
                <w:b/>
                <w:color w:val="0F172A"/>
                <w:sz w:val="15"/>
              </w:rPr>
              <w:t xml:space="preserve">FactSet release date</w:t>
            </w:r>
          </w:p>
        </w:tc>
        <w:tc>
          <w:tcPr>
            <w:shd w:fill="F1F5F9"/>
            <w:tcBorders>
              <w:bottom w:val="single" w:sz="8" w:space="0" w:color="475569"/>
            </w:tcBorders>
          </w:tcPr>
          <w:p>
            <w:pPr>
              <w:pStyle w:val="Compact"/>
              <w:spacing w:before="8" w:after="8" w:line="240" w:lineRule="auto"/>
              <w:ind w:firstLine="0" w:left="0" w:right="0"/>
              <w:jc w:val="right"/>
              <w:jc w:val="center"/>
            </w:pPr>
            <w:r>
              <w:rPr>
                <w:rFonts w:ascii="Calibri" w:hAnsi="Calibri"/>
                <w:b/>
                <w:color w:val="0F172A"/>
                <w:sz w:val="15"/>
              </w:rPr>
              <w:t xml:space="preserve">Unmatched</w:t>
            </w:r>
          </w:p>
        </w:tc>
      </w:tr>
      <w:tr>
        <w:trPr>
          <w:cantSplit/>
        </w:trPr>
        <w:tc>
          <w:tcPr/>
          <w:p>
            <w:pPr>
              <w:pStyle w:val="Compact"/>
              <w:spacing w:before="8" w:after="8" w:line="240" w:lineRule="auto"/>
              <w:ind w:firstLine="0" w:left="0" w:right="0"/>
              <w:jc w:val="left"/>
              <w:jc w:val="center"/>
            </w:pPr>
            <w:r>
              <w:rPr>
                <w:rFonts w:ascii="Calibri" w:hAnsi="Calibri"/>
                <w:sz w:val="15"/>
              </w:rPr>
              <w:t xml:space="preserve">Firm-quarter</w:t>
            </w:r>
          </w:p>
        </w:tc>
        <w:tc>
          <w:tcPr/>
          <w:p>
            <w:pPr>
              <w:pStyle w:val="Compact"/>
              <w:spacing w:before="8" w:after="8" w:line="240" w:lineRule="auto"/>
              <w:ind w:firstLine="0" w:left="0" w:right="0"/>
              <w:jc w:val="right"/>
              <w:jc w:val="center"/>
            </w:pPr>
            <w:r>
              <w:rPr>
                <w:rFonts w:ascii="Calibri" w:hAnsi="Calibri"/>
                <w:sz w:val="15"/>
              </w:rPr>
              <w:t xml:space="preserve">2021</w:t>
            </w:r>
          </w:p>
        </w:tc>
        <w:tc>
          <w:tcPr/>
          <w:p>
            <w:pPr>
              <w:pStyle w:val="Compact"/>
              <w:spacing w:before="8" w:after="8" w:line="240" w:lineRule="auto"/>
              <w:ind w:firstLine="0" w:left="0" w:right="0"/>
              <w:jc w:val="right"/>
              <w:jc w:val="center"/>
            </w:pPr>
            <w:r>
              <w:rPr>
                <w:rFonts w:ascii="Calibri" w:hAnsi="Calibri"/>
                <w:sz w:val="15"/>
              </w:rPr>
              <w:t xml:space="preserve">99.1%</w:t>
            </w:r>
          </w:p>
        </w:tc>
        <w:tc>
          <w:tcPr/>
          <w:p>
            <w:pPr>
              <w:pStyle w:val="Compact"/>
              <w:spacing w:before="8" w:after="8" w:line="240" w:lineRule="auto"/>
              <w:ind w:firstLine="0" w:left="0" w:right="0"/>
              <w:jc w:val="right"/>
              <w:jc w:val="center"/>
            </w:pPr>
            <w:r>
              <w:rPr>
                <w:rFonts w:ascii="Calibri" w:hAnsi="Calibri"/>
                <w:sz w:val="15"/>
              </w:rPr>
              <w:t xml:space="preserve">0.5%</w:t>
            </w:r>
          </w:p>
        </w:tc>
        <w:tc>
          <w:tcPr/>
          <w:p>
            <w:pPr>
              <w:pStyle w:val="Compact"/>
              <w:spacing w:before="8" w:after="8" w:line="240" w:lineRule="auto"/>
              <w:ind w:firstLine="0" w:left="0" w:right="0"/>
              <w:jc w:val="right"/>
              <w:jc w:val="center"/>
            </w:pPr>
            <w:r>
              <w:rPr>
                <w:rFonts w:ascii="Calibri" w:hAnsi="Calibri"/>
                <w:sz w:val="15"/>
              </w:rPr>
              <w:t xml:space="preserve">0.0%</w:t>
            </w:r>
          </w:p>
        </w:tc>
      </w:tr>
      <w:tr>
        <w:trPr>
          <w:cantSplit/>
        </w:trPr>
        <w:tc>
          <w:tcPr/>
          <w:p>
            <w:pPr>
              <w:pStyle w:val="Compact"/>
              <w:spacing w:before="8" w:after="8" w:line="240" w:lineRule="auto"/>
              <w:ind w:firstLine="0" w:left="0" w:right="0"/>
              <w:jc w:val="left"/>
              <w:jc w:val="center"/>
            </w:pPr>
            <w:r>
              <w:rPr>
                <w:rFonts w:ascii="Calibri" w:hAnsi="Calibri"/>
                <w:sz w:val="15"/>
              </w:rPr>
              <w:t xml:space="preserve">Firm-quarter</w:t>
            </w:r>
          </w:p>
        </w:tc>
        <w:tc>
          <w:tcPr/>
          <w:p>
            <w:pPr>
              <w:pStyle w:val="Compact"/>
              <w:spacing w:before="8" w:after="8" w:line="240" w:lineRule="auto"/>
              <w:ind w:firstLine="0" w:left="0" w:right="0"/>
              <w:jc w:val="right"/>
              <w:jc w:val="center"/>
            </w:pPr>
            <w:r>
              <w:rPr>
                <w:rFonts w:ascii="Calibri" w:hAnsi="Calibri"/>
                <w:sz w:val="15"/>
              </w:rPr>
              <w:t xml:space="preserve">2022</w:t>
            </w:r>
          </w:p>
        </w:tc>
        <w:tc>
          <w:tcPr/>
          <w:p>
            <w:pPr>
              <w:pStyle w:val="Compact"/>
              <w:spacing w:before="8" w:after="8" w:line="240" w:lineRule="auto"/>
              <w:ind w:firstLine="0" w:left="0" w:right="0"/>
              <w:jc w:val="right"/>
              <w:jc w:val="center"/>
            </w:pPr>
            <w:r>
              <w:rPr>
                <w:rFonts w:ascii="Calibri" w:hAnsi="Calibri"/>
                <w:sz w:val="15"/>
              </w:rPr>
              <w:t xml:space="preserve">98.5%</w:t>
            </w:r>
          </w:p>
        </w:tc>
        <w:tc>
          <w:tcPr/>
          <w:p>
            <w:pPr>
              <w:pStyle w:val="Compact"/>
              <w:spacing w:before="8" w:after="8" w:line="240" w:lineRule="auto"/>
              <w:ind w:firstLine="0" w:left="0" w:right="0"/>
              <w:jc w:val="right"/>
              <w:jc w:val="center"/>
            </w:pPr>
            <w:r>
              <w:rPr>
                <w:rFonts w:ascii="Calibri" w:hAnsi="Calibri"/>
                <w:sz w:val="15"/>
              </w:rPr>
              <w:t xml:space="preserve">0.9%</w:t>
            </w:r>
          </w:p>
        </w:tc>
        <w:tc>
          <w:tcPr/>
          <w:p>
            <w:pPr>
              <w:pStyle w:val="Compact"/>
              <w:spacing w:before="8" w:after="8" w:line="240" w:lineRule="auto"/>
              <w:ind w:firstLine="0" w:left="0" w:right="0"/>
              <w:jc w:val="right"/>
              <w:jc w:val="center"/>
            </w:pPr>
            <w:r>
              <w:rPr>
                <w:rFonts w:ascii="Calibri" w:hAnsi="Calibri"/>
                <w:sz w:val="15"/>
              </w:rPr>
              <w:t xml:space="preserve">0.0%</w:t>
            </w:r>
          </w:p>
        </w:tc>
      </w:tr>
      <w:tr>
        <w:trPr>
          <w:cantSplit/>
        </w:trPr>
        <w:tc>
          <w:tcPr/>
          <w:p>
            <w:pPr>
              <w:pStyle w:val="Compact"/>
              <w:spacing w:before="8" w:after="8" w:line="240" w:lineRule="auto"/>
              <w:ind w:firstLine="0" w:left="0" w:right="0"/>
              <w:jc w:val="left"/>
              <w:jc w:val="center"/>
            </w:pPr>
            <w:r>
              <w:rPr>
                <w:rFonts w:ascii="Calibri" w:hAnsi="Calibri"/>
                <w:sz w:val="15"/>
              </w:rPr>
              <w:t xml:space="preserve">Firm-quarter</w:t>
            </w:r>
          </w:p>
        </w:tc>
        <w:tc>
          <w:tcPr/>
          <w:p>
            <w:pPr>
              <w:pStyle w:val="Compact"/>
              <w:spacing w:before="8" w:after="8" w:line="240" w:lineRule="auto"/>
              <w:ind w:firstLine="0" w:left="0" w:right="0"/>
              <w:jc w:val="right"/>
              <w:jc w:val="center"/>
            </w:pPr>
            <w:r>
              <w:rPr>
                <w:rFonts w:ascii="Calibri" w:hAnsi="Calibri"/>
                <w:sz w:val="15"/>
              </w:rPr>
              <w:t xml:space="preserve">2023</w:t>
            </w:r>
          </w:p>
        </w:tc>
        <w:tc>
          <w:tcPr/>
          <w:p>
            <w:pPr>
              <w:pStyle w:val="Compact"/>
              <w:spacing w:before="8" w:after="8" w:line="240" w:lineRule="auto"/>
              <w:ind w:firstLine="0" w:left="0" w:right="0"/>
              <w:jc w:val="right"/>
              <w:jc w:val="center"/>
            </w:pPr>
            <w:r>
              <w:rPr>
                <w:rFonts w:ascii="Calibri" w:hAnsi="Calibri"/>
                <w:sz w:val="15"/>
              </w:rPr>
              <w:t xml:space="preserve">98.8%</w:t>
            </w:r>
          </w:p>
        </w:tc>
        <w:tc>
          <w:tcPr/>
          <w:p>
            <w:pPr>
              <w:pStyle w:val="Compact"/>
              <w:spacing w:before="8" w:after="8" w:line="240" w:lineRule="auto"/>
              <w:ind w:firstLine="0" w:left="0" w:right="0"/>
              <w:jc w:val="right"/>
              <w:jc w:val="center"/>
            </w:pPr>
            <w:r>
              <w:rPr>
                <w:rFonts w:ascii="Calibri" w:hAnsi="Calibri"/>
                <w:sz w:val="15"/>
              </w:rPr>
              <w:t xml:space="preserve">0.7%</w:t>
            </w:r>
          </w:p>
        </w:tc>
        <w:tc>
          <w:tcPr/>
          <w:p>
            <w:pPr>
              <w:pStyle w:val="Compact"/>
              <w:spacing w:before="8" w:after="8" w:line="240" w:lineRule="auto"/>
              <w:ind w:firstLine="0" w:left="0" w:right="0"/>
              <w:jc w:val="right"/>
              <w:jc w:val="center"/>
            </w:pPr>
            <w:r>
              <w:rPr>
                <w:rFonts w:ascii="Calibri" w:hAnsi="Calibri"/>
                <w:sz w:val="15"/>
              </w:rPr>
              <w:t xml:space="preserve">0.0%</w:t>
            </w:r>
          </w:p>
        </w:tc>
      </w:tr>
      <w:tr>
        <w:trPr>
          <w:cantSplit/>
        </w:trPr>
        <w:tc>
          <w:tcPr/>
          <w:p>
            <w:pPr>
              <w:pStyle w:val="Compact"/>
              <w:spacing w:before="8" w:after="8" w:line="240" w:lineRule="auto"/>
              <w:ind w:firstLine="0" w:left="0" w:right="0"/>
              <w:jc w:val="left"/>
              <w:jc w:val="center"/>
            </w:pPr>
            <w:r>
              <w:rPr>
                <w:rFonts w:ascii="Calibri" w:hAnsi="Calibri"/>
                <w:sz w:val="15"/>
              </w:rPr>
              <w:t xml:space="preserve">Firm-quarter</w:t>
            </w:r>
          </w:p>
        </w:tc>
        <w:tc>
          <w:tcPr/>
          <w:p>
            <w:pPr>
              <w:pStyle w:val="Compact"/>
              <w:spacing w:before="8" w:after="8" w:line="240" w:lineRule="auto"/>
              <w:ind w:firstLine="0" w:left="0" w:right="0"/>
              <w:jc w:val="right"/>
              <w:jc w:val="center"/>
            </w:pPr>
            <w:r>
              <w:rPr>
                <w:rFonts w:ascii="Calibri" w:hAnsi="Calibri"/>
                <w:sz w:val="15"/>
              </w:rPr>
              <w:t xml:space="preserve">2024</w:t>
            </w:r>
          </w:p>
        </w:tc>
        <w:tc>
          <w:tcPr/>
          <w:p>
            <w:pPr>
              <w:pStyle w:val="Compact"/>
              <w:spacing w:before="8" w:after="8" w:line="240" w:lineRule="auto"/>
              <w:ind w:firstLine="0" w:left="0" w:right="0"/>
              <w:jc w:val="right"/>
              <w:jc w:val="center"/>
            </w:pPr>
            <w:r>
              <w:rPr>
                <w:rFonts w:ascii="Calibri" w:hAnsi="Calibri"/>
                <w:sz w:val="15"/>
              </w:rPr>
              <w:t xml:space="preserve">98.8%</w:t>
            </w:r>
          </w:p>
        </w:tc>
        <w:tc>
          <w:tcPr/>
          <w:p>
            <w:pPr>
              <w:pStyle w:val="Compact"/>
              <w:spacing w:before="8" w:after="8" w:line="240" w:lineRule="auto"/>
              <w:ind w:firstLine="0" w:left="0" w:right="0"/>
              <w:jc w:val="right"/>
              <w:jc w:val="center"/>
            </w:pPr>
            <w:r>
              <w:rPr>
                <w:rFonts w:ascii="Calibri" w:hAnsi="Calibri"/>
                <w:sz w:val="15"/>
              </w:rPr>
              <w:t xml:space="preserve">0.6%</w:t>
            </w:r>
          </w:p>
        </w:tc>
        <w:tc>
          <w:tcPr/>
          <w:p>
            <w:pPr>
              <w:pStyle w:val="Compact"/>
              <w:spacing w:before="8" w:after="8" w:line="240" w:lineRule="auto"/>
              <w:ind w:firstLine="0" w:left="0" w:right="0"/>
              <w:jc w:val="right"/>
              <w:jc w:val="center"/>
            </w:pPr>
            <w:r>
              <w:rPr>
                <w:rFonts w:ascii="Calibri" w:hAnsi="Calibri"/>
                <w:sz w:val="15"/>
              </w:rPr>
              <w:t xml:space="preserve">0.0%</w:t>
            </w:r>
          </w:p>
        </w:tc>
      </w:tr>
      <w:tr>
        <w:trPr>
          <w:cantSplit/>
        </w:trPr>
        <w:tc>
          <w:tcPr/>
          <w:p>
            <w:pPr>
              <w:pStyle w:val="Compact"/>
              <w:spacing w:before="8" w:after="8" w:line="240" w:lineRule="auto"/>
              <w:ind w:firstLine="0" w:left="0" w:right="0"/>
              <w:jc w:val="left"/>
              <w:jc w:val="center"/>
            </w:pPr>
            <w:r>
              <w:rPr>
                <w:rFonts w:ascii="Calibri" w:hAnsi="Calibri"/>
                <w:sz w:val="15"/>
              </w:rPr>
              <w:t xml:space="preserve">Firm-quarter</w:t>
            </w:r>
          </w:p>
        </w:tc>
        <w:tc>
          <w:tcPr/>
          <w:p>
            <w:pPr>
              <w:pStyle w:val="Compact"/>
              <w:spacing w:before="8" w:after="8" w:line="240" w:lineRule="auto"/>
              <w:ind w:firstLine="0" w:left="0" w:right="0"/>
              <w:jc w:val="right"/>
              <w:jc w:val="center"/>
            </w:pPr>
            <w:r>
              <w:rPr>
                <w:rFonts w:ascii="Calibri" w:hAnsi="Calibri"/>
                <w:sz w:val="15"/>
              </w:rPr>
              <w:t xml:space="preserve">2025</w:t>
            </w:r>
          </w:p>
        </w:tc>
        <w:tc>
          <w:tcPr/>
          <w:p>
            <w:pPr>
              <w:pStyle w:val="Compact"/>
              <w:spacing w:before="8" w:after="8" w:line="240" w:lineRule="auto"/>
              <w:ind w:firstLine="0" w:left="0" w:right="0"/>
              <w:jc w:val="right"/>
              <w:jc w:val="center"/>
            </w:pPr>
            <w:r>
              <w:rPr>
                <w:rFonts w:ascii="Calibri" w:hAnsi="Calibri"/>
                <w:sz w:val="15"/>
              </w:rPr>
              <w:t xml:space="preserve">98.7%</w:t>
            </w:r>
          </w:p>
        </w:tc>
        <w:tc>
          <w:tcPr/>
          <w:p>
            <w:pPr>
              <w:pStyle w:val="Compact"/>
              <w:spacing w:before="8" w:after="8" w:line="240" w:lineRule="auto"/>
              <w:ind w:firstLine="0" w:left="0" w:right="0"/>
              <w:jc w:val="right"/>
              <w:jc w:val="center"/>
            </w:pPr>
            <w:r>
              <w:rPr>
                <w:rFonts w:ascii="Calibri" w:hAnsi="Calibri"/>
                <w:sz w:val="15"/>
              </w:rPr>
              <w:t xml:space="preserve">0.6%</w:t>
            </w:r>
          </w:p>
        </w:tc>
        <w:tc>
          <w:tcPr/>
          <w:p>
            <w:pPr>
              <w:pStyle w:val="Compact"/>
              <w:spacing w:before="8" w:after="8" w:line="240" w:lineRule="auto"/>
              <w:ind w:firstLine="0" w:left="0" w:right="0"/>
              <w:jc w:val="right"/>
              <w:jc w:val="center"/>
            </w:pPr>
            <w:r>
              <w:rPr>
                <w:rFonts w:ascii="Calibri" w:hAnsi="Calibri"/>
                <w:sz w:val="15"/>
              </w:rPr>
              <w:t xml:space="preserve">0.0%</w:t>
            </w:r>
          </w:p>
        </w:tc>
      </w:tr>
      <w:tr>
        <w:trPr>
          <w:cantSplit/>
        </w:trPr>
        <w:tc>
          <w:tcPr/>
          <w:p>
            <w:pPr>
              <w:pStyle w:val="Compact"/>
              <w:spacing w:before="8" w:after="8" w:line="240" w:lineRule="auto"/>
              <w:ind w:firstLine="0" w:left="0" w:right="0"/>
              <w:jc w:val="left"/>
              <w:jc w:val="center"/>
            </w:pPr>
            <w:r>
              <w:rPr>
                <w:rFonts w:ascii="Calibri" w:hAnsi="Calibri"/>
                <w:sz w:val="15"/>
              </w:rPr>
              <w:t xml:space="preserve">Firm-quarter</w:t>
            </w:r>
          </w:p>
        </w:tc>
        <w:tc>
          <w:tcPr/>
          <w:p>
            <w:pPr>
              <w:pStyle w:val="Compact"/>
              <w:spacing w:before="8" w:after="8" w:line="240" w:lineRule="auto"/>
              <w:ind w:firstLine="0" w:left="0" w:right="0"/>
              <w:jc w:val="right"/>
              <w:jc w:val="center"/>
            </w:pPr>
            <w:r>
              <w:rPr>
                <w:rFonts w:ascii="Calibri" w:hAnsi="Calibri"/>
                <w:sz w:val="15"/>
              </w:rPr>
              <w:t xml:space="preserve">2026</w:t>
            </w:r>
          </w:p>
        </w:tc>
        <w:tc>
          <w:tcPr/>
          <w:p>
            <w:pPr>
              <w:pStyle w:val="Compact"/>
              <w:spacing w:before="8" w:after="8" w:line="240" w:lineRule="auto"/>
              <w:ind w:firstLine="0" w:left="0" w:right="0"/>
              <w:jc w:val="right"/>
              <w:jc w:val="center"/>
            </w:pPr>
            <w:r>
              <w:rPr>
                <w:rFonts w:ascii="Calibri" w:hAnsi="Calibri"/>
                <w:sz w:val="15"/>
              </w:rPr>
              <w:t xml:space="preserve">97.1%</w:t>
            </w:r>
          </w:p>
        </w:tc>
        <w:tc>
          <w:tcPr/>
          <w:p>
            <w:pPr>
              <w:pStyle w:val="Compact"/>
              <w:spacing w:before="8" w:after="8" w:line="240" w:lineRule="auto"/>
              <w:ind w:firstLine="0" w:left="0" w:right="0"/>
              <w:jc w:val="right"/>
              <w:jc w:val="center"/>
            </w:pPr>
            <w:r>
              <w:rPr>
                <w:rFonts w:ascii="Calibri" w:hAnsi="Calibri"/>
                <w:sz w:val="15"/>
              </w:rPr>
              <w:t xml:space="preserve">2.2%</w:t>
            </w:r>
          </w:p>
        </w:tc>
        <w:tc>
          <w:tcPr/>
          <w:p>
            <w:pPr>
              <w:pStyle w:val="Compact"/>
              <w:spacing w:before="8" w:after="8" w:line="240" w:lineRule="auto"/>
              <w:ind w:firstLine="0" w:left="0" w:right="0"/>
              <w:jc w:val="right"/>
              <w:jc w:val="center"/>
            </w:pPr>
            <w:r>
              <w:rPr>
                <w:rFonts w:ascii="Calibri" w:hAnsi="Calibri"/>
                <w:sz w:val="15"/>
              </w:rPr>
              <w:t xml:space="preserve">0.0%</w:t>
            </w:r>
          </w:p>
        </w:tc>
      </w:tr>
      <w:tr>
        <w:trPr>
          <w:cantSplit/>
        </w:trPr>
        <w:tc>
          <w:tcPr/>
          <w:p>
            <w:pPr>
              <w:pStyle w:val="Compact"/>
              <w:spacing w:before="8" w:after="8" w:line="240" w:lineRule="auto"/>
              <w:ind w:firstLine="0" w:left="0" w:right="0"/>
              <w:jc w:val="left"/>
              <w:jc w:val="center"/>
            </w:pPr>
            <w:r>
              <w:rPr>
                <w:rFonts w:ascii="Calibri" w:hAnsi="Calibri"/>
                <w:sz w:val="15"/>
              </w:rPr>
              <w:t xml:space="preserve">Firm-year</w:t>
            </w:r>
          </w:p>
        </w:tc>
        <w:tc>
          <w:tcPr/>
          <w:p>
            <w:pPr>
              <w:pStyle w:val="Compact"/>
              <w:spacing w:before="8" w:after="8" w:line="240" w:lineRule="auto"/>
              <w:ind w:firstLine="0" w:left="0" w:right="0"/>
              <w:jc w:val="right"/>
              <w:jc w:val="center"/>
            </w:pPr>
            <w:r>
              <w:rPr>
                <w:rFonts w:ascii="Calibri" w:hAnsi="Calibri"/>
                <w:sz w:val="15"/>
              </w:rPr>
              <w:t xml:space="preserve">2021</w:t>
            </w:r>
          </w:p>
        </w:tc>
        <w:tc>
          <w:tcPr/>
          <w:p>
            <w:pPr>
              <w:pStyle w:val="Compact"/>
              <w:spacing w:before="8" w:after="8" w:line="240" w:lineRule="auto"/>
              <w:ind w:firstLine="0" w:left="0" w:right="0"/>
              <w:jc w:val="right"/>
              <w:jc w:val="center"/>
            </w:pPr>
            <w:r>
              <w:rPr>
                <w:rFonts w:ascii="Calibri" w:hAnsi="Calibri"/>
                <w:sz w:val="15"/>
              </w:rPr>
              <w:t xml:space="preserve">99.6%</w:t>
            </w:r>
          </w:p>
        </w:tc>
        <w:tc>
          <w:tcPr/>
          <w:p>
            <w:pPr>
              <w:pStyle w:val="Compact"/>
              <w:spacing w:before="8" w:after="8" w:line="240" w:lineRule="auto"/>
              <w:ind w:firstLine="0" w:left="0" w:right="0"/>
              <w:jc w:val="right"/>
              <w:jc w:val="center"/>
            </w:pPr>
            <w:r>
              <w:rPr>
                <w:rFonts w:ascii="Calibri" w:hAnsi="Calibri"/>
                <w:sz w:val="15"/>
              </w:rPr>
              <w:t xml:space="preserve">0.2%</w:t>
            </w:r>
          </w:p>
        </w:tc>
        <w:tc>
          <w:tcPr/>
          <w:p>
            <w:pPr>
              <w:pStyle w:val="Compact"/>
              <w:spacing w:before="8" w:after="8" w:line="240" w:lineRule="auto"/>
              <w:ind w:firstLine="0" w:left="0" w:right="0"/>
              <w:jc w:val="right"/>
              <w:jc w:val="center"/>
            </w:pPr>
            <w:r>
              <w:rPr>
                <w:rFonts w:ascii="Calibri" w:hAnsi="Calibri"/>
                <w:sz w:val="15"/>
              </w:rPr>
              <w:t xml:space="preserve">0.0%</w:t>
            </w:r>
          </w:p>
        </w:tc>
      </w:tr>
      <w:tr>
        <w:trPr>
          <w:cantSplit/>
        </w:trPr>
        <w:tc>
          <w:tcPr/>
          <w:p>
            <w:pPr>
              <w:pStyle w:val="Compact"/>
              <w:spacing w:before="8" w:after="8" w:line="240" w:lineRule="auto"/>
              <w:ind w:firstLine="0" w:left="0" w:right="0"/>
              <w:jc w:val="left"/>
              <w:jc w:val="center"/>
            </w:pPr>
            <w:r>
              <w:rPr>
                <w:rFonts w:ascii="Calibri" w:hAnsi="Calibri"/>
                <w:sz w:val="15"/>
              </w:rPr>
              <w:t xml:space="preserve">Firm-year</w:t>
            </w:r>
          </w:p>
        </w:tc>
        <w:tc>
          <w:tcPr/>
          <w:p>
            <w:pPr>
              <w:pStyle w:val="Compact"/>
              <w:spacing w:before="8" w:after="8" w:line="240" w:lineRule="auto"/>
              <w:ind w:firstLine="0" w:left="0" w:right="0"/>
              <w:jc w:val="right"/>
              <w:jc w:val="center"/>
            </w:pPr>
            <w:r>
              <w:rPr>
                <w:rFonts w:ascii="Calibri" w:hAnsi="Calibri"/>
                <w:sz w:val="15"/>
              </w:rPr>
              <w:t xml:space="preserve">2022</w:t>
            </w:r>
          </w:p>
        </w:tc>
        <w:tc>
          <w:tcPr/>
          <w:p>
            <w:pPr>
              <w:pStyle w:val="Compact"/>
              <w:spacing w:before="8" w:after="8" w:line="240" w:lineRule="auto"/>
              <w:ind w:firstLine="0" w:left="0" w:right="0"/>
              <w:jc w:val="right"/>
              <w:jc w:val="center"/>
            </w:pPr>
            <w:r>
              <w:rPr>
                <w:rFonts w:ascii="Calibri" w:hAnsi="Calibri"/>
                <w:sz w:val="15"/>
              </w:rPr>
              <w:t xml:space="preserve">99.2%</w:t>
            </w:r>
          </w:p>
        </w:tc>
        <w:tc>
          <w:tcPr/>
          <w:p>
            <w:pPr>
              <w:pStyle w:val="Compact"/>
              <w:spacing w:before="8" w:after="8" w:line="240" w:lineRule="auto"/>
              <w:ind w:firstLine="0" w:left="0" w:right="0"/>
              <w:jc w:val="right"/>
              <w:jc w:val="center"/>
            </w:pPr>
            <w:r>
              <w:rPr>
                <w:rFonts w:ascii="Calibri" w:hAnsi="Calibri"/>
                <w:sz w:val="15"/>
              </w:rPr>
              <w:t xml:space="preserve">0.4%</w:t>
            </w:r>
          </w:p>
        </w:tc>
        <w:tc>
          <w:tcPr/>
          <w:p>
            <w:pPr>
              <w:pStyle w:val="Compact"/>
              <w:spacing w:before="8" w:after="8" w:line="240" w:lineRule="auto"/>
              <w:ind w:firstLine="0" w:left="0" w:right="0"/>
              <w:jc w:val="right"/>
              <w:jc w:val="center"/>
            </w:pPr>
            <w:r>
              <w:rPr>
                <w:rFonts w:ascii="Calibri" w:hAnsi="Calibri"/>
                <w:sz w:val="15"/>
              </w:rPr>
              <w:t xml:space="preserve">0.0%</w:t>
            </w:r>
          </w:p>
        </w:tc>
      </w:tr>
      <w:tr>
        <w:trPr>
          <w:cantSplit/>
        </w:trPr>
        <w:tc>
          <w:tcPr/>
          <w:p>
            <w:pPr>
              <w:pStyle w:val="Compact"/>
              <w:spacing w:before="8" w:after="8" w:line="240" w:lineRule="auto"/>
              <w:ind w:firstLine="0" w:left="0" w:right="0"/>
              <w:jc w:val="left"/>
              <w:jc w:val="center"/>
            </w:pPr>
            <w:r>
              <w:rPr>
                <w:rFonts w:ascii="Calibri" w:hAnsi="Calibri"/>
                <w:sz w:val="15"/>
              </w:rPr>
              <w:t xml:space="preserve">Firm-year</w:t>
            </w:r>
          </w:p>
        </w:tc>
        <w:tc>
          <w:tcPr/>
          <w:p>
            <w:pPr>
              <w:pStyle w:val="Compact"/>
              <w:spacing w:before="8" w:after="8" w:line="240" w:lineRule="auto"/>
              <w:ind w:firstLine="0" w:left="0" w:right="0"/>
              <w:jc w:val="right"/>
              <w:jc w:val="center"/>
            </w:pPr>
            <w:r>
              <w:rPr>
                <w:rFonts w:ascii="Calibri" w:hAnsi="Calibri"/>
                <w:sz w:val="15"/>
              </w:rPr>
              <w:t xml:space="preserve">2023</w:t>
            </w:r>
          </w:p>
        </w:tc>
        <w:tc>
          <w:tcPr/>
          <w:p>
            <w:pPr>
              <w:pStyle w:val="Compact"/>
              <w:spacing w:before="8" w:after="8" w:line="240" w:lineRule="auto"/>
              <w:ind w:firstLine="0" w:left="0" w:right="0"/>
              <w:jc w:val="right"/>
              <w:jc w:val="center"/>
            </w:pPr>
            <w:r>
              <w:rPr>
                <w:rFonts w:ascii="Calibri" w:hAnsi="Calibri"/>
                <w:sz w:val="15"/>
              </w:rPr>
              <w:t xml:space="preserve">99.4%</w:t>
            </w:r>
          </w:p>
        </w:tc>
        <w:tc>
          <w:tcPr/>
          <w:p>
            <w:pPr>
              <w:pStyle w:val="Compact"/>
              <w:spacing w:before="8" w:after="8" w:line="240" w:lineRule="auto"/>
              <w:ind w:firstLine="0" w:left="0" w:right="0"/>
              <w:jc w:val="right"/>
              <w:jc w:val="center"/>
            </w:pPr>
            <w:r>
              <w:rPr>
                <w:rFonts w:ascii="Calibri" w:hAnsi="Calibri"/>
                <w:sz w:val="15"/>
              </w:rPr>
              <w:t xml:space="preserve">0.4%</w:t>
            </w:r>
          </w:p>
        </w:tc>
        <w:tc>
          <w:tcPr/>
          <w:p>
            <w:pPr>
              <w:pStyle w:val="Compact"/>
              <w:spacing w:before="8" w:after="8" w:line="240" w:lineRule="auto"/>
              <w:ind w:firstLine="0" w:left="0" w:right="0"/>
              <w:jc w:val="right"/>
              <w:jc w:val="center"/>
            </w:pPr>
            <w:r>
              <w:rPr>
                <w:rFonts w:ascii="Calibri" w:hAnsi="Calibri"/>
                <w:sz w:val="15"/>
              </w:rPr>
              <w:t xml:space="preserve">0.0%</w:t>
            </w:r>
          </w:p>
        </w:tc>
      </w:tr>
      <w:tr>
        <w:trPr>
          <w:cantSplit/>
        </w:trPr>
        <w:tc>
          <w:tcPr/>
          <w:p>
            <w:pPr>
              <w:pStyle w:val="Compact"/>
              <w:spacing w:before="8" w:after="8" w:line="240" w:lineRule="auto"/>
              <w:ind w:firstLine="0" w:left="0" w:right="0"/>
              <w:jc w:val="left"/>
              <w:jc w:val="center"/>
            </w:pPr>
            <w:r>
              <w:rPr>
                <w:rFonts w:ascii="Calibri" w:hAnsi="Calibri"/>
                <w:sz w:val="15"/>
              </w:rPr>
              <w:t xml:space="preserve">Firm-year</w:t>
            </w:r>
          </w:p>
        </w:tc>
        <w:tc>
          <w:tcPr/>
          <w:p>
            <w:pPr>
              <w:pStyle w:val="Compact"/>
              <w:spacing w:before="8" w:after="8" w:line="240" w:lineRule="auto"/>
              <w:ind w:firstLine="0" w:left="0" w:right="0"/>
              <w:jc w:val="right"/>
              <w:jc w:val="center"/>
            </w:pPr>
            <w:r>
              <w:rPr>
                <w:rFonts w:ascii="Calibri" w:hAnsi="Calibri"/>
                <w:sz w:val="15"/>
              </w:rPr>
              <w:t xml:space="preserve">2024</w:t>
            </w:r>
          </w:p>
        </w:tc>
        <w:tc>
          <w:tcPr/>
          <w:p>
            <w:pPr>
              <w:pStyle w:val="Compact"/>
              <w:spacing w:before="8" w:after="8" w:line="240" w:lineRule="auto"/>
              <w:ind w:firstLine="0" w:left="0" w:right="0"/>
              <w:jc w:val="right"/>
              <w:jc w:val="center"/>
            </w:pPr>
            <w:r>
              <w:rPr>
                <w:rFonts w:ascii="Calibri" w:hAnsi="Calibri"/>
                <w:sz w:val="15"/>
              </w:rPr>
              <w:t xml:space="preserve">99.2%</w:t>
            </w:r>
          </w:p>
        </w:tc>
        <w:tc>
          <w:tcPr/>
          <w:p>
            <w:pPr>
              <w:pStyle w:val="Compact"/>
              <w:spacing w:before="8" w:after="8" w:line="240" w:lineRule="auto"/>
              <w:ind w:firstLine="0" w:left="0" w:right="0"/>
              <w:jc w:val="right"/>
              <w:jc w:val="center"/>
            </w:pPr>
            <w:r>
              <w:rPr>
                <w:rFonts w:ascii="Calibri" w:hAnsi="Calibri"/>
                <w:sz w:val="15"/>
              </w:rPr>
              <w:t xml:space="preserve">0.4%</w:t>
            </w:r>
          </w:p>
        </w:tc>
        <w:tc>
          <w:tcPr/>
          <w:p>
            <w:pPr>
              <w:pStyle w:val="Compact"/>
              <w:spacing w:before="8" w:after="8" w:line="240" w:lineRule="auto"/>
              <w:ind w:firstLine="0" w:left="0" w:right="0"/>
              <w:jc w:val="right"/>
              <w:jc w:val="center"/>
            </w:pPr>
            <w:r>
              <w:rPr>
                <w:rFonts w:ascii="Calibri" w:hAnsi="Calibri"/>
                <w:sz w:val="15"/>
              </w:rPr>
              <w:t xml:space="preserve">0.0%</w:t>
            </w:r>
          </w:p>
        </w:tc>
      </w:tr>
      <w:tr>
        <w:trPr>
          <w:cantSplit/>
        </w:trPr>
        <w:tc>
          <w:tcPr/>
          <w:p>
            <w:pPr>
              <w:pStyle w:val="Compact"/>
              <w:spacing w:before="8" w:after="8" w:line="240" w:lineRule="auto"/>
              <w:ind w:firstLine="0" w:left="0" w:right="0"/>
              <w:jc w:val="left"/>
              <w:jc w:val="center"/>
            </w:pPr>
            <w:r>
              <w:rPr>
                <w:rFonts w:ascii="Calibri" w:hAnsi="Calibri"/>
                <w:sz w:val="15"/>
              </w:rPr>
              <w:t xml:space="preserve">Firm-year</w:t>
            </w:r>
          </w:p>
        </w:tc>
        <w:tc>
          <w:tcPr/>
          <w:p>
            <w:pPr>
              <w:pStyle w:val="Compact"/>
              <w:spacing w:before="8" w:after="8" w:line="240" w:lineRule="auto"/>
              <w:ind w:firstLine="0" w:left="0" w:right="0"/>
              <w:jc w:val="right"/>
              <w:jc w:val="center"/>
            </w:pPr>
            <w:r>
              <w:rPr>
                <w:rFonts w:ascii="Calibri" w:hAnsi="Calibri"/>
                <w:sz w:val="15"/>
              </w:rPr>
              <w:t xml:space="preserve">2025</w:t>
            </w:r>
          </w:p>
        </w:tc>
        <w:tc>
          <w:tcPr/>
          <w:p>
            <w:pPr>
              <w:pStyle w:val="Compact"/>
              <w:spacing w:before="8" w:after="8" w:line="240" w:lineRule="auto"/>
              <w:ind w:firstLine="0" w:left="0" w:right="0"/>
              <w:jc w:val="right"/>
              <w:jc w:val="center"/>
            </w:pPr>
            <w:r>
              <w:rPr>
                <w:rFonts w:ascii="Calibri" w:hAnsi="Calibri"/>
                <w:sz w:val="15"/>
              </w:rPr>
              <w:t xml:space="preserve">98.9%</w:t>
            </w:r>
          </w:p>
        </w:tc>
        <w:tc>
          <w:tcPr/>
          <w:p>
            <w:pPr>
              <w:pStyle w:val="Compact"/>
              <w:spacing w:before="8" w:after="8" w:line="240" w:lineRule="auto"/>
              <w:ind w:firstLine="0" w:left="0" w:right="0"/>
              <w:jc w:val="right"/>
              <w:jc w:val="center"/>
            </w:pPr>
            <w:r>
              <w:rPr>
                <w:rFonts w:ascii="Calibri" w:hAnsi="Calibri"/>
                <w:sz w:val="15"/>
              </w:rPr>
              <w:t xml:space="preserve">0.6%</w:t>
            </w:r>
          </w:p>
        </w:tc>
        <w:tc>
          <w:tcPr/>
          <w:p>
            <w:pPr>
              <w:pStyle w:val="Compact"/>
              <w:spacing w:before="8" w:after="8" w:line="240" w:lineRule="auto"/>
              <w:ind w:firstLine="0" w:left="0" w:right="0"/>
              <w:jc w:val="right"/>
              <w:jc w:val="center"/>
            </w:pPr>
            <w:r>
              <w:rPr>
                <w:rFonts w:ascii="Calibri" w:hAnsi="Calibri"/>
                <w:sz w:val="15"/>
              </w:rPr>
              <w:t xml:space="preserve">0.0%</w:t>
            </w:r>
          </w:p>
        </w:tc>
      </w:tr>
      <w:tr>
        <w:trPr>
          <w:cantSplit/>
        </w:trPr>
        <w:tc>
          <w:tcPr/>
          <w:p>
            <w:pPr>
              <w:pStyle w:val="Compact"/>
              <w:spacing w:before="8" w:after="8" w:line="240" w:lineRule="auto"/>
              <w:ind w:firstLine="0" w:left="0" w:right="0"/>
              <w:jc w:val="left"/>
              <w:jc w:val="center"/>
            </w:pPr>
            <w:r>
              <w:rPr>
                <w:rFonts w:ascii="Calibri" w:hAnsi="Calibri"/>
                <w:sz w:val="15"/>
              </w:rPr>
              <w:t xml:space="preserve">Firm-year</w:t>
            </w:r>
          </w:p>
        </w:tc>
        <w:tc>
          <w:tcPr/>
          <w:p>
            <w:pPr>
              <w:pStyle w:val="Compact"/>
              <w:spacing w:before="8" w:after="8" w:line="240" w:lineRule="auto"/>
              <w:ind w:firstLine="0" w:left="0" w:right="0"/>
              <w:jc w:val="right"/>
              <w:jc w:val="center"/>
            </w:pPr>
            <w:r>
              <w:rPr>
                <w:rFonts w:ascii="Calibri" w:hAnsi="Calibri"/>
                <w:sz w:val="15"/>
              </w:rPr>
              <w:t xml:space="preserve">2026</w:t>
            </w:r>
          </w:p>
        </w:tc>
        <w:tc>
          <w:tcPr/>
          <w:p>
            <w:pPr>
              <w:pStyle w:val="Compact"/>
              <w:spacing w:before="8" w:after="8" w:line="240" w:lineRule="auto"/>
              <w:ind w:firstLine="0" w:left="0" w:right="0"/>
              <w:jc w:val="right"/>
              <w:jc w:val="center"/>
            </w:pPr>
            <w:r>
              <w:rPr>
                <w:rFonts w:ascii="Calibri" w:hAnsi="Calibri"/>
                <w:sz w:val="15"/>
              </w:rPr>
              <w:t xml:space="preserve">39.5%</w:t>
            </w:r>
          </w:p>
        </w:tc>
        <w:tc>
          <w:tcPr/>
          <w:p>
            <w:pPr>
              <w:pStyle w:val="Compact"/>
              <w:spacing w:before="8" w:after="8" w:line="240" w:lineRule="auto"/>
              <w:ind w:firstLine="0" w:left="0" w:right="0"/>
              <w:jc w:val="right"/>
              <w:jc w:val="center"/>
            </w:pPr>
            <w:r>
              <w:rPr>
                <w:rFonts w:ascii="Calibri" w:hAnsi="Calibri"/>
                <w:sz w:val="15"/>
              </w:rPr>
              <w:t xml:space="preserve">2.5%</w:t>
            </w:r>
          </w:p>
        </w:tc>
        <w:tc>
          <w:tcPr/>
          <w:p>
            <w:pPr>
              <w:pStyle w:val="Compact"/>
              <w:spacing w:before="8" w:after="8" w:line="240" w:lineRule="auto"/>
              <w:ind w:firstLine="0" w:left="0" w:right="0"/>
              <w:jc w:val="right"/>
              <w:jc w:val="center"/>
            </w:pPr>
            <w:r>
              <w:rPr>
                <w:rFonts w:ascii="Calibri" w:hAnsi="Calibri"/>
                <w:sz w:val="15"/>
              </w:rPr>
              <w:t xml:space="preserve">0.0%</w:t>
            </w:r>
          </w:p>
        </w:tc>
      </w:tr>
    </w:tbl>
    <w:bookmarkEnd w:id="185"/>
    <w:p/>
    <w:p>
      <w:pPr>
        <w:pStyle w:val="Textoindependiente"/>
      </w:pPr>
      <w:r>
        <w:t xml:space="preserve"> </w:t>
      </w:r>
    </w:p>
    <w:bookmarkStart w:id="189" w:name="tbl-a5-revenue-basis"/>
    <w:p>
      <w:pPr>
        <w:keepNext/>
        <w:pStyle w:val="ImageCaption"/>
        <w:jc w:val="left"/>
        <w:spacing w:before="200"/>
        <w:ind w:firstLine="0" w:left="0" w:right="0"/>
      </w:pPr>
      <w:r>
        <w:t xml:space="preserve">Table 34:</w:t>
      </w:r>
      <w:r>
        <w:t xml:space="preserve"> </w:t>
      </w:r>
      <w:r>
        <w:rPr>
          <w:rStyle w:val="CaptionText"/>
        </w:rPr>
        <w:t xml:space="preserve">Revenue basis, by grain and year: share of rows on the standard</w:t>
      </w:r>
      <w:r>
        <w:rPr>
          <w:rStyle w:val="CaptionText"/>
        </w:rPr>
        <w:t xml:space="preserve"> </w:t>
      </w:r>
      <w:r>
        <w:rPr>
          <w:rStyle w:val="CaptionText"/>
        </w:rPr>
        <w:t xml:space="preserve">“Sales”</w:t>
      </w:r>
      <w:r>
        <w:rPr>
          <w:rStyle w:val="CaptionText"/>
        </w:rPr>
        <w:t xml:space="preserve"> </w:t>
      </w:r>
      <w:r>
        <w:rPr>
          <w:rStyle w:val="CaptionText"/>
        </w:rPr>
        <w:t xml:space="preserve">line versus the bank/broker net-interest-plus-fee definition.</w:t>
      </w:r>
    </w:p>
    <w:tbl>
      <w:tblPr>
        <w:tblStyle w:val="Table"/>
        <w:tblW w:type="auto" w:w="0"/>
        <w:jc w:val="center"/>
        <w:tblLook w:firstRow="1" w:lastRow="0" w:firstColumn="0" w:lastColumn="0" w:noHBand="0" w:noVBand="0" w:val="0020"/>
        <w:tblBorders>
          <w:top w:val="single" w:sz="8" w:space="0" w:color="0F172A"/>
          <w:bottom w:val="single" w:sz="8" w:space="0" w:color="0F172A"/>
          <w:left w:val="none"/>
          <w:right w:val="none"/>
          <w:insideH w:val="single" w:sz="4" w:space="0" w:color="E2E8F0"/>
          <w:insideV w:val="none"/>
        </w:tblBorders>
        <w:tblCellMar>
          <w:top w:w="22" w:type="dxa"/>
          <w:bottom w:w="22" w:type="dxa"/>
          <w:left w:w="40" w:type="dxa"/>
          <w:right w:w="40" w:type="dxa"/>
        </w:tblCellMar>
      </w:tblPr>
      <w:tblGrid>
        <w:gridCol w:w="1584"/>
        <w:gridCol w:w="1584"/>
        <w:gridCol w:w="1584"/>
        <w:gridCol w:w="1584"/>
        <w:gridCol w:w="1584"/>
      </w:tblGrid>
      <w:tr>
        <w:trPr>
          <w:tblHeader w:val="on"/>
          <w:cantSplit/>
          <w:tblHeader/>
        </w:trPr>
        <w:tc>
          <w:tcPr>
            <w:shd w:fill="F1F5F9"/>
            <w:tcBorders>
              <w:bottom w:val="single" w:sz="8" w:space="0" w:color="475569"/>
            </w:tcBorders>
          </w:tcPr>
          <w:p>
            <w:pPr>
              <w:pStyle w:val="Compact"/>
              <w:spacing w:before="8" w:after="8" w:line="240" w:lineRule="auto"/>
              <w:ind w:firstLine="0" w:left="0" w:right="0"/>
              <w:jc w:val="left"/>
              <w:jc w:val="center"/>
            </w:pPr>
            <w:r>
              <w:rPr>
                <w:rFonts w:ascii="Calibri" w:hAnsi="Calibri"/>
                <w:b/>
                <w:color w:val="0F172A"/>
                <w:sz w:val="15"/>
              </w:rPr>
              <w:t xml:space="preserve">Grain</w:t>
            </w:r>
          </w:p>
        </w:tc>
        <w:tc>
          <w:tcPr>
            <w:shd w:fill="F1F5F9"/>
            <w:tcBorders>
              <w:bottom w:val="single" w:sz="8" w:space="0" w:color="475569"/>
            </w:tcBorders>
          </w:tcPr>
          <w:p>
            <w:pPr>
              <w:pStyle w:val="Compact"/>
              <w:spacing w:before="8" w:after="8" w:line="240" w:lineRule="auto"/>
              <w:ind w:firstLine="0" w:left="0" w:right="0"/>
              <w:jc w:val="right"/>
              <w:jc w:val="center"/>
            </w:pPr>
            <w:r>
              <w:rPr>
                <w:rFonts w:ascii="Calibri" w:hAnsi="Calibri"/>
                <w:b/>
                <w:color w:val="0F172A"/>
                <w:sz w:val="15"/>
              </w:rPr>
              <w:t xml:space="preserve">Year</w:t>
            </w:r>
          </w:p>
        </w:tc>
        <w:tc>
          <w:tcPr>
            <w:shd w:fill="F1F5F9"/>
            <w:tcBorders>
              <w:bottom w:val="single" w:sz="8" w:space="0" w:color="475569"/>
            </w:tcBorders>
          </w:tcPr>
          <w:p>
            <w:pPr>
              <w:pStyle w:val="Compact"/>
              <w:spacing w:before="8" w:after="8" w:line="240" w:lineRule="auto"/>
              <w:ind w:firstLine="0" w:left="0" w:right="0"/>
              <w:jc w:val="right"/>
              <w:jc w:val="center"/>
            </w:pPr>
            <w:r>
              <w:rPr>
                <w:rFonts w:ascii="Calibri" w:hAnsi="Calibri"/>
                <w:b/>
                <w:color w:val="0F172A"/>
                <w:sz w:val="15"/>
              </w:rPr>
              <w:t xml:space="preserve">Sales</w:t>
            </w:r>
          </w:p>
        </w:tc>
        <w:tc>
          <w:tcPr>
            <w:shd w:fill="F1F5F9"/>
            <w:tcBorders>
              <w:bottom w:val="single" w:sz="8" w:space="0" w:color="475569"/>
            </w:tcBorders>
          </w:tcPr>
          <w:p>
            <w:pPr>
              <w:pStyle w:val="Compact"/>
              <w:spacing w:before="8" w:after="8" w:line="240" w:lineRule="auto"/>
              <w:ind w:firstLine="0" w:left="0" w:right="0"/>
              <w:jc w:val="right"/>
              <w:jc w:val="center"/>
            </w:pPr>
            <w:r>
              <w:rPr>
                <w:rFonts w:ascii="Calibri" w:hAnsi="Calibri"/>
                <w:b/>
                <w:color w:val="0F172A"/>
                <w:sz w:val="15"/>
              </w:rPr>
              <w:t xml:space="preserve">Net interest + fee (bank/broker)</w:t>
            </w:r>
          </w:p>
        </w:tc>
        <w:tc>
          <w:tcPr>
            <w:shd w:fill="F1F5F9"/>
            <w:tcBorders>
              <w:bottom w:val="single" w:sz="8" w:space="0" w:color="475569"/>
            </w:tcBorders>
          </w:tcPr>
          <w:p>
            <w:pPr>
              <w:pStyle w:val="Compact"/>
              <w:spacing w:before="8" w:after="8" w:line="240" w:lineRule="auto"/>
              <w:ind w:firstLine="0" w:left="0" w:right="0"/>
              <w:jc w:val="right"/>
              <w:jc w:val="center"/>
            </w:pPr>
            <w:r>
              <w:rPr>
                <w:rFonts w:ascii="Calibri" w:hAnsi="Calibri"/>
                <w:b/>
                <w:color w:val="0F172A"/>
                <w:sz w:val="15"/>
              </w:rPr>
              <w:t xml:space="preserve">Unmatched</w:t>
            </w:r>
          </w:p>
        </w:tc>
      </w:tr>
      <w:tr>
        <w:trPr>
          <w:cantSplit/>
        </w:trPr>
        <w:tc>
          <w:tcPr/>
          <w:p>
            <w:pPr>
              <w:pStyle w:val="Compact"/>
              <w:spacing w:before="8" w:after="8" w:line="240" w:lineRule="auto"/>
              <w:ind w:firstLine="0" w:left="0" w:right="0"/>
              <w:jc w:val="left"/>
              <w:jc w:val="center"/>
            </w:pPr>
            <w:r>
              <w:rPr>
                <w:rFonts w:ascii="Calibri" w:hAnsi="Calibri"/>
                <w:sz w:val="15"/>
              </w:rPr>
              <w:t xml:space="preserve">Firm-quarter</w:t>
            </w:r>
          </w:p>
        </w:tc>
        <w:tc>
          <w:tcPr/>
          <w:p>
            <w:pPr>
              <w:pStyle w:val="Compact"/>
              <w:spacing w:before="8" w:after="8" w:line="240" w:lineRule="auto"/>
              <w:ind w:firstLine="0" w:left="0" w:right="0"/>
              <w:jc w:val="right"/>
              <w:jc w:val="center"/>
            </w:pPr>
            <w:r>
              <w:rPr>
                <w:rFonts w:ascii="Calibri" w:hAnsi="Calibri"/>
                <w:sz w:val="15"/>
              </w:rPr>
              <w:t xml:space="preserve">2021</w:t>
            </w:r>
          </w:p>
        </w:tc>
        <w:tc>
          <w:tcPr/>
          <w:p>
            <w:pPr>
              <w:pStyle w:val="Compact"/>
              <w:spacing w:before="8" w:after="8" w:line="240" w:lineRule="auto"/>
              <w:ind w:firstLine="0" w:left="0" w:right="0"/>
              <w:jc w:val="right"/>
              <w:jc w:val="center"/>
            </w:pPr>
            <w:r>
              <w:rPr>
                <w:rFonts w:ascii="Calibri" w:hAnsi="Calibri"/>
                <w:sz w:val="15"/>
              </w:rPr>
              <w:t xml:space="preserve">94.9%</w:t>
            </w:r>
          </w:p>
        </w:tc>
        <w:tc>
          <w:tcPr/>
          <w:p>
            <w:pPr>
              <w:pStyle w:val="Compact"/>
              <w:spacing w:before="8" w:after="8" w:line="240" w:lineRule="auto"/>
              <w:ind w:firstLine="0" w:left="0" w:right="0"/>
              <w:jc w:val="right"/>
              <w:jc w:val="center"/>
            </w:pPr>
            <w:r>
              <w:rPr>
                <w:rFonts w:ascii="Calibri" w:hAnsi="Calibri"/>
                <w:sz w:val="15"/>
              </w:rPr>
              <w:t xml:space="preserve">5.1%</w:t>
            </w:r>
          </w:p>
        </w:tc>
        <w:tc>
          <w:tcPr/>
          <w:p>
            <w:pPr>
              <w:pStyle w:val="Compact"/>
              <w:spacing w:before="8" w:after="8" w:line="240" w:lineRule="auto"/>
              <w:ind w:firstLine="0" w:left="0" w:right="0"/>
              <w:jc w:val="right"/>
              <w:jc w:val="center"/>
            </w:pPr>
            <w:r>
              <w:rPr>
                <w:rFonts w:ascii="Calibri" w:hAnsi="Calibri"/>
                <w:sz w:val="15"/>
              </w:rPr>
              <w:t xml:space="preserve">0.0%</w:t>
            </w:r>
          </w:p>
        </w:tc>
      </w:tr>
      <w:tr>
        <w:trPr>
          <w:cantSplit/>
        </w:trPr>
        <w:tc>
          <w:tcPr/>
          <w:p>
            <w:pPr>
              <w:pStyle w:val="Compact"/>
              <w:spacing w:before="8" w:after="8" w:line="240" w:lineRule="auto"/>
              <w:ind w:firstLine="0" w:left="0" w:right="0"/>
              <w:jc w:val="left"/>
              <w:jc w:val="center"/>
            </w:pPr>
            <w:r>
              <w:rPr>
                <w:rFonts w:ascii="Calibri" w:hAnsi="Calibri"/>
                <w:sz w:val="15"/>
              </w:rPr>
              <w:t xml:space="preserve">Firm-quarter</w:t>
            </w:r>
          </w:p>
        </w:tc>
        <w:tc>
          <w:tcPr/>
          <w:p>
            <w:pPr>
              <w:pStyle w:val="Compact"/>
              <w:spacing w:before="8" w:after="8" w:line="240" w:lineRule="auto"/>
              <w:ind w:firstLine="0" w:left="0" w:right="0"/>
              <w:jc w:val="right"/>
              <w:jc w:val="center"/>
            </w:pPr>
            <w:r>
              <w:rPr>
                <w:rFonts w:ascii="Calibri" w:hAnsi="Calibri"/>
                <w:sz w:val="15"/>
              </w:rPr>
              <w:t xml:space="preserve">2022</w:t>
            </w:r>
          </w:p>
        </w:tc>
        <w:tc>
          <w:tcPr/>
          <w:p>
            <w:pPr>
              <w:pStyle w:val="Compact"/>
              <w:spacing w:before="8" w:after="8" w:line="240" w:lineRule="auto"/>
              <w:ind w:firstLine="0" w:left="0" w:right="0"/>
              <w:jc w:val="right"/>
              <w:jc w:val="center"/>
            </w:pPr>
            <w:r>
              <w:rPr>
                <w:rFonts w:ascii="Calibri" w:hAnsi="Calibri"/>
                <w:sz w:val="15"/>
              </w:rPr>
              <w:t xml:space="preserve">95.1%</w:t>
            </w:r>
          </w:p>
        </w:tc>
        <w:tc>
          <w:tcPr/>
          <w:p>
            <w:pPr>
              <w:pStyle w:val="Compact"/>
              <w:spacing w:before="8" w:after="8" w:line="240" w:lineRule="auto"/>
              <w:ind w:firstLine="0" w:left="0" w:right="0"/>
              <w:jc w:val="right"/>
              <w:jc w:val="center"/>
            </w:pPr>
            <w:r>
              <w:rPr>
                <w:rFonts w:ascii="Calibri" w:hAnsi="Calibri"/>
                <w:sz w:val="15"/>
              </w:rPr>
              <w:t xml:space="preserve">4.9%</w:t>
            </w:r>
          </w:p>
        </w:tc>
        <w:tc>
          <w:tcPr/>
          <w:p>
            <w:pPr>
              <w:pStyle w:val="Compact"/>
              <w:spacing w:before="8" w:after="8" w:line="240" w:lineRule="auto"/>
              <w:ind w:firstLine="0" w:left="0" w:right="0"/>
              <w:jc w:val="right"/>
              <w:jc w:val="center"/>
            </w:pPr>
            <w:r>
              <w:rPr>
                <w:rFonts w:ascii="Calibri" w:hAnsi="Calibri"/>
                <w:sz w:val="15"/>
              </w:rPr>
              <w:t xml:space="preserve">0.0%</w:t>
            </w:r>
          </w:p>
        </w:tc>
      </w:tr>
      <w:tr>
        <w:trPr>
          <w:cantSplit/>
        </w:trPr>
        <w:tc>
          <w:tcPr/>
          <w:p>
            <w:pPr>
              <w:pStyle w:val="Compact"/>
              <w:spacing w:before="8" w:after="8" w:line="240" w:lineRule="auto"/>
              <w:ind w:firstLine="0" w:left="0" w:right="0"/>
              <w:jc w:val="left"/>
              <w:jc w:val="center"/>
            </w:pPr>
            <w:r>
              <w:rPr>
                <w:rFonts w:ascii="Calibri" w:hAnsi="Calibri"/>
                <w:sz w:val="15"/>
              </w:rPr>
              <w:t xml:space="preserve">Firm-quarter</w:t>
            </w:r>
          </w:p>
        </w:tc>
        <w:tc>
          <w:tcPr/>
          <w:p>
            <w:pPr>
              <w:pStyle w:val="Compact"/>
              <w:spacing w:before="8" w:after="8" w:line="240" w:lineRule="auto"/>
              <w:ind w:firstLine="0" w:left="0" w:right="0"/>
              <w:jc w:val="right"/>
              <w:jc w:val="center"/>
            </w:pPr>
            <w:r>
              <w:rPr>
                <w:rFonts w:ascii="Calibri" w:hAnsi="Calibri"/>
                <w:sz w:val="15"/>
              </w:rPr>
              <w:t xml:space="preserve">2023</w:t>
            </w:r>
          </w:p>
        </w:tc>
        <w:tc>
          <w:tcPr/>
          <w:p>
            <w:pPr>
              <w:pStyle w:val="Compact"/>
              <w:spacing w:before="8" w:after="8" w:line="240" w:lineRule="auto"/>
              <w:ind w:firstLine="0" w:left="0" w:right="0"/>
              <w:jc w:val="right"/>
              <w:jc w:val="center"/>
            </w:pPr>
            <w:r>
              <w:rPr>
                <w:rFonts w:ascii="Calibri" w:hAnsi="Calibri"/>
                <w:sz w:val="15"/>
              </w:rPr>
              <w:t xml:space="preserve">95.4%</w:t>
            </w:r>
          </w:p>
        </w:tc>
        <w:tc>
          <w:tcPr/>
          <w:p>
            <w:pPr>
              <w:pStyle w:val="Compact"/>
              <w:spacing w:before="8" w:after="8" w:line="240" w:lineRule="auto"/>
              <w:ind w:firstLine="0" w:left="0" w:right="0"/>
              <w:jc w:val="right"/>
              <w:jc w:val="center"/>
            </w:pPr>
            <w:r>
              <w:rPr>
                <w:rFonts w:ascii="Calibri" w:hAnsi="Calibri"/>
                <w:sz w:val="15"/>
              </w:rPr>
              <w:t xml:space="preserve">4.6%</w:t>
            </w:r>
          </w:p>
        </w:tc>
        <w:tc>
          <w:tcPr/>
          <w:p>
            <w:pPr>
              <w:pStyle w:val="Compact"/>
              <w:spacing w:before="8" w:after="8" w:line="240" w:lineRule="auto"/>
              <w:ind w:firstLine="0" w:left="0" w:right="0"/>
              <w:jc w:val="right"/>
              <w:jc w:val="center"/>
            </w:pPr>
            <w:r>
              <w:rPr>
                <w:rFonts w:ascii="Calibri" w:hAnsi="Calibri"/>
                <w:sz w:val="15"/>
              </w:rPr>
              <w:t xml:space="preserve">0.0%</w:t>
            </w:r>
          </w:p>
        </w:tc>
      </w:tr>
      <w:tr>
        <w:trPr>
          <w:cantSplit/>
        </w:trPr>
        <w:tc>
          <w:tcPr/>
          <w:p>
            <w:pPr>
              <w:pStyle w:val="Compact"/>
              <w:spacing w:before="8" w:after="8" w:line="240" w:lineRule="auto"/>
              <w:ind w:firstLine="0" w:left="0" w:right="0"/>
              <w:jc w:val="left"/>
              <w:jc w:val="center"/>
            </w:pPr>
            <w:r>
              <w:rPr>
                <w:rFonts w:ascii="Calibri" w:hAnsi="Calibri"/>
                <w:sz w:val="15"/>
              </w:rPr>
              <w:t xml:space="preserve">Firm-quarter</w:t>
            </w:r>
          </w:p>
        </w:tc>
        <w:tc>
          <w:tcPr/>
          <w:p>
            <w:pPr>
              <w:pStyle w:val="Compact"/>
              <w:spacing w:before="8" w:after="8" w:line="240" w:lineRule="auto"/>
              <w:ind w:firstLine="0" w:left="0" w:right="0"/>
              <w:jc w:val="right"/>
              <w:jc w:val="center"/>
            </w:pPr>
            <w:r>
              <w:rPr>
                <w:rFonts w:ascii="Calibri" w:hAnsi="Calibri"/>
                <w:sz w:val="15"/>
              </w:rPr>
              <w:t xml:space="preserve">2024</w:t>
            </w:r>
          </w:p>
        </w:tc>
        <w:tc>
          <w:tcPr/>
          <w:p>
            <w:pPr>
              <w:pStyle w:val="Compact"/>
              <w:spacing w:before="8" w:after="8" w:line="240" w:lineRule="auto"/>
              <w:ind w:firstLine="0" w:left="0" w:right="0"/>
              <w:jc w:val="right"/>
              <w:jc w:val="center"/>
            </w:pPr>
            <w:r>
              <w:rPr>
                <w:rFonts w:ascii="Calibri" w:hAnsi="Calibri"/>
                <w:sz w:val="15"/>
              </w:rPr>
              <w:t xml:space="preserve">95.4%</w:t>
            </w:r>
          </w:p>
        </w:tc>
        <w:tc>
          <w:tcPr/>
          <w:p>
            <w:pPr>
              <w:pStyle w:val="Compact"/>
              <w:spacing w:before="8" w:after="8" w:line="240" w:lineRule="auto"/>
              <w:ind w:firstLine="0" w:left="0" w:right="0"/>
              <w:jc w:val="right"/>
              <w:jc w:val="center"/>
            </w:pPr>
            <w:r>
              <w:rPr>
                <w:rFonts w:ascii="Calibri" w:hAnsi="Calibri"/>
                <w:sz w:val="15"/>
              </w:rPr>
              <w:t xml:space="preserve">4.6%</w:t>
            </w:r>
          </w:p>
        </w:tc>
        <w:tc>
          <w:tcPr/>
          <w:p>
            <w:pPr>
              <w:pStyle w:val="Compact"/>
              <w:spacing w:before="8" w:after="8" w:line="240" w:lineRule="auto"/>
              <w:ind w:firstLine="0" w:left="0" w:right="0"/>
              <w:jc w:val="right"/>
              <w:jc w:val="center"/>
            </w:pPr>
            <w:r>
              <w:rPr>
                <w:rFonts w:ascii="Calibri" w:hAnsi="Calibri"/>
                <w:sz w:val="15"/>
              </w:rPr>
              <w:t xml:space="preserve">0.0%</w:t>
            </w:r>
          </w:p>
        </w:tc>
      </w:tr>
      <w:tr>
        <w:trPr>
          <w:cantSplit/>
        </w:trPr>
        <w:tc>
          <w:tcPr/>
          <w:p>
            <w:pPr>
              <w:pStyle w:val="Compact"/>
              <w:spacing w:before="8" w:after="8" w:line="240" w:lineRule="auto"/>
              <w:ind w:firstLine="0" w:left="0" w:right="0"/>
              <w:jc w:val="left"/>
              <w:jc w:val="center"/>
            </w:pPr>
            <w:r>
              <w:rPr>
                <w:rFonts w:ascii="Calibri" w:hAnsi="Calibri"/>
                <w:sz w:val="15"/>
              </w:rPr>
              <w:t xml:space="preserve">Firm-quarter</w:t>
            </w:r>
          </w:p>
        </w:tc>
        <w:tc>
          <w:tcPr/>
          <w:p>
            <w:pPr>
              <w:pStyle w:val="Compact"/>
              <w:spacing w:before="8" w:after="8" w:line="240" w:lineRule="auto"/>
              <w:ind w:firstLine="0" w:left="0" w:right="0"/>
              <w:jc w:val="right"/>
              <w:jc w:val="center"/>
            </w:pPr>
            <w:r>
              <w:rPr>
                <w:rFonts w:ascii="Calibri" w:hAnsi="Calibri"/>
                <w:sz w:val="15"/>
              </w:rPr>
              <w:t xml:space="preserve">2025</w:t>
            </w:r>
          </w:p>
        </w:tc>
        <w:tc>
          <w:tcPr/>
          <w:p>
            <w:pPr>
              <w:pStyle w:val="Compact"/>
              <w:spacing w:before="8" w:after="8" w:line="240" w:lineRule="auto"/>
              <w:ind w:firstLine="0" w:left="0" w:right="0"/>
              <w:jc w:val="right"/>
              <w:jc w:val="center"/>
            </w:pPr>
            <w:r>
              <w:rPr>
                <w:rFonts w:ascii="Calibri" w:hAnsi="Calibri"/>
                <w:sz w:val="15"/>
              </w:rPr>
              <w:t xml:space="preserve">95.5%</w:t>
            </w:r>
          </w:p>
        </w:tc>
        <w:tc>
          <w:tcPr/>
          <w:p>
            <w:pPr>
              <w:pStyle w:val="Compact"/>
              <w:spacing w:before="8" w:after="8" w:line="240" w:lineRule="auto"/>
              <w:ind w:firstLine="0" w:left="0" w:right="0"/>
              <w:jc w:val="right"/>
              <w:jc w:val="center"/>
            </w:pPr>
            <w:r>
              <w:rPr>
                <w:rFonts w:ascii="Calibri" w:hAnsi="Calibri"/>
                <w:sz w:val="15"/>
              </w:rPr>
              <w:t xml:space="preserve">4.5%</w:t>
            </w:r>
          </w:p>
        </w:tc>
        <w:tc>
          <w:tcPr/>
          <w:p>
            <w:pPr>
              <w:pStyle w:val="Compact"/>
              <w:spacing w:before="8" w:after="8" w:line="240" w:lineRule="auto"/>
              <w:ind w:firstLine="0" w:left="0" w:right="0"/>
              <w:jc w:val="right"/>
              <w:jc w:val="center"/>
            </w:pPr>
            <w:r>
              <w:rPr>
                <w:rFonts w:ascii="Calibri" w:hAnsi="Calibri"/>
                <w:sz w:val="15"/>
              </w:rPr>
              <w:t xml:space="preserve">0.0%</w:t>
            </w:r>
          </w:p>
        </w:tc>
      </w:tr>
      <w:tr>
        <w:trPr>
          <w:cantSplit/>
        </w:trPr>
        <w:tc>
          <w:tcPr/>
          <w:p>
            <w:pPr>
              <w:pStyle w:val="Compact"/>
              <w:spacing w:before="8" w:after="8" w:line="240" w:lineRule="auto"/>
              <w:ind w:firstLine="0" w:left="0" w:right="0"/>
              <w:jc w:val="left"/>
              <w:jc w:val="center"/>
            </w:pPr>
            <w:r>
              <w:rPr>
                <w:rFonts w:ascii="Calibri" w:hAnsi="Calibri"/>
                <w:sz w:val="15"/>
              </w:rPr>
              <w:t xml:space="preserve">Firm-quarter</w:t>
            </w:r>
          </w:p>
        </w:tc>
        <w:tc>
          <w:tcPr/>
          <w:p>
            <w:pPr>
              <w:pStyle w:val="Compact"/>
              <w:spacing w:before="8" w:after="8" w:line="240" w:lineRule="auto"/>
              <w:ind w:firstLine="0" w:left="0" w:right="0"/>
              <w:jc w:val="right"/>
              <w:jc w:val="center"/>
            </w:pPr>
            <w:r>
              <w:rPr>
                <w:rFonts w:ascii="Calibri" w:hAnsi="Calibri"/>
                <w:sz w:val="15"/>
              </w:rPr>
              <w:t xml:space="preserve">2026</w:t>
            </w:r>
          </w:p>
        </w:tc>
        <w:tc>
          <w:tcPr/>
          <w:p>
            <w:pPr>
              <w:pStyle w:val="Compact"/>
              <w:spacing w:before="8" w:after="8" w:line="240" w:lineRule="auto"/>
              <w:ind w:firstLine="0" w:left="0" w:right="0"/>
              <w:jc w:val="right"/>
              <w:jc w:val="center"/>
            </w:pPr>
            <w:r>
              <w:rPr>
                <w:rFonts w:ascii="Calibri" w:hAnsi="Calibri"/>
                <w:sz w:val="15"/>
              </w:rPr>
              <w:t xml:space="preserve">95.8%</w:t>
            </w:r>
          </w:p>
        </w:tc>
        <w:tc>
          <w:tcPr/>
          <w:p>
            <w:pPr>
              <w:pStyle w:val="Compact"/>
              <w:spacing w:before="8" w:after="8" w:line="240" w:lineRule="auto"/>
              <w:ind w:firstLine="0" w:left="0" w:right="0"/>
              <w:jc w:val="right"/>
              <w:jc w:val="center"/>
            </w:pPr>
            <w:r>
              <w:rPr>
                <w:rFonts w:ascii="Calibri" w:hAnsi="Calibri"/>
                <w:sz w:val="15"/>
              </w:rPr>
              <w:t xml:space="preserve">4.2%</w:t>
            </w:r>
          </w:p>
        </w:tc>
        <w:tc>
          <w:tcPr/>
          <w:p>
            <w:pPr>
              <w:pStyle w:val="Compact"/>
              <w:spacing w:before="8" w:after="8" w:line="240" w:lineRule="auto"/>
              <w:ind w:firstLine="0" w:left="0" w:right="0"/>
              <w:jc w:val="right"/>
              <w:jc w:val="center"/>
            </w:pPr>
            <w:r>
              <w:rPr>
                <w:rFonts w:ascii="Calibri" w:hAnsi="Calibri"/>
                <w:sz w:val="15"/>
              </w:rPr>
              <w:t xml:space="preserve">0.0%</w:t>
            </w:r>
          </w:p>
        </w:tc>
      </w:tr>
      <w:tr>
        <w:trPr>
          <w:cantSplit/>
        </w:trPr>
        <w:tc>
          <w:tcPr/>
          <w:p>
            <w:pPr>
              <w:pStyle w:val="Compact"/>
              <w:spacing w:before="8" w:after="8" w:line="240" w:lineRule="auto"/>
              <w:ind w:firstLine="0" w:left="0" w:right="0"/>
              <w:jc w:val="left"/>
              <w:jc w:val="center"/>
            </w:pPr>
            <w:r>
              <w:rPr>
                <w:rFonts w:ascii="Calibri" w:hAnsi="Calibri"/>
                <w:sz w:val="15"/>
              </w:rPr>
              <w:t xml:space="preserve">Firm-year</w:t>
            </w:r>
          </w:p>
        </w:tc>
        <w:tc>
          <w:tcPr/>
          <w:p>
            <w:pPr>
              <w:pStyle w:val="Compact"/>
              <w:spacing w:before="8" w:after="8" w:line="240" w:lineRule="auto"/>
              <w:ind w:firstLine="0" w:left="0" w:right="0"/>
              <w:jc w:val="right"/>
              <w:jc w:val="center"/>
            </w:pPr>
            <w:r>
              <w:rPr>
                <w:rFonts w:ascii="Calibri" w:hAnsi="Calibri"/>
                <w:sz w:val="15"/>
              </w:rPr>
              <w:t xml:space="preserve">2021</w:t>
            </w:r>
          </w:p>
        </w:tc>
        <w:tc>
          <w:tcPr/>
          <w:p>
            <w:pPr>
              <w:pStyle w:val="Compact"/>
              <w:spacing w:before="8" w:after="8" w:line="240" w:lineRule="auto"/>
              <w:ind w:firstLine="0" w:left="0" w:right="0"/>
              <w:jc w:val="right"/>
              <w:jc w:val="center"/>
            </w:pPr>
            <w:r>
              <w:rPr>
                <w:rFonts w:ascii="Calibri" w:hAnsi="Calibri"/>
                <w:sz w:val="15"/>
              </w:rPr>
              <w:t xml:space="preserve">94.9%</w:t>
            </w:r>
          </w:p>
        </w:tc>
        <w:tc>
          <w:tcPr/>
          <w:p>
            <w:pPr>
              <w:pStyle w:val="Compact"/>
              <w:spacing w:before="8" w:after="8" w:line="240" w:lineRule="auto"/>
              <w:ind w:firstLine="0" w:left="0" w:right="0"/>
              <w:jc w:val="right"/>
              <w:jc w:val="center"/>
            </w:pPr>
            <w:r>
              <w:rPr>
                <w:rFonts w:ascii="Calibri" w:hAnsi="Calibri"/>
                <w:sz w:val="15"/>
              </w:rPr>
              <w:t xml:space="preserve">5.1%</w:t>
            </w:r>
          </w:p>
        </w:tc>
        <w:tc>
          <w:tcPr/>
          <w:p>
            <w:pPr>
              <w:pStyle w:val="Compact"/>
              <w:spacing w:before="8" w:after="8" w:line="240" w:lineRule="auto"/>
              <w:ind w:firstLine="0" w:left="0" w:right="0"/>
              <w:jc w:val="right"/>
              <w:jc w:val="center"/>
            </w:pPr>
            <w:r>
              <w:rPr>
                <w:rFonts w:ascii="Calibri" w:hAnsi="Calibri"/>
                <w:sz w:val="15"/>
              </w:rPr>
              <w:t xml:space="preserve">0.0%</w:t>
            </w:r>
          </w:p>
        </w:tc>
      </w:tr>
      <w:tr>
        <w:trPr>
          <w:cantSplit/>
        </w:trPr>
        <w:tc>
          <w:tcPr/>
          <w:p>
            <w:pPr>
              <w:pStyle w:val="Compact"/>
              <w:spacing w:before="8" w:after="8" w:line="240" w:lineRule="auto"/>
              <w:ind w:firstLine="0" w:left="0" w:right="0"/>
              <w:jc w:val="left"/>
              <w:jc w:val="center"/>
            </w:pPr>
            <w:r>
              <w:rPr>
                <w:rFonts w:ascii="Calibri" w:hAnsi="Calibri"/>
                <w:sz w:val="15"/>
              </w:rPr>
              <w:t xml:space="preserve">Firm-year</w:t>
            </w:r>
          </w:p>
        </w:tc>
        <w:tc>
          <w:tcPr/>
          <w:p>
            <w:pPr>
              <w:pStyle w:val="Compact"/>
              <w:spacing w:before="8" w:after="8" w:line="240" w:lineRule="auto"/>
              <w:ind w:firstLine="0" w:left="0" w:right="0"/>
              <w:jc w:val="right"/>
              <w:jc w:val="center"/>
            </w:pPr>
            <w:r>
              <w:rPr>
                <w:rFonts w:ascii="Calibri" w:hAnsi="Calibri"/>
                <w:sz w:val="15"/>
              </w:rPr>
              <w:t xml:space="preserve">2022</w:t>
            </w:r>
          </w:p>
        </w:tc>
        <w:tc>
          <w:tcPr/>
          <w:p>
            <w:pPr>
              <w:pStyle w:val="Compact"/>
              <w:spacing w:before="8" w:after="8" w:line="240" w:lineRule="auto"/>
              <w:ind w:firstLine="0" w:left="0" w:right="0"/>
              <w:jc w:val="right"/>
              <w:jc w:val="center"/>
            </w:pPr>
            <w:r>
              <w:rPr>
                <w:rFonts w:ascii="Calibri" w:hAnsi="Calibri"/>
                <w:sz w:val="15"/>
              </w:rPr>
              <w:t xml:space="preserve">95.0%</w:t>
            </w:r>
          </w:p>
        </w:tc>
        <w:tc>
          <w:tcPr/>
          <w:p>
            <w:pPr>
              <w:pStyle w:val="Compact"/>
              <w:spacing w:before="8" w:after="8" w:line="240" w:lineRule="auto"/>
              <w:ind w:firstLine="0" w:left="0" w:right="0"/>
              <w:jc w:val="right"/>
              <w:jc w:val="center"/>
            </w:pPr>
            <w:r>
              <w:rPr>
                <w:rFonts w:ascii="Calibri" w:hAnsi="Calibri"/>
                <w:sz w:val="15"/>
              </w:rPr>
              <w:t xml:space="preserve">5.0%</w:t>
            </w:r>
          </w:p>
        </w:tc>
        <w:tc>
          <w:tcPr/>
          <w:p>
            <w:pPr>
              <w:pStyle w:val="Compact"/>
              <w:spacing w:before="8" w:after="8" w:line="240" w:lineRule="auto"/>
              <w:ind w:firstLine="0" w:left="0" w:right="0"/>
              <w:jc w:val="right"/>
              <w:jc w:val="center"/>
            </w:pPr>
            <w:r>
              <w:rPr>
                <w:rFonts w:ascii="Calibri" w:hAnsi="Calibri"/>
                <w:sz w:val="15"/>
              </w:rPr>
              <w:t xml:space="preserve">0.0%</w:t>
            </w:r>
          </w:p>
        </w:tc>
      </w:tr>
      <w:tr>
        <w:trPr>
          <w:cantSplit/>
        </w:trPr>
        <w:tc>
          <w:tcPr/>
          <w:p>
            <w:pPr>
              <w:pStyle w:val="Compact"/>
              <w:spacing w:before="8" w:after="8" w:line="240" w:lineRule="auto"/>
              <w:ind w:firstLine="0" w:left="0" w:right="0"/>
              <w:jc w:val="left"/>
              <w:jc w:val="center"/>
            </w:pPr>
            <w:r>
              <w:rPr>
                <w:rFonts w:ascii="Calibri" w:hAnsi="Calibri"/>
                <w:sz w:val="15"/>
              </w:rPr>
              <w:t xml:space="preserve">Firm-year</w:t>
            </w:r>
          </w:p>
        </w:tc>
        <w:tc>
          <w:tcPr/>
          <w:p>
            <w:pPr>
              <w:pStyle w:val="Compact"/>
              <w:spacing w:before="8" w:after="8" w:line="240" w:lineRule="auto"/>
              <w:ind w:firstLine="0" w:left="0" w:right="0"/>
              <w:jc w:val="right"/>
              <w:jc w:val="center"/>
            </w:pPr>
            <w:r>
              <w:rPr>
                <w:rFonts w:ascii="Calibri" w:hAnsi="Calibri"/>
                <w:sz w:val="15"/>
              </w:rPr>
              <w:t xml:space="preserve">2023</w:t>
            </w:r>
          </w:p>
        </w:tc>
        <w:tc>
          <w:tcPr/>
          <w:p>
            <w:pPr>
              <w:pStyle w:val="Compact"/>
              <w:spacing w:before="8" w:after="8" w:line="240" w:lineRule="auto"/>
              <w:ind w:firstLine="0" w:left="0" w:right="0"/>
              <w:jc w:val="right"/>
              <w:jc w:val="center"/>
            </w:pPr>
            <w:r>
              <w:rPr>
                <w:rFonts w:ascii="Calibri" w:hAnsi="Calibri"/>
                <w:sz w:val="15"/>
              </w:rPr>
              <w:t xml:space="preserve">95.4%</w:t>
            </w:r>
          </w:p>
        </w:tc>
        <w:tc>
          <w:tcPr/>
          <w:p>
            <w:pPr>
              <w:pStyle w:val="Compact"/>
              <w:spacing w:before="8" w:after="8" w:line="240" w:lineRule="auto"/>
              <w:ind w:firstLine="0" w:left="0" w:right="0"/>
              <w:jc w:val="right"/>
              <w:jc w:val="center"/>
            </w:pPr>
            <w:r>
              <w:rPr>
                <w:rFonts w:ascii="Calibri" w:hAnsi="Calibri"/>
                <w:sz w:val="15"/>
              </w:rPr>
              <w:t xml:space="preserve">4.6%</w:t>
            </w:r>
          </w:p>
        </w:tc>
        <w:tc>
          <w:tcPr/>
          <w:p>
            <w:pPr>
              <w:pStyle w:val="Compact"/>
              <w:spacing w:before="8" w:after="8" w:line="240" w:lineRule="auto"/>
              <w:ind w:firstLine="0" w:left="0" w:right="0"/>
              <w:jc w:val="right"/>
              <w:jc w:val="center"/>
            </w:pPr>
            <w:r>
              <w:rPr>
                <w:rFonts w:ascii="Calibri" w:hAnsi="Calibri"/>
                <w:sz w:val="15"/>
              </w:rPr>
              <w:t xml:space="preserve">0.0%</w:t>
            </w:r>
          </w:p>
        </w:tc>
      </w:tr>
      <w:tr>
        <w:trPr>
          <w:cantSplit/>
        </w:trPr>
        <w:tc>
          <w:tcPr/>
          <w:p>
            <w:pPr>
              <w:pStyle w:val="Compact"/>
              <w:spacing w:before="8" w:after="8" w:line="240" w:lineRule="auto"/>
              <w:ind w:firstLine="0" w:left="0" w:right="0"/>
              <w:jc w:val="left"/>
              <w:jc w:val="center"/>
            </w:pPr>
            <w:r>
              <w:rPr>
                <w:rFonts w:ascii="Calibri" w:hAnsi="Calibri"/>
                <w:sz w:val="15"/>
              </w:rPr>
              <w:t xml:space="preserve">Firm-year</w:t>
            </w:r>
          </w:p>
        </w:tc>
        <w:tc>
          <w:tcPr/>
          <w:p>
            <w:pPr>
              <w:pStyle w:val="Compact"/>
              <w:spacing w:before="8" w:after="8" w:line="240" w:lineRule="auto"/>
              <w:ind w:firstLine="0" w:left="0" w:right="0"/>
              <w:jc w:val="right"/>
              <w:jc w:val="center"/>
            </w:pPr>
            <w:r>
              <w:rPr>
                <w:rFonts w:ascii="Calibri" w:hAnsi="Calibri"/>
                <w:sz w:val="15"/>
              </w:rPr>
              <w:t xml:space="preserve">2024</w:t>
            </w:r>
          </w:p>
        </w:tc>
        <w:tc>
          <w:tcPr/>
          <w:p>
            <w:pPr>
              <w:pStyle w:val="Compact"/>
              <w:spacing w:before="8" w:after="8" w:line="240" w:lineRule="auto"/>
              <w:ind w:firstLine="0" w:left="0" w:right="0"/>
              <w:jc w:val="right"/>
              <w:jc w:val="center"/>
            </w:pPr>
            <w:r>
              <w:rPr>
                <w:rFonts w:ascii="Calibri" w:hAnsi="Calibri"/>
                <w:sz w:val="15"/>
              </w:rPr>
              <w:t xml:space="preserve">95.2%</w:t>
            </w:r>
          </w:p>
        </w:tc>
        <w:tc>
          <w:tcPr/>
          <w:p>
            <w:pPr>
              <w:pStyle w:val="Compact"/>
              <w:spacing w:before="8" w:after="8" w:line="240" w:lineRule="auto"/>
              <w:ind w:firstLine="0" w:left="0" w:right="0"/>
              <w:jc w:val="right"/>
              <w:jc w:val="center"/>
            </w:pPr>
            <w:r>
              <w:rPr>
                <w:rFonts w:ascii="Calibri" w:hAnsi="Calibri"/>
                <w:sz w:val="15"/>
              </w:rPr>
              <w:t xml:space="preserve">4.6%</w:t>
            </w:r>
          </w:p>
        </w:tc>
        <w:tc>
          <w:tcPr/>
          <w:p>
            <w:pPr>
              <w:pStyle w:val="Compact"/>
              <w:spacing w:before="8" w:after="8" w:line="240" w:lineRule="auto"/>
              <w:ind w:firstLine="0" w:left="0" w:right="0"/>
              <w:jc w:val="right"/>
              <w:jc w:val="center"/>
            </w:pPr>
            <w:r>
              <w:rPr>
                <w:rFonts w:ascii="Calibri" w:hAnsi="Calibri"/>
                <w:sz w:val="15"/>
              </w:rPr>
              <w:t xml:space="preserve">0.0%</w:t>
            </w:r>
          </w:p>
        </w:tc>
      </w:tr>
      <w:tr>
        <w:trPr>
          <w:cantSplit/>
        </w:trPr>
        <w:tc>
          <w:tcPr/>
          <w:p>
            <w:pPr>
              <w:pStyle w:val="Compact"/>
              <w:spacing w:before="8" w:after="8" w:line="240" w:lineRule="auto"/>
              <w:ind w:firstLine="0" w:left="0" w:right="0"/>
              <w:jc w:val="left"/>
              <w:jc w:val="center"/>
            </w:pPr>
            <w:r>
              <w:rPr>
                <w:rFonts w:ascii="Calibri" w:hAnsi="Calibri"/>
                <w:sz w:val="15"/>
              </w:rPr>
              <w:t xml:space="preserve">Firm-year</w:t>
            </w:r>
          </w:p>
        </w:tc>
        <w:tc>
          <w:tcPr/>
          <w:p>
            <w:pPr>
              <w:pStyle w:val="Compact"/>
              <w:spacing w:before="8" w:after="8" w:line="240" w:lineRule="auto"/>
              <w:ind w:firstLine="0" w:left="0" w:right="0"/>
              <w:jc w:val="right"/>
              <w:jc w:val="center"/>
            </w:pPr>
            <w:r>
              <w:rPr>
                <w:rFonts w:ascii="Calibri" w:hAnsi="Calibri"/>
                <w:sz w:val="15"/>
              </w:rPr>
              <w:t xml:space="preserve">2025</w:t>
            </w:r>
          </w:p>
        </w:tc>
        <w:tc>
          <w:tcPr/>
          <w:p>
            <w:pPr>
              <w:pStyle w:val="Compact"/>
              <w:spacing w:before="8" w:after="8" w:line="240" w:lineRule="auto"/>
              <w:ind w:firstLine="0" w:left="0" w:right="0"/>
              <w:jc w:val="right"/>
              <w:jc w:val="center"/>
            </w:pPr>
            <w:r>
              <w:rPr>
                <w:rFonts w:ascii="Calibri" w:hAnsi="Calibri"/>
                <w:sz w:val="15"/>
              </w:rPr>
              <w:t xml:space="preserve">95.1%</w:t>
            </w:r>
          </w:p>
        </w:tc>
        <w:tc>
          <w:tcPr/>
          <w:p>
            <w:pPr>
              <w:pStyle w:val="Compact"/>
              <w:spacing w:before="8" w:after="8" w:line="240" w:lineRule="auto"/>
              <w:ind w:firstLine="0" w:left="0" w:right="0"/>
              <w:jc w:val="right"/>
              <w:jc w:val="center"/>
            </w:pPr>
            <w:r>
              <w:rPr>
                <w:rFonts w:ascii="Calibri" w:hAnsi="Calibri"/>
                <w:sz w:val="15"/>
              </w:rPr>
              <w:t xml:space="preserve">4.5%</w:t>
            </w:r>
          </w:p>
        </w:tc>
        <w:tc>
          <w:tcPr/>
          <w:p>
            <w:pPr>
              <w:pStyle w:val="Compact"/>
              <w:spacing w:before="8" w:after="8" w:line="240" w:lineRule="auto"/>
              <w:ind w:firstLine="0" w:left="0" w:right="0"/>
              <w:jc w:val="right"/>
              <w:jc w:val="center"/>
            </w:pPr>
            <w:r>
              <w:rPr>
                <w:rFonts w:ascii="Calibri" w:hAnsi="Calibri"/>
                <w:sz w:val="15"/>
              </w:rPr>
              <w:t xml:space="preserve">0.0%</w:t>
            </w:r>
          </w:p>
        </w:tc>
      </w:tr>
      <w:tr>
        <w:trPr>
          <w:cantSplit/>
        </w:trPr>
        <w:tc>
          <w:tcPr/>
          <w:p>
            <w:pPr>
              <w:pStyle w:val="Compact"/>
              <w:spacing w:before="8" w:after="8" w:line="240" w:lineRule="auto"/>
              <w:ind w:firstLine="0" w:left="0" w:right="0"/>
              <w:jc w:val="left"/>
              <w:jc w:val="center"/>
            </w:pPr>
            <w:r>
              <w:rPr>
                <w:rFonts w:ascii="Calibri" w:hAnsi="Calibri"/>
                <w:sz w:val="15"/>
              </w:rPr>
              <w:t xml:space="preserve">Firm-year</w:t>
            </w:r>
          </w:p>
        </w:tc>
        <w:tc>
          <w:tcPr/>
          <w:p>
            <w:pPr>
              <w:pStyle w:val="Compact"/>
              <w:spacing w:before="8" w:after="8" w:line="240" w:lineRule="auto"/>
              <w:ind w:firstLine="0" w:left="0" w:right="0"/>
              <w:jc w:val="right"/>
              <w:jc w:val="center"/>
            </w:pPr>
            <w:r>
              <w:rPr>
                <w:rFonts w:ascii="Calibri" w:hAnsi="Calibri"/>
                <w:sz w:val="15"/>
              </w:rPr>
              <w:t xml:space="preserve">2026</w:t>
            </w:r>
          </w:p>
        </w:tc>
        <w:tc>
          <w:tcPr/>
          <w:p>
            <w:pPr>
              <w:pStyle w:val="Compact"/>
              <w:spacing w:before="8" w:after="8" w:line="240" w:lineRule="auto"/>
              <w:ind w:firstLine="0" w:left="0" w:right="0"/>
              <w:jc w:val="right"/>
              <w:jc w:val="center"/>
            </w:pPr>
            <w:r>
              <w:rPr>
                <w:rFonts w:ascii="Calibri" w:hAnsi="Calibri"/>
                <w:sz w:val="15"/>
              </w:rPr>
              <w:t xml:space="preserve">94.9%</w:t>
            </w:r>
          </w:p>
        </w:tc>
        <w:tc>
          <w:tcPr/>
          <w:p>
            <w:pPr>
              <w:pStyle w:val="Compact"/>
              <w:spacing w:before="8" w:after="8" w:line="240" w:lineRule="auto"/>
              <w:ind w:firstLine="0" w:left="0" w:right="0"/>
              <w:jc w:val="right"/>
              <w:jc w:val="center"/>
            </w:pPr>
            <w:r>
              <w:rPr>
                <w:rFonts w:ascii="Calibri" w:hAnsi="Calibri"/>
                <w:sz w:val="15"/>
              </w:rPr>
              <w:t xml:space="preserve">1.9%</w:t>
            </w:r>
          </w:p>
        </w:tc>
        <w:tc>
          <w:tcPr/>
          <w:p>
            <w:pPr>
              <w:pStyle w:val="Compact"/>
              <w:spacing w:before="8" w:after="8" w:line="240" w:lineRule="auto"/>
              <w:ind w:firstLine="0" w:left="0" w:right="0"/>
              <w:jc w:val="right"/>
              <w:jc w:val="center"/>
            </w:pPr>
            <w:r>
              <w:rPr>
                <w:rFonts w:ascii="Calibri" w:hAnsi="Calibri"/>
                <w:sz w:val="15"/>
              </w:rPr>
              <w:t xml:space="preserve">0.0%</w:t>
            </w:r>
          </w:p>
        </w:tc>
      </w:tr>
    </w:tbl>
    <w:bookmarkEnd w:id="186"/>
    <w:p>
      <w:pPr>
        <w:pStyle w:val="FigureNote"/>
        <w:ind w:firstLine="0" w:left="0" w:right="0"/>
        <w:spacing w:before="0" w:after="120"/>
      </w:pPr>
      <w:r>
        <w:rPr>
          <w:i/>
          <w:iCs/>
        </w:rPr>
        <w:t xml:space="preserve">Notes:</w:t>
      </w:r>
      <w:r>
        <w:t xml:space="preserve"> </w:t>
      </w:r>
      <w:r>
        <w:t xml:space="preserve">Coverage, point-in-time source and revenue-basis shares are computed from</w:t>
      </w:r>
      <w:r>
        <w:t xml:space="preserve"> </w:t>
      </w:r>
      <w:r>
        <w:rPr>
          <w:rStyle w:val="VerbatimChar"/>
        </w:rPr>
        <w:t xml:space="preserve">data/gold</w:t>
      </w:r>
      <w:r>
        <w:t xml:space="preserve"> </w:t>
      </w:r>
      <w:r>
        <w:t xml:space="preserve">for the S&amp;P 500 2021-01-01 universe, for statement periods on or after November 1, 2020. The 2026 column is thin because most fiscal-2026 reports were unfiled. Current assets, liabilities and the current ratio are null for real estate, insurance, banking and holding-company codes by construction, not an extraction gap.</w:t>
      </w:r>
    </w:p>
    <w:bookmarkEnd w:id="187"/>
    <w:bookmarkStart w:id="190" w:name="appendix-a8"/>
    <w:p>
      <w:pPr>
        <w:pStyle w:val="Ttulo3"/>
      </w:pPr>
      <w:r>
        <w:t xml:space="preserve">A.8 Market models and event-study estimators</w:t>
      </w:r>
    </w:p>
    <w:p>
      <w:pPr>
        <w:pStyle w:val="FirstParagraph"/>
      </w:pPr>
      <w:r>
        <w:rPr>
          <w:b/>
          <w:bCs/>
        </w:rPr>
        <w:t xml:space="preserve">Return construction.</w:t>
      </w:r>
      <w:r>
        <w:t xml:space="preserve"> </w:t>
      </w:r>
      <w:r>
        <w:t xml:space="preserve">Every daily return in this panel is the percentage change in a dividend-inclusive total-return index, not a price return, so a dividend payment does not register as a price drop. The market benchmark is the S&amp;P 500 total-return index, in excess of the daily risk-free rate from the Ken French data library. The market model estimated for every beta reported in this thesis is:</w:t>
      </w:r>
    </w:p>
    <w:p>
      <w:pPr>
        <w:pStyle w:val="Textoindependiente"/>
      </w:pPr>
      <m:oMathPara>
        <m:oMathParaPr>
          <m:jc m:val="center"/>
        </m:oMathParaPr>
        <m:oMath>
          <m:sSub>
            <m:e>
              <m:r>
                <w:rPr>
                  <w:sz w:val="22"/>
                </w:rPr>
                <m:t>R</m:t>
              </m:r>
            </m:e>
            <m:sub>
              <m:r>
                <w:rPr>
                  <w:sz w:val="22"/>
                </w:rPr>
                <m:t>i</m:t>
              </m:r>
              <m:r>
                <m:rPr>
                  <m:sty m:val="p"/>
                </m:rPr>
                <w:rPr>
                  <w:sz w:val="22"/>
                </w:rPr>
                <m:t>,</m:t>
              </m:r>
              <m:r>
                <w:rPr>
                  <w:sz w:val="22"/>
                </w:rPr>
                <m:t>t</m:t>
              </m:r>
            </m:sub>
          </m:sSub>
          <m:r>
            <m:rPr>
              <m:sty m:val="p"/>
            </m:rPr>
            <w:rPr>
              <w:sz w:val="22"/>
            </w:rPr>
            <m:t>−</m:t>
          </m:r>
          <m:sSub>
            <m:e>
              <m:r>
                <w:rPr>
                  <w:sz w:val="22"/>
                </w:rPr>
                <m:t>R</m:t>
              </m:r>
            </m:e>
            <m:sub>
              <m:r>
                <w:rPr>
                  <w:sz w:val="22"/>
                </w:rPr>
                <m:t>f</m:t>
              </m:r>
              <m:r>
                <m:rPr>
                  <m:sty m:val="p"/>
                </m:rPr>
                <w:rPr>
                  <w:sz w:val="22"/>
                </w:rPr>
                <m:t>,</m:t>
              </m:r>
              <m:r>
                <w:rPr>
                  <w:sz w:val="22"/>
                </w:rPr>
                <m:t>t</m:t>
              </m:r>
            </m:sub>
          </m:sSub>
          <m:r>
            <m:rPr>
              <m:sty m:val="p"/>
            </m:rPr>
            <w:rPr>
              <w:sz w:val="22"/>
            </w:rPr>
            <m:t>=</m:t>
          </m:r>
          <m:sSub>
            <m:e>
              <m:r>
                <w:rPr>
                  <w:sz w:val="22"/>
                </w:rPr>
                <m:t>α</m:t>
              </m:r>
            </m:e>
            <m:sub>
              <m:r>
                <w:rPr>
                  <w:sz w:val="22"/>
                </w:rPr>
                <m:t>i</m:t>
              </m:r>
            </m:sub>
          </m:sSub>
          <m:r>
            <m:rPr>
              <m:sty m:val="p"/>
            </m:rPr>
            <w:rPr>
              <w:sz w:val="22"/>
            </w:rPr>
            <m:t>+</m:t>
          </m:r>
          <m:sSub>
            <m:e>
              <m:r>
                <w:rPr>
                  <w:sz w:val="22"/>
                </w:rPr>
                <m:t>β</m:t>
              </m:r>
            </m:e>
            <m:sub>
              <m:r>
                <w:rPr>
                  <w:sz w:val="22"/>
                </w:rPr>
                <m:t>i</m:t>
              </m:r>
            </m:sub>
          </m:sSub>
          <m:r>
            <w:rPr>
              <w:sz w:val="22"/>
            </w:rPr>
            <m:t> </m:t>
          </m:r>
          <m:sSub>
            <m:e>
              <m:d>
                <m:dPr>
                  <m:begChr m:val="("/>
                  <m:sepChr m:val=""/>
                  <m:endChr m:val=")"/>
                  <m:grow/>
                </m:dPr>
                <m:e>
                  <m:sSub>
                    <m:e>
                      <m:r>
                        <m:rPr>
                          <m:nor/>
                          <m:sty m:val="p"/>
                        </m:rPr>
                        <w:rPr>
                          <w:sz w:val="22"/>
                        </w:rPr>
                        <m:t>MKT</m:t>
                      </m:r>
                    </m:e>
                    <m:sub>
                      <m:r>
                        <m:rPr>
                          <m:nor/>
                          <m:sty m:val="p"/>
                        </m:rPr>
                        <w:rPr>
                          <w:sz w:val="22"/>
                        </w:rPr>
                        <m:t>TR</m:t>
                      </m:r>
                    </m:sub>
                  </m:sSub>
                  <m:r>
                    <m:rPr>
                      <m:sty m:val="p"/>
                    </m:rPr>
                    <w:rPr>
                      <w:sz w:val="22"/>
                    </w:rPr>
                    <m:t>−</m:t>
                  </m:r>
                  <m:sSub>
                    <m:e>
                      <m:r>
                        <w:rPr>
                          <w:sz w:val="22"/>
                        </w:rPr>
                        <m:t>R</m:t>
                      </m:r>
                    </m:e>
                    <m:sub>
                      <m:r>
                        <w:rPr>
                          <w:sz w:val="22"/>
                        </w:rPr>
                        <m:t>f</m:t>
                      </m:r>
                    </m:sub>
                  </m:sSub>
                </m:e>
              </m:d>
            </m:e>
            <m:sub>
              <m:r>
                <w:rPr>
                  <w:sz w:val="22"/>
                </w:rPr>
                <m:t>t</m:t>
              </m:r>
            </m:sub>
          </m:sSub>
          <m:r>
            <m:rPr>
              <m:sty m:val="p"/>
            </m:rPr>
            <w:rPr>
              <w:sz w:val="22"/>
            </w:rPr>
            <m:t>+</m:t>
          </m:r>
          <m:sSub>
            <m:e>
              <m:r>
                <w:rPr>
                  <w:sz w:val="22"/>
                </w:rPr>
                <m:t>ε</m:t>
              </m:r>
            </m:e>
            <m:sub>
              <m:r>
                <w:rPr>
                  <w:sz w:val="22"/>
                </w:rPr>
                <m:t>i</m:t>
              </m:r>
              <m:r>
                <m:rPr>
                  <m:sty m:val="p"/>
                </m:rPr>
                <w:rPr>
                  <w:sz w:val="22"/>
                </w:rPr>
                <m:t>,</m:t>
              </m:r>
              <m:r>
                <w:rPr>
                  <w:sz w:val="22"/>
                </w:rPr>
                <m:t>t</m:t>
              </m:r>
            </m:sub>
          </m:sSub>
        </m:oMath>
      </m:oMathPara>
    </w:p>
    <w:p>
      <w:pPr>
        <w:pStyle w:val="FirstParagraph"/>
      </w:pPr>
      <w:r>
        <w:t xml:space="preserve">where</w:t>
      </w:r>
      <w:r>
        <w:t xml:space="preserve"> </w:t>
      </w:r>
      <m:oMath>
        <m:sSub>
          <m:e>
            <m:r>
              <w:rPr>
                <w:sz w:val="22"/>
              </w:rPr>
              <m:t>R</m:t>
            </m:r>
          </m:e>
          <m:sub>
            <m:r>
              <w:rPr>
                <w:sz w:val="22"/>
              </w:rPr>
              <m:t>i</m:t>
            </m:r>
            <m:r>
              <m:rPr>
                <m:sty m:val="p"/>
              </m:rPr>
              <w:rPr>
                <w:sz w:val="22"/>
              </w:rPr>
              <m:t>,</m:t>
            </m:r>
            <m:r>
              <w:rPr>
                <w:sz w:val="22"/>
              </w:rPr>
              <m:t>t</m:t>
            </m:r>
          </m:sub>
        </m:sSub>
      </m:oMath>
      <w:r>
        <w:t xml:space="preserve"> </w:t>
      </w:r>
      <w:r>
        <w:t xml:space="preserve">is firm</w:t>
      </w:r>
      <w:r>
        <w:t xml:space="preserve"> </w:t>
      </w:r>
      <m:oMath>
        <m:r>
          <w:rPr>
            <w:sz w:val="22"/>
          </w:rPr>
          <m:t>i</m:t>
        </m:r>
      </m:oMath>
      <w:r>
        <w:t xml:space="preserve">’s daily total return,</w:t>
      </w:r>
      <w:r>
        <w:t xml:space="preserve"> </w:t>
      </w:r>
      <m:oMath>
        <m:sSub>
          <m:e>
            <m:r>
              <w:rPr>
                <w:sz w:val="22"/>
              </w:rPr>
              <m:t>R</m:t>
            </m:r>
          </m:e>
          <m:sub>
            <m:r>
              <w:rPr>
                <w:sz w:val="22"/>
              </w:rPr>
              <m:t>f</m:t>
            </m:r>
            <m:r>
              <m:rPr>
                <m:sty m:val="p"/>
              </m:rPr>
              <w:rPr>
                <w:sz w:val="22"/>
              </w:rPr>
              <m:t>,</m:t>
            </m:r>
            <m:r>
              <w:rPr>
                <w:sz w:val="22"/>
              </w:rPr>
              <m:t>t</m:t>
            </m:r>
          </m:sub>
        </m:sSub>
      </m:oMath>
      <w:r>
        <w:t xml:space="preserve"> </w:t>
      </w:r>
      <w:r>
        <w:t xml:space="preserve">the daily risk-free rate, and</w:t>
      </w:r>
      <w:r>
        <w:t xml:space="preserve"> </w:t>
      </w:r>
      <m:oMath>
        <m:sSub>
          <m:e>
            <m:r>
              <m:rPr>
                <m:nor/>
                <m:sty m:val="p"/>
              </m:rPr>
              <w:rPr>
                <w:sz w:val="22"/>
              </w:rPr>
              <m:t>MKT</m:t>
            </m:r>
          </m:e>
          <m:sub>
            <m:r>
              <m:rPr>
                <m:nor/>
                <m:sty m:val="p"/>
              </m:rPr>
              <w:rPr>
                <w:sz w:val="22"/>
              </w:rPr>
              <m:t>TR</m:t>
            </m:r>
            <m:r>
              <m:rPr>
                <m:sty m:val="p"/>
              </m:rPr>
              <w:rPr>
                <w:sz w:val="22"/>
              </w:rPr>
              <m:t>,</m:t>
            </m:r>
            <m:r>
              <w:rPr>
                <w:sz w:val="22"/>
              </w:rPr>
              <m:t>t</m:t>
            </m:r>
          </m:sub>
        </m:sSub>
      </m:oMath>
      <w:r>
        <w:t xml:space="preserve"> </w:t>
      </w:r>
      <w:r>
        <w:t xml:space="preserve">the S&amp;P 500 total-return index’s daily return.</w:t>
      </w:r>
      <w:r>
        <w:t xml:space="preserve"> </w:t>
      </w:r>
      <m:oMath>
        <m:sSub>
          <m:e>
            <m:r>
              <w:rPr>
                <w:sz w:val="22"/>
              </w:rPr>
              <m:t>β</m:t>
            </m:r>
          </m:e>
          <m:sub>
            <m:r>
              <w:rPr>
                <w:sz w:val="22"/>
              </w:rPr>
              <m:t>i</m:t>
            </m:r>
          </m:sub>
        </m:sSub>
      </m:oMath>
      <w:r>
        <w:t xml:space="preserve"> </w:t>
      </w:r>
      <w:r>
        <w:t xml:space="preserve">is estimated by OLS over a window of trading days specific to each analysis grain and direction (pre- or post-event), listed in</w:t>
      </w:r>
      <w:r>
        <w:t xml:space="preserve"> </w:t>
      </w:r>
      <w:hyperlink w:anchor="tbl-a5-beta-windows">
        <w:r>
          <w:rPr>
            <w:rStyle w:val="Hipervnculo"/>
          </w:rPr>
          <w:t xml:space="preserve">Table 35</w:t>
        </w:r>
      </w:hyperlink>
      <w:r>
        <w:t xml:space="preserve">. The idiosyncratic-volatility measure is the standard deviation of</w:t>
      </w:r>
      <w:r>
        <w:t xml:space="preserve"> </w:t>
      </w:r>
      <m:oMath>
        <m:sSub>
          <m:e>
            <m:acc>
              <m:accPr>
                <m:chr m:val="̂"/>
              </m:accPr>
              <m:e>
                <m:r>
                  <w:rPr>
                    <w:sz w:val="22"/>
                  </w:rPr>
                  <m:t>ε</m:t>
                </m:r>
              </m:e>
            </m:acc>
          </m:e>
          <m:sub>
            <m:r>
              <w:rPr>
                <w:sz w:val="22"/>
              </w:rPr>
              <m:t>i</m:t>
            </m:r>
            <m:r>
              <m:rPr>
                <m:sty m:val="p"/>
              </m:rPr>
              <w:rPr>
                <w:sz w:val="22"/>
              </w:rPr>
              <m:t>,</m:t>
            </m:r>
            <m:r>
              <w:rPr>
                <w:sz w:val="22"/>
              </w:rPr>
              <m:t>t</m:t>
            </m:r>
          </m:sub>
        </m:sSub>
      </m:oMath>
      <w:r>
        <w:t xml:space="preserve"> </w:t>
      </w:r>
      <w:r>
        <w:t xml:space="preserve">over the same window, annualized by</w:t>
      </w:r>
      <w:r>
        <w:t xml:space="preserve"> </w:t>
      </w:r>
      <m:oMath>
        <m:rad>
          <m:radPr>
            <m:degHide m:val="on"/>
          </m:radPr>
          <m:deg/>
          <m:e>
            <m:r>
              <w:rPr>
                <w:sz w:val="22"/>
              </w:rPr>
              <m:t>252</m:t>
            </m:r>
          </m:e>
        </m:rad>
      </m:oMath>
      <w:r>
        <w:t xml:space="preserve">. The trading-day index for any point-in-time event date is the first trading day on or after that date; a pre-event window ends the day before that index and a post-event window begins at it.</w:t>
      </w:r>
    </w:p>
    <w:bookmarkStart w:id="191" w:name="tbl-a5-beta-windows"/>
    <w:p>
      <w:pPr>
        <w:keepNext/>
        <w:pStyle w:val="ImageCaption"/>
        <w:jc w:val="left"/>
        <w:spacing w:before="200"/>
        <w:ind w:firstLine="0" w:left="0" w:right="0"/>
      </w:pPr>
      <w:r>
        <w:t xml:space="preserve">Table 35: Beta constructions used across the analysis grains. Every window excludes the trading day of the event itself, and a beta with fewer than the minimum observations is recorded as missing rather than estimated over a truncated window.</w:t>
      </w:r>
    </w:p>
    <w:tbl>
      <w:tblPr>
        <w:tblStyle w:val="Table"/>
        <w:tblW w:type="pct" w:w="5000"/>
        <w:jc w:val="center"/>
        <w:tblLayout w:type="fixed"/>
        <w:tblLook w:firstRow="1" w:lastRow="0" w:firstColumn="0" w:lastColumn="0" w:noHBand="0" w:noVBand="0" w:val="0020"/>
        <w:tblBorders>
          <w:top w:val="single" w:sz="8" w:space="0" w:color="0F172A"/>
          <w:bottom w:val="single" w:sz="8" w:space="0" w:color="0F172A"/>
          <w:left w:val="none"/>
          <w:right w:val="none"/>
          <w:insideH w:val="single" w:sz="4" w:space="0" w:color="E2E8F0"/>
          <w:insideV w:val="none"/>
        </w:tblBorders>
        <w:tblCellMar>
          <w:top w:w="26" w:type="dxa"/>
          <w:bottom w:w="26" w:type="dxa"/>
          <w:left w:w="48" w:type="dxa"/>
          <w:right w:w="48" w:type="dxa"/>
        </w:tblCellMar>
      </w:tblPr>
      <w:tblGrid>
        <w:gridCol w:w="1827"/>
        <w:gridCol w:w="1827"/>
        <w:gridCol w:w="1827"/>
        <w:gridCol w:w="2436"/>
      </w:tblGrid>
      <w:tr>
        <w:trPr>
          <w:tblHeader w:val="on"/>
          <w:cantSplit/>
          <w:tblHeader/>
        </w:trPr>
        <w:tc>
          <w:tcPr>
            <w:shd w:fill="F1F5F9"/>
            <w:tcBorders>
              <w:bottom w:val="single" w:sz="8" w:space="0" w:color="475569"/>
            </w:tcBorders>
          </w:tcPr>
          <w:p>
            <w:pPr>
              <w:pStyle w:val="Compact"/>
              <w:keepNext/>
              <w:spacing w:before="8" w:after="8" w:line="240" w:lineRule="auto"/>
              <w:ind w:firstLine="0" w:left="0" w:right="0"/>
              <w:jc w:val="left"/>
            </w:pPr>
            <w:r>
              <w:rPr>
                <w:rFonts w:ascii="Calibri" w:hAnsi="Calibri"/>
                <w:b/>
                <w:color w:val="0F172A"/>
                <w:sz w:val="16"/>
              </w:rPr>
              <w:t xml:space="preserve">Grain</w:t>
            </w:r>
          </w:p>
        </w:tc>
        <w:tc>
          <w:tcPr>
            <w:shd w:fill="F1F5F9"/>
            <w:tcBorders>
              <w:bottom w:val="single" w:sz="8" w:space="0" w:color="475569"/>
            </w:tcBorders>
          </w:tcPr>
          <w:p>
            <w:pPr>
              <w:pStyle w:val="Compact"/>
              <w:keepNext/>
              <w:spacing w:before="8" w:after="8" w:line="240" w:lineRule="auto"/>
              <w:ind w:firstLine="0" w:left="0" w:right="0"/>
              <w:jc w:val="left"/>
            </w:pPr>
            <w:r>
              <w:rPr>
                <w:rFonts w:ascii="Calibri" w:hAnsi="Calibri"/>
                <w:b/>
                <w:color w:val="0F172A"/>
                <w:sz w:val="16"/>
              </w:rPr>
              <w:t xml:space="preserve">Beta</w:t>
            </w:r>
          </w:p>
        </w:tc>
        <w:tc>
          <w:tcPr>
            <w:shd w:fill="F1F5F9"/>
            <w:tcBorders>
              <w:bottom w:val="single" w:sz="8" w:space="0" w:color="475569"/>
            </w:tcBorders>
          </w:tcPr>
          <w:p>
            <w:pPr>
              <w:pStyle w:val="Compact"/>
              <w:keepNext/>
              <w:spacing w:before="8" w:after="8" w:line="240" w:lineRule="auto"/>
              <w:ind w:firstLine="0" w:left="0" w:right="0"/>
              <w:jc w:val="left"/>
            </w:pPr>
            <w:r>
              <w:rPr>
                <w:rFonts w:ascii="Calibri" w:hAnsi="Calibri"/>
                <w:b/>
                <w:color w:val="0F172A"/>
                <w:sz w:val="16"/>
              </w:rPr>
              <w:t xml:space="preserve">Window (trading days)</w:t>
            </w:r>
          </w:p>
        </w:tc>
        <w:tc>
          <w:tcPr>
            <w:shd w:fill="F1F5F9"/>
            <w:tcBorders>
              <w:bottom w:val="single" w:sz="8" w:space="0" w:color="475569"/>
            </w:tcBorders>
          </w:tcPr>
          <w:p>
            <w:pPr>
              <w:pStyle w:val="Compact"/>
              <w:keepNext/>
              <w:spacing w:before="8" w:after="8" w:line="240" w:lineRule="auto"/>
              <w:ind w:firstLine="0" w:left="0" w:right="0"/>
              <w:jc w:val="right"/>
              <w:jc w:val="center"/>
            </w:pPr>
            <w:r>
              <w:rPr>
                <w:rFonts w:ascii="Calibri" w:hAnsi="Calibri"/>
                <w:b/>
                <w:color w:val="0F172A"/>
                <w:sz w:val="16"/>
              </w:rPr>
              <w:t xml:space="preserve">Minimum observations</w:t>
            </w:r>
          </w:p>
        </w:tc>
      </w:tr>
      <w:tr>
        <w:trPr>
          <w:cantSplit/>
        </w:trPr>
        <w:tc>
          <w:tcPr/>
          <w:p>
            <w:pPr>
              <w:pStyle w:val="Compact"/>
              <w:keepNext/>
              <w:spacing w:before="8" w:after="8" w:line="240" w:lineRule="auto"/>
              <w:ind w:firstLine="0" w:left="0" w:right="0"/>
              <w:jc w:val="left"/>
            </w:pPr>
            <w:r>
              <w:rPr>
                <w:rFonts w:ascii="Calibri" w:hAnsi="Calibri"/>
                <w:sz w:val="16"/>
              </w:rPr>
              <w:t xml:space="preserve">Firm-year</w:t>
            </w:r>
          </w:p>
        </w:tc>
        <w:tc>
          <w:tcPr/>
          <w:p>
            <w:pPr>
              <w:pStyle w:val="Compact"/>
              <w:keepNext/>
              <w:spacing w:before="8" w:after="8" w:line="240" w:lineRule="auto"/>
              <w:ind w:firstLine="0" w:left="0" w:right="0"/>
              <w:jc w:val="left"/>
            </w:pPr>
            <w:r>
              <w:rPr>
                <w:rStyle w:val="VerbatimChar"/>
                <w:rFonts w:ascii="Calibri" w:hAnsi="Calibri"/>
                <w:sz w:val="16"/>
              </w:rPr>
              <w:t xml:space="preserve">beta</w:t>
            </w:r>
          </w:p>
        </w:tc>
        <w:tc>
          <w:tcPr/>
          <w:p>
            <w:pPr>
              <w:pStyle w:val="Compact"/>
              <w:keepNext/>
              <w:spacing w:before="8" w:after="8" w:line="240" w:lineRule="auto"/>
              <w:ind w:firstLine="0" w:left="0" w:right="0"/>
              <w:jc w:val="left"/>
            </w:pPr>
            <w:r>
              <w:rPr>
                <w:rFonts w:ascii="Calibri" w:hAnsi="Calibri"/>
                <w:sz w:val="16"/>
              </w:rPr>
              <w:t xml:space="preserve">252 days before the 10-K filing date</w:t>
            </w:r>
          </w:p>
        </w:tc>
        <w:tc>
          <w:tcPr/>
          <w:p>
            <w:pPr>
              <w:pStyle w:val="Compact"/>
              <w:keepNext/>
              <w:spacing w:before="8" w:after="8" w:line="240" w:lineRule="auto"/>
              <w:ind w:firstLine="0" w:left="0" w:right="0"/>
              <w:jc w:val="right"/>
              <w:jc w:val="center"/>
            </w:pPr>
            <w:r>
              <w:rPr>
                <w:rFonts w:ascii="Calibri" w:hAnsi="Calibri"/>
                <w:sz w:val="16"/>
              </w:rPr>
              <w:t xml:space="preserve">120</w:t>
            </w:r>
          </w:p>
        </w:tc>
      </w:tr>
      <w:tr>
        <w:trPr>
          <w:cantSplit/>
        </w:trPr>
        <w:tc>
          <w:tcPr/>
          <w:p>
            <w:pPr>
              <w:pStyle w:val="Compact"/>
              <w:keepNext/>
              <w:spacing w:before="8" w:after="8" w:line="240" w:lineRule="auto"/>
              <w:ind w:firstLine="0" w:left="0" w:right="0"/>
              <w:jc w:val="left"/>
            </w:pPr>
            <w:r>
              <w:rPr>
                <w:rFonts w:ascii="Calibri" w:hAnsi="Calibri"/>
                <w:sz w:val="16"/>
              </w:rPr>
              <w:t xml:space="preserve">Call</w:t>
            </w:r>
          </w:p>
        </w:tc>
        <w:tc>
          <w:tcPr/>
          <w:p>
            <w:pPr>
              <w:pStyle w:val="Compact"/>
              <w:keepNext/>
              <w:spacing w:before="8" w:after="8" w:line="240" w:lineRule="auto"/>
              <w:ind w:firstLine="0" w:left="0" w:right="0"/>
              <w:jc w:val="left"/>
            </w:pPr>
            <w:r>
              <w:rPr>
                <w:rStyle w:val="VerbatimChar"/>
                <w:rFonts w:ascii="Calibri" w:hAnsi="Calibri"/>
                <w:sz w:val="16"/>
              </w:rPr>
              <w:t xml:space="preserve">beta_pre</w:t>
            </w:r>
          </w:p>
        </w:tc>
        <w:tc>
          <w:tcPr/>
          <w:p>
            <w:pPr>
              <w:pStyle w:val="Compact"/>
              <w:keepNext/>
              <w:spacing w:before="8" w:after="8" w:line="240" w:lineRule="auto"/>
              <w:ind w:firstLine="0" w:left="0" w:right="0"/>
              <w:jc w:val="left"/>
            </w:pPr>
            <w:r>
              <w:rPr>
                <w:rFonts w:ascii="Calibri" w:hAnsi="Calibri"/>
                <w:sz w:val="16"/>
              </w:rPr>
              <w:t xml:space="preserve">252 days before the call date</w:t>
            </w:r>
          </w:p>
        </w:tc>
        <w:tc>
          <w:tcPr/>
          <w:p>
            <w:pPr>
              <w:pStyle w:val="Compact"/>
              <w:keepNext/>
              <w:spacing w:before="8" w:after="8" w:line="240" w:lineRule="auto"/>
              <w:ind w:firstLine="0" w:left="0" w:right="0"/>
              <w:jc w:val="right"/>
              <w:jc w:val="center"/>
            </w:pPr>
            <w:r>
              <w:rPr>
                <w:rFonts w:ascii="Calibri" w:hAnsi="Calibri"/>
                <w:sz w:val="16"/>
              </w:rPr>
              <w:t xml:space="preserve">120</w:t>
            </w:r>
          </w:p>
        </w:tc>
      </w:tr>
      <w:tr>
        <w:trPr>
          <w:cantSplit/>
        </w:trPr>
        <w:tc>
          <w:tcPr/>
          <w:p>
            <w:pPr>
              <w:pStyle w:val="Compact"/>
              <w:keepNext/>
              <w:spacing w:before="8" w:after="8" w:line="240" w:lineRule="auto"/>
              <w:ind w:firstLine="0" w:left="0" w:right="0"/>
              <w:jc w:val="left"/>
            </w:pPr>
            <w:r>
              <w:rPr>
                <w:rFonts w:ascii="Calibri" w:hAnsi="Calibri"/>
                <w:sz w:val="16"/>
              </w:rPr>
              <w:t xml:space="preserve">Call</w:t>
            </w:r>
          </w:p>
        </w:tc>
        <w:tc>
          <w:tcPr/>
          <w:p>
            <w:pPr>
              <w:pStyle w:val="Compact"/>
              <w:keepNext/>
              <w:spacing w:before="8" w:after="8" w:line="240" w:lineRule="auto"/>
              <w:ind w:firstLine="0" w:left="0" w:right="0"/>
              <w:jc w:val="left"/>
            </w:pPr>
            <w:r>
              <w:rPr>
                <w:rStyle w:val="VerbatimChar"/>
                <w:rFonts w:ascii="Calibri" w:hAnsi="Calibri"/>
                <w:sz w:val="16"/>
              </w:rPr>
              <w:t xml:space="preserve">beta_post_63</w:t>
            </w:r>
          </w:p>
        </w:tc>
        <w:tc>
          <w:tcPr/>
          <w:p>
            <w:pPr>
              <w:pStyle w:val="Compact"/>
              <w:keepNext/>
              <w:spacing w:before="8" w:after="8" w:line="240" w:lineRule="auto"/>
              <w:ind w:firstLine="0" w:left="0" w:right="0"/>
              <w:jc w:val="left"/>
            </w:pPr>
            <w:r>
              <w:rPr>
                <w:rFonts w:ascii="Calibri" w:hAnsi="Calibri"/>
                <w:sz w:val="16"/>
              </w:rPr>
              <w:t xml:space="preserve">[+21, +63) after the call date, 42 days</w:t>
            </w:r>
          </w:p>
        </w:tc>
        <w:tc>
          <w:tcPr/>
          <w:p>
            <w:pPr>
              <w:pStyle w:val="Compact"/>
              <w:keepNext/>
              <w:spacing w:before="8" w:after="8" w:line="240" w:lineRule="auto"/>
              <w:ind w:firstLine="0" w:left="0" w:right="0"/>
              <w:jc w:val="right"/>
              <w:jc w:val="center"/>
            </w:pPr>
            <w:r>
              <w:rPr>
                <w:rFonts w:ascii="Calibri" w:hAnsi="Calibri"/>
                <w:sz w:val="16"/>
              </w:rPr>
              <w:t xml:space="preserve">40</w:t>
            </w:r>
          </w:p>
        </w:tc>
      </w:tr>
      <w:tr>
        <w:trPr>
          <w:cantSplit/>
        </w:trPr>
        <w:tc>
          <w:tcPr/>
          <w:p>
            <w:pPr>
              <w:pStyle w:val="Compact"/>
              <w:keepNext/>
              <w:spacing w:before="8" w:after="8" w:line="240" w:lineRule="auto"/>
              <w:ind w:firstLine="0" w:left="0" w:right="0"/>
              <w:jc w:val="left"/>
            </w:pPr>
            <w:r>
              <w:rPr>
                <w:rFonts w:ascii="Calibri" w:hAnsi="Calibri"/>
                <w:sz w:val="16"/>
              </w:rPr>
              <w:t xml:space="preserve">Call</w:t>
            </w:r>
          </w:p>
        </w:tc>
        <w:tc>
          <w:tcPr/>
          <w:p>
            <w:pPr>
              <w:pStyle w:val="Compact"/>
              <w:keepNext/>
              <w:spacing w:before="8" w:after="8" w:line="240" w:lineRule="auto"/>
              <w:ind w:firstLine="0" w:left="0" w:right="0"/>
              <w:jc w:val="left"/>
            </w:pPr>
            <w:r>
              <w:rPr>
                <w:rStyle w:val="VerbatimChar"/>
                <w:rFonts w:ascii="Calibri" w:hAnsi="Calibri"/>
                <w:sz w:val="16"/>
              </w:rPr>
              <w:t xml:space="preserve">beta_post_126</w:t>
            </w:r>
          </w:p>
        </w:tc>
        <w:tc>
          <w:tcPr/>
          <w:p>
            <w:pPr>
              <w:pStyle w:val="Compact"/>
              <w:keepNext/>
              <w:spacing w:before="8" w:after="8" w:line="240" w:lineRule="auto"/>
              <w:ind w:firstLine="0" w:left="0" w:right="0"/>
              <w:jc w:val="left"/>
            </w:pPr>
            <w:r>
              <w:rPr>
                <w:rFonts w:ascii="Calibri" w:hAnsi="Calibri"/>
                <w:sz w:val="16"/>
              </w:rPr>
              <w:t xml:space="preserve">[+21, +126) after the call date, 105 days</w:t>
            </w:r>
          </w:p>
        </w:tc>
        <w:tc>
          <w:tcPr/>
          <w:p>
            <w:pPr>
              <w:pStyle w:val="Compact"/>
              <w:keepNext/>
              <w:spacing w:before="8" w:after="8" w:line="240" w:lineRule="auto"/>
              <w:ind w:firstLine="0" w:left="0" w:right="0"/>
              <w:jc w:val="right"/>
              <w:jc w:val="center"/>
            </w:pPr>
            <w:r>
              <w:rPr>
                <w:rFonts w:ascii="Calibri" w:hAnsi="Calibri"/>
                <w:sz w:val="16"/>
              </w:rPr>
              <w:t xml:space="preserve">100</w:t>
            </w:r>
          </w:p>
        </w:tc>
      </w:tr>
      <w:tr>
        <w:trPr>
          <w:cantSplit/>
        </w:trPr>
        <w:tc>
          <w:tcPr/>
          <w:p>
            <w:pPr>
              <w:pStyle w:val="Compact"/>
              <w:keepNext/>
              <w:spacing w:before="8" w:after="8" w:line="240" w:lineRule="auto"/>
              <w:ind w:firstLine="0" w:left="0" w:right="0"/>
              <w:jc w:val="left"/>
            </w:pPr>
            <w:r>
              <w:rPr>
                <w:rFonts w:ascii="Calibri" w:hAnsi="Calibri"/>
                <w:sz w:val="16"/>
              </w:rPr>
              <w:t xml:space="preserve">Call</w:t>
            </w:r>
          </w:p>
        </w:tc>
        <w:tc>
          <w:tcPr/>
          <w:p>
            <w:pPr>
              <w:pStyle w:val="Compact"/>
              <w:keepNext/>
              <w:spacing w:before="8" w:after="8" w:line="240" w:lineRule="auto"/>
              <w:ind w:firstLine="0" w:left="0" w:right="0"/>
              <w:jc w:val="left"/>
            </w:pPr>
            <w:r>
              <w:rPr>
                <w:rStyle w:val="VerbatimChar"/>
                <w:rFonts w:ascii="Calibri" w:hAnsi="Calibri"/>
                <w:sz w:val="16"/>
              </w:rPr>
              <w:t xml:space="preserve">beta_post_252</w:t>
            </w:r>
          </w:p>
        </w:tc>
        <w:tc>
          <w:tcPr/>
          <w:p>
            <w:pPr>
              <w:pStyle w:val="Compact"/>
              <w:keepNext/>
              <w:spacing w:before="8" w:after="8" w:line="240" w:lineRule="auto"/>
              <w:ind w:firstLine="0" w:left="0" w:right="0"/>
              <w:jc w:val="left"/>
            </w:pPr>
            <w:r>
              <w:rPr>
                <w:rFonts w:ascii="Calibri" w:hAnsi="Calibri"/>
                <w:sz w:val="16"/>
              </w:rPr>
              <w:t xml:space="preserve">[+21, +252) after the call date, 231 days</w:t>
            </w:r>
          </w:p>
        </w:tc>
        <w:tc>
          <w:tcPr/>
          <w:p>
            <w:pPr>
              <w:pStyle w:val="Compact"/>
              <w:keepNext/>
              <w:spacing w:before="8" w:after="8" w:line="240" w:lineRule="auto"/>
              <w:ind w:firstLine="0" w:left="0" w:right="0"/>
              <w:jc w:val="right"/>
              <w:jc w:val="center"/>
            </w:pPr>
            <w:r>
              <w:rPr>
                <w:rFonts w:ascii="Calibri" w:hAnsi="Calibri"/>
                <w:sz w:val="16"/>
              </w:rPr>
              <w:t xml:space="preserve">219</w:t>
            </w:r>
          </w:p>
        </w:tc>
      </w:tr>
      <w:tr>
        <w:trPr>
          <w:cantSplit/>
        </w:trPr>
        <w:tc>
          <w:tcPr/>
          <w:p>
            <w:pPr>
              <w:pStyle w:val="Compact"/>
              <w:keepNext/>
              <w:spacing w:before="8" w:after="8" w:line="240" w:lineRule="auto"/>
              <w:ind w:firstLine="0" w:left="0" w:right="0"/>
              <w:jc w:val="left"/>
            </w:pPr>
            <w:r>
              <w:rPr>
                <w:rFonts w:ascii="Calibri" w:hAnsi="Calibri"/>
                <w:sz w:val="16"/>
              </w:rPr>
              <w:t xml:space="preserve">Firm-quarter</w:t>
            </w:r>
          </w:p>
        </w:tc>
        <w:tc>
          <w:tcPr/>
          <w:p>
            <w:pPr>
              <w:pStyle w:val="Compact"/>
              <w:keepNext/>
              <w:spacing w:before="8" w:after="8" w:line="240" w:lineRule="auto"/>
              <w:ind w:firstLine="0" w:left="0" w:right="0"/>
              <w:jc w:val="left"/>
            </w:pPr>
            <w:r>
              <w:rPr>
                <w:rStyle w:val="VerbatimChar"/>
                <w:rFonts w:ascii="Calibri" w:hAnsi="Calibri"/>
                <w:sz w:val="16"/>
              </w:rPr>
              <w:t xml:space="preserve">beta_pre_252</w:t>
            </w:r>
          </w:p>
        </w:tc>
        <w:tc>
          <w:tcPr/>
          <w:p>
            <w:pPr>
              <w:pStyle w:val="Compact"/>
              <w:keepNext/>
              <w:spacing w:before="8" w:after="8" w:line="240" w:lineRule="auto"/>
              <w:ind w:firstLine="0" w:left="0" w:right="0"/>
              <w:jc w:val="left"/>
            </w:pPr>
            <w:r>
              <w:rPr>
                <w:rFonts w:ascii="Calibri" w:hAnsi="Calibri"/>
                <w:sz w:val="16"/>
              </w:rPr>
              <w:t xml:space="preserve">252 days before the quarter’s as-of date</w:t>
            </w:r>
          </w:p>
        </w:tc>
        <w:tc>
          <w:tcPr/>
          <w:p>
            <w:pPr>
              <w:pStyle w:val="Compact"/>
              <w:keepNext/>
              <w:spacing w:before="8" w:after="8" w:line="240" w:lineRule="auto"/>
              <w:ind w:firstLine="0" w:left="0" w:right="0"/>
              <w:jc w:val="right"/>
              <w:jc w:val="center"/>
            </w:pPr>
            <w:r>
              <w:rPr>
                <w:rFonts w:ascii="Calibri" w:hAnsi="Calibri"/>
                <w:sz w:val="16"/>
              </w:rPr>
              <w:t xml:space="preserve">120</w:t>
            </w:r>
          </w:p>
        </w:tc>
      </w:tr>
      <w:tr>
        <w:trPr>
          <w:cantSplit/>
        </w:trPr>
        <w:tc>
          <w:tcPr/>
          <w:p>
            <w:pPr>
              <w:pStyle w:val="Compact"/>
              <w:spacing w:before="8" w:after="8" w:line="240" w:lineRule="auto"/>
              <w:ind w:firstLine="0" w:left="0" w:right="0"/>
              <w:jc w:val="left"/>
            </w:pPr>
            <w:r>
              <w:rPr>
                <w:rFonts w:ascii="Calibri" w:hAnsi="Calibri"/>
                <w:sz w:val="16"/>
              </w:rPr>
              <w:t xml:space="preserve">Firm-quarter</w:t>
            </w:r>
          </w:p>
        </w:tc>
        <w:tc>
          <w:tcPr/>
          <w:p>
            <w:pPr>
              <w:pStyle w:val="Compact"/>
              <w:spacing w:before="8" w:after="8" w:line="240" w:lineRule="auto"/>
              <w:ind w:firstLine="0" w:left="0" w:right="0"/>
              <w:jc w:val="left"/>
            </w:pPr>
            <w:r>
              <w:rPr>
                <w:rStyle w:val="VerbatimChar"/>
                <w:rFonts w:ascii="Calibri" w:hAnsi="Calibri"/>
                <w:sz w:val="16"/>
              </w:rPr>
              <w:t xml:space="preserve">beta_post_63</w:t>
            </w:r>
          </w:p>
        </w:tc>
        <w:tc>
          <w:tcPr/>
          <w:p>
            <w:pPr>
              <w:pStyle w:val="Compact"/>
              <w:spacing w:before="8" w:after="8" w:line="240" w:lineRule="auto"/>
              <w:ind w:firstLine="0" w:left="0" w:right="0"/>
              <w:jc w:val="left"/>
            </w:pPr>
            <w:r>
              <w:rPr>
                <w:rFonts w:ascii="Calibri" w:hAnsi="Calibri"/>
                <w:sz w:val="16"/>
              </w:rPr>
              <w:t xml:space="preserve">63 days after the quarter’s as-of date</w:t>
            </w:r>
          </w:p>
        </w:tc>
        <w:tc>
          <w:tcPr/>
          <w:p>
            <w:pPr>
              <w:pStyle w:val="Compact"/>
              <w:spacing w:before="8" w:after="8" w:line="240" w:lineRule="auto"/>
              <w:ind w:firstLine="0" w:left="0" w:right="0"/>
              <w:jc w:val="right"/>
              <w:jc w:val="center"/>
            </w:pPr>
            <w:r>
              <w:rPr>
                <w:rFonts w:ascii="Calibri" w:hAnsi="Calibri"/>
                <w:sz w:val="16"/>
              </w:rPr>
              <w:t xml:space="preserve">60</w:t>
            </w:r>
          </w:p>
        </w:tc>
      </w:tr>
    </w:tbl>
    <w:bookmarkEnd w:id="188"/>
    <w:p/>
    <w:p>
      <w:pPr>
        <w:pStyle w:val="Textoindependiente"/>
      </w:pPr>
      <w:r>
        <w:rPr>
          <w:b/>
          <w:bCs/>
        </w:rPr>
        <w:t xml:space="preserve">Beta shift.</w:t>
      </w:r>
      <w:r>
        <w:t xml:space="preserve"> </w:t>
      </w:r>
      <w:r>
        <w:t xml:space="preserve">The market-relevance regressions in the Market Relevance of Disclosure Signals chapter estimate a beta</w:t>
      </w:r>
      <w:r>
        <w:t xml:space="preserve"> </w:t>
      </w:r>
      <w:r>
        <w:rPr>
          <w:i/>
          <w:iCs/>
        </w:rPr>
        <w:t xml:space="preserve">shift</w:t>
      </w:r>
      <w:r>
        <w:t xml:space="preserve"> </w:t>
      </w:r>
      <w:r>
        <w:t xml:space="preserve">around each call rather than a single post-call level: one pooled regression per call over the trading days</w:t>
      </w:r>
      <w:r>
        <w:t xml:space="preserve"> </w:t>
      </w:r>
      <m:oMath>
        <m:r>
          <m:rPr>
            <m:sty m:val="p"/>
          </m:rPr>
          <w:rPr>
            <w:sz w:val="22"/>
          </w:rPr>
          <m:t>[</m:t>
        </m:r>
        <m:r>
          <m:rPr>
            <m:sty m:val="p"/>
          </m:rPr>
          <w:rPr>
            <w:sz w:val="22"/>
          </w:rPr>
          <m:t>−</m:t>
        </m:r>
        <m:r>
          <w:rPr>
            <w:sz w:val="22"/>
          </w:rPr>
          <m:t>63</m:t>
        </m:r>
        <m:r>
          <m:rPr>
            <m:sty m:val="p"/>
          </m:rPr>
          <w:rPr>
            <w:sz w:val="22"/>
          </w:rPr>
          <m:t>,</m:t>
        </m:r>
        <m:r>
          <m:rPr>
            <m:sty m:val="p"/>
          </m:rPr>
          <w:rPr>
            <w:sz w:val="22"/>
          </w:rPr>
          <m:t>−</m:t>
        </m:r>
        <m:r>
          <w:rPr>
            <w:sz w:val="22"/>
          </w:rPr>
          <m:t>21</m:t>
        </m:r>
        <m:r>
          <m:rPr>
            <m:sty m:val="p"/>
          </m:rPr>
          <w:rPr>
            <w:sz w:val="22"/>
          </w:rPr>
          <m:t>)</m:t>
        </m:r>
      </m:oMath>
      <w:r>
        <w:t xml:space="preserve"> </w:t>
      </w:r>
      <w:r>
        <w:t xml:space="preserve">before the call and</w:t>
      </w:r>
      <w:r>
        <w:t xml:space="preserve"> </w:t>
      </w:r>
      <m:oMath>
        <m:r>
          <m:rPr>
            <m:sty m:val="p"/>
          </m:rPr>
          <w:rPr>
            <w:sz w:val="22"/>
          </w:rPr>
          <m:t>[</m:t>
        </m:r>
        <m:r>
          <m:rPr>
            <m:sty m:val="p"/>
          </m:rPr>
          <w:rPr>
            <w:sz w:val="22"/>
          </w:rPr>
          <m:t>+</m:t>
        </m:r>
        <m:r>
          <w:rPr>
            <w:sz w:val="22"/>
          </w:rPr>
          <m:t>21</m:t>
        </m:r>
        <m:r>
          <m:rPr>
            <m:sty m:val="p"/>
          </m:rPr>
          <w:rPr>
            <w:sz w:val="22"/>
          </w:rPr>
          <m:t>,</m:t>
        </m:r>
        <m:r>
          <m:rPr>
            <m:sty m:val="p"/>
          </m:rPr>
          <w:rPr>
            <w:sz w:val="22"/>
          </w:rPr>
          <m:t>+</m:t>
        </m:r>
        <m:r>
          <w:rPr>
            <w:sz w:val="22"/>
          </w:rPr>
          <m:t>63</m:t>
        </m:r>
        <m:r>
          <m:rPr>
            <m:sty m:val="p"/>
          </m:rPr>
          <w:rPr>
            <w:sz w:val="22"/>
          </w:rPr>
          <m:t>)</m:t>
        </m:r>
      </m:oMath>
      <w:r>
        <w:t xml:space="preserve"> </w:t>
      </w:r>
      <w:r>
        <w:t xml:space="preserve">after it,</w:t>
      </w:r>
    </w:p>
    <w:p>
      <w:pPr>
        <w:pStyle w:val="Textoindependiente"/>
      </w:pPr>
      <m:oMathPara>
        <m:oMathParaPr>
          <m:jc m:val="center"/>
        </m:oMathParaPr>
        <m:oMath>
          <m:d>
            <m:dPr>
              <m:begChr m:val="("/>
              <m:sepChr m:val=""/>
              <m:endChr m:val=")"/>
              <m:grow/>
            </m:dPr>
            <m:e>
              <m:sSub>
                <m:e>
                  <m:r>
                    <w:rPr>
                      <w:sz w:val="22"/>
                    </w:rPr>
                    <m:t>R</m:t>
                  </m:r>
                </m:e>
                <m:sub>
                  <m:r>
                    <w:rPr>
                      <w:sz w:val="22"/>
                    </w:rPr>
                    <m:t>i</m:t>
                  </m:r>
                  <m:r>
                    <m:rPr>
                      <m:sty m:val="p"/>
                    </m:rPr>
                    <w:rPr>
                      <w:sz w:val="22"/>
                    </w:rPr>
                    <m:t>,</m:t>
                  </m:r>
                  <m:r>
                    <w:rPr>
                      <w:sz w:val="22"/>
                    </w:rPr>
                    <m:t>d</m:t>
                  </m:r>
                </m:sub>
              </m:sSub>
              <m:r>
                <m:rPr>
                  <m:sty m:val="p"/>
                </m:rPr>
                <w:rPr>
                  <w:sz w:val="22"/>
                </w:rPr>
                <m:t>−</m:t>
              </m:r>
              <m:sSub>
                <m:e>
                  <m:r>
                    <w:rPr>
                      <w:sz w:val="22"/>
                    </w:rPr>
                    <m:t>R</m:t>
                  </m:r>
                </m:e>
                <m:sub>
                  <m:r>
                    <w:rPr>
                      <w:sz w:val="22"/>
                    </w:rPr>
                    <m:t>f</m:t>
                  </m:r>
                  <m:r>
                    <m:rPr>
                      <m:sty m:val="p"/>
                    </m:rPr>
                    <w:rPr>
                      <w:sz w:val="22"/>
                    </w:rPr>
                    <m:t>,</m:t>
                  </m:r>
                  <m:r>
                    <w:rPr>
                      <w:sz w:val="22"/>
                    </w:rPr>
                    <m:t>d</m:t>
                  </m:r>
                </m:sub>
              </m:sSub>
            </m:e>
          </m:d>
          <m:r>
            <m:rPr>
              <m:sty m:val="p"/>
            </m:rPr>
            <w:rPr>
              <w:sz w:val="22"/>
            </w:rPr>
            <m:t>=</m:t>
          </m:r>
          <m:r>
            <w:rPr>
              <w:sz w:val="22"/>
            </w:rPr>
            <m:t>α</m:t>
          </m:r>
          <m:r>
            <m:rPr>
              <m:sty m:val="p"/>
            </m:rPr>
            <w:rPr>
              <w:sz w:val="22"/>
            </w:rPr>
            <m:t>+</m:t>
          </m:r>
          <m:r>
            <w:rPr>
              <w:sz w:val="22"/>
            </w:rPr>
            <m:t>β</m:t>
          </m:r>
          <m:r>
            <w:rPr>
              <w:sz w:val="22"/>
            </w:rPr>
            <m:t> </m:t>
          </m:r>
          <m:sSub>
            <m:e>
              <m:r>
                <m:rPr>
                  <m:nor/>
                  <m:sty m:val="p"/>
                </m:rPr>
                <w:rPr>
                  <w:sz w:val="22"/>
                </w:rPr>
                <m:t>MKT</m:t>
              </m:r>
            </m:e>
            <m:sub>
              <m:r>
                <w:rPr>
                  <w:sz w:val="22"/>
                </w:rPr>
                <m:t>d</m:t>
              </m:r>
            </m:sub>
          </m:sSub>
          <m:r>
            <m:rPr>
              <m:sty m:val="p"/>
            </m:rPr>
            <w:rPr>
              <w:sz w:val="22"/>
            </w:rPr>
            <m:t>+</m:t>
          </m:r>
          <m:r>
            <w:rPr>
              <w:sz w:val="22"/>
            </w:rPr>
            <m:t>Δ</m:t>
          </m:r>
          <m:r>
            <w:rPr>
              <w:sz w:val="22"/>
            </w:rPr>
            <m:t>α</m:t>
          </m:r>
          <m:r>
            <w:rPr>
              <w:sz w:val="22"/>
            </w:rPr>
            <m:t> </m:t>
          </m:r>
          <m:sSub>
            <m:e>
              <m:r>
                <m:rPr>
                  <m:nor/>
                  <m:sty m:val="p"/>
                </m:rPr>
                <w:rPr>
                  <w:sz w:val="22"/>
                </w:rPr>
                <m:t>POST</m:t>
              </m:r>
            </m:e>
            <m:sub>
              <m:r>
                <w:rPr>
                  <w:sz w:val="22"/>
                </w:rPr>
                <m:t>d</m:t>
              </m:r>
            </m:sub>
          </m:sSub>
          <m:r>
            <m:rPr>
              <m:sty m:val="p"/>
            </m:rPr>
            <w:rPr>
              <w:sz w:val="22"/>
            </w:rPr>
            <m:t>+</m:t>
          </m:r>
          <m:r>
            <w:rPr>
              <w:sz w:val="22"/>
            </w:rPr>
            <m:t>Δ</m:t>
          </m:r>
          <m:r>
            <w:rPr>
              <w:sz w:val="22"/>
            </w:rPr>
            <m:t>β</m:t>
          </m:r>
          <m:r>
            <w:rPr>
              <w:sz w:val="22"/>
            </w:rPr>
            <m:t> </m:t>
          </m:r>
          <m:d>
            <m:dPr>
              <m:begChr m:val="("/>
              <m:sepChr m:val=""/>
              <m:endChr m:val=")"/>
              <m:grow/>
            </m:dPr>
            <m:e>
              <m:sSub>
                <m:e>
                  <m:r>
                    <m:rPr>
                      <m:nor/>
                      <m:sty m:val="p"/>
                    </m:rPr>
                    <w:rPr>
                      <w:sz w:val="22"/>
                    </w:rPr>
                    <m:t>POST</m:t>
                  </m:r>
                </m:e>
                <m:sub>
                  <m:r>
                    <w:rPr>
                      <w:sz w:val="22"/>
                    </w:rPr>
                    <m:t>d</m:t>
                  </m:r>
                </m:sub>
              </m:sSub>
              <m:r>
                <m:rPr>
                  <m:sty m:val="p"/>
                </m:rPr>
                <w:rPr>
                  <w:sz w:val="22"/>
                </w:rPr>
                <m:t>×</m:t>
              </m:r>
              <m:sSub>
                <m:e>
                  <m:r>
                    <m:rPr>
                      <m:nor/>
                      <m:sty m:val="p"/>
                    </m:rPr>
                    <w:rPr>
                      <w:sz w:val="22"/>
                    </w:rPr>
                    <m:t>MKT</m:t>
                  </m:r>
                </m:e>
                <m:sub>
                  <m:r>
                    <w:rPr>
                      <w:sz w:val="22"/>
                    </w:rPr>
                    <m:t>d</m:t>
                  </m:r>
                </m:sub>
              </m:sSub>
            </m:e>
          </m:d>
          <m:r>
            <m:rPr>
              <m:sty m:val="p"/>
            </m:rPr>
            <w:rPr>
              <w:sz w:val="22"/>
            </w:rPr>
            <m:t>+</m:t>
          </m:r>
          <m:sSub>
            <m:e>
              <m:r>
                <w:rPr>
                  <w:sz w:val="22"/>
                </w:rPr>
                <m:t>ε</m:t>
              </m:r>
            </m:e>
            <m:sub>
              <m:r>
                <w:rPr>
                  <w:sz w:val="22"/>
                </w:rPr>
                <m:t>d</m:t>
              </m:r>
            </m:sub>
          </m:sSub>
          <m:r>
            <m:rPr>
              <m:sty m:val="p"/>
            </m:rPr>
            <w:rPr>
              <w:sz w:val="22"/>
            </w:rPr>
            <m:t>,</m:t>
          </m:r>
        </m:oMath>
      </m:oMathPara>
    </w:p>
    <w:p>
      <w:pPr>
        <w:pStyle w:val="FirstParagraph"/>
      </w:pPr>
      <w:r>
        <w:t xml:space="preserve">where</w:t>
      </w:r>
      <w:r>
        <w:t xml:space="preserve"> </w:t>
      </w:r>
      <m:oMath>
        <m:sSub>
          <m:e>
            <m:r>
              <m:rPr>
                <m:nor/>
                <m:sty m:val="p"/>
              </m:rPr>
              <w:rPr>
                <w:sz w:val="22"/>
              </w:rPr>
              <m:t>POST</m:t>
            </m:r>
          </m:e>
          <m:sub>
            <m:r>
              <w:rPr>
                <w:sz w:val="22"/>
              </w:rPr>
              <m:t>d</m:t>
            </m:r>
          </m:sub>
        </m:sSub>
      </m:oMath>
      <w:r>
        <w:t xml:space="preserve"> </w:t>
      </w:r>
      <w:r>
        <w:t xml:space="preserve">indicates a post-call trading day</w:t>
      </w:r>
      <w:r>
        <w:t xml:space="preserve"> </w:t>
      </w:r>
      <w:r>
        <w:t xml:space="preserve">(</w:t>
      </w:r>
      <w:hyperlink w:anchor="ref-brenner1979">
        <w:r>
          <w:rPr>
            <w:rStyle w:val="Hipervnculo"/>
          </w:rPr>
          <w:t xml:space="preserve">Brenner 1979</w:t>
        </w:r>
      </w:hyperlink>
      <w:r>
        <w:t xml:space="preserve">)</w:t>
      </w:r>
      <w:r>
        <w:t xml:space="preserve">.</w:t>
      </w:r>
      <w:r>
        <w:t xml:space="preserve"> </w:t>
      </w:r>
      <m:oMath>
        <m:r>
          <w:rPr>
            <w:sz w:val="22"/>
          </w:rPr>
          <m:t>Δ</m:t>
        </m:r>
        <m:r>
          <w:rPr>
            <w:sz w:val="22"/>
          </w:rPr>
          <m:t>β</m:t>
        </m:r>
      </m:oMath>
      <w:r>
        <w:t xml:space="preserve"> </w:t>
      </w:r>
      <w:r>
        <w:t xml:space="preserve">(</w:t>
      </w:r>
      <w:r>
        <w:rPr>
          <w:rStyle w:val="VerbatimChar"/>
        </w:rPr>
        <w:t xml:space="preserve">beta_shift_delta</w:t>
      </w:r>
      <w:r>
        <w:t xml:space="preserve">) is the outcome; the pre-call slope</w:t>
      </w:r>
      <w:r>
        <w:t xml:space="preserve"> </w:t>
      </w:r>
      <m:oMath>
        <m:r>
          <w:rPr>
            <w:sz w:val="22"/>
          </w:rPr>
          <m:t>β</m:t>
        </m:r>
      </m:oMath>
      <w:r>
        <w:t xml:space="preserve"> </w:t>
      </w:r>
      <w:r>
        <w:t xml:space="preserve">(</w:t>
      </w:r>
      <w:r>
        <w:rPr>
          <w:rStyle w:val="VerbatimChar"/>
        </w:rPr>
        <w:t xml:space="preserve">beta_shift_pre</w:t>
      </w:r>
      <w:r>
        <w:t xml:space="preserve">) is its own natural pre-call control. Pooling the two 42-day windows into one residual-variance estimate, rather than differencing two separately fitted betas, is the design Brenner (1979) proposes for detecting a shift in systematic risk around an event; at least 40 observations are required on each side.</w:t>
      </w:r>
    </w:p>
    <w:p>
      <w:pPr>
        <w:pStyle w:val="Textoindependiente"/>
      </w:pPr>
      <w:r>
        <w:rPr>
          <w:b/>
          <w:bCs/>
        </w:rPr>
        <w:t xml:space="preserve">Weekly crash risk.</w:t>
      </w:r>
      <w:r>
        <w:t xml:space="preserve"> </w:t>
      </w:r>
      <w:r>
        <w:t xml:space="preserve">Negative return skewness (NCSKEW) and down-to-up volatility (DUVOL) are computed from the residuals of an expanded weekly market model with two leading and two lagging weeks</w:t>
      </w:r>
      <w:r>
        <w:t xml:space="preserve"> </w:t>
      </w:r>
      <w:r>
        <w:t xml:space="preserve">(</w:t>
      </w:r>
      <w:hyperlink w:anchor="ref-chen2001">
        <w:r>
          <w:rPr>
            <w:rStyle w:val="Hipervnculo"/>
          </w:rPr>
          <w:t xml:space="preserve">Joseph Chen, Hong, and Stein 2001</w:t>
        </w:r>
      </w:hyperlink>
      <w:r>
        <w:t xml:space="preserve">)</w:t>
      </w:r>
      <w:r>
        <w:t xml:space="preserve">,</w:t>
      </w:r>
    </w:p>
    <w:p>
      <w:pPr>
        <w:pStyle w:val="Textoindependiente"/>
      </w:pPr>
      <m:oMathPara>
        <m:oMathParaPr>
          <m:jc m:val="center"/>
        </m:oMathParaPr>
        <m:oMath>
          <m:d>
            <m:dPr>
              <m:begChr m:val="("/>
              <m:sepChr m:val=""/>
              <m:endChr m:val=")"/>
              <m:grow/>
            </m:dPr>
            <m:e>
              <m:sSub>
                <m:e>
                  <m:r>
                    <w:rPr>
                      <w:sz w:val="22"/>
                    </w:rPr>
                    <m:t>R</m:t>
                  </m:r>
                </m:e>
                <m:sub>
                  <m:r>
                    <w:rPr>
                      <w:sz w:val="22"/>
                    </w:rPr>
                    <m:t>i</m:t>
                  </m:r>
                  <m:r>
                    <m:rPr>
                      <m:sty m:val="p"/>
                    </m:rPr>
                    <w:rPr>
                      <w:sz w:val="22"/>
                    </w:rPr>
                    <m:t>,</m:t>
                  </m:r>
                  <m:r>
                    <w:rPr>
                      <w:sz w:val="22"/>
                    </w:rPr>
                    <m:t>w</m:t>
                  </m:r>
                </m:sub>
              </m:sSub>
              <m:r>
                <m:rPr>
                  <m:sty m:val="p"/>
                </m:rPr>
                <w:rPr>
                  <w:sz w:val="22"/>
                </w:rPr>
                <m:t>−</m:t>
              </m:r>
              <m:sSub>
                <m:e>
                  <m:r>
                    <w:rPr>
                      <w:sz w:val="22"/>
                    </w:rPr>
                    <m:t>R</m:t>
                  </m:r>
                </m:e>
                <m:sub>
                  <m:r>
                    <w:rPr>
                      <w:sz w:val="22"/>
                    </w:rPr>
                    <m:t>f</m:t>
                  </m:r>
                  <m:r>
                    <m:rPr>
                      <m:sty m:val="p"/>
                    </m:rPr>
                    <w:rPr>
                      <w:sz w:val="22"/>
                    </w:rPr>
                    <m:t>,</m:t>
                  </m:r>
                  <m:r>
                    <w:rPr>
                      <w:sz w:val="22"/>
                    </w:rPr>
                    <m:t>w</m:t>
                  </m:r>
                </m:sub>
              </m:sSub>
            </m:e>
          </m:d>
          <m:r>
            <m:rPr>
              <m:sty m:val="p"/>
            </m:rPr>
            <w:rPr>
              <w:sz w:val="22"/>
            </w:rPr>
            <m:t>=</m:t>
          </m:r>
          <m:r>
            <w:rPr>
              <w:sz w:val="22"/>
            </w:rPr>
            <m:t>α</m:t>
          </m:r>
          <m:r>
            <m:rPr>
              <m:sty m:val="p"/>
            </m:rPr>
            <w:rPr>
              <w:sz w:val="22"/>
            </w:rPr>
            <m:t>+</m:t>
          </m:r>
          <m:nary>
            <m:naryPr>
              <m:chr m:val="∑"/>
              <m:limLoc m:val="undOvr"/>
              <m:subHide m:val="off"/>
              <m:supHide m:val="off"/>
            </m:naryPr>
            <m:sub>
              <m:r>
                <w:rPr>
                  <w:sz w:val="22"/>
                </w:rPr>
                <m:t>k</m:t>
              </m:r>
              <m:r>
                <m:rPr>
                  <m:sty m:val="p"/>
                </m:rPr>
                <w:rPr>
                  <w:sz w:val="22"/>
                </w:rPr>
                <m:t>=</m:t>
              </m:r>
              <m:r>
                <m:rPr>
                  <m:sty m:val="p"/>
                </m:rPr>
                <w:rPr>
                  <w:sz w:val="22"/>
                </w:rPr>
                <m:t>−</m:t>
              </m:r>
              <m:r>
                <w:rPr>
                  <w:sz w:val="22"/>
                </w:rPr>
                <m:t>2</m:t>
              </m:r>
            </m:sub>
            <m:sup>
              <m:r>
                <w:rPr>
                  <w:sz w:val="22"/>
                </w:rPr>
                <m:t>2</m:t>
              </m:r>
            </m:sup>
            <m:e>
              <m:sSub>
                <m:e>
                  <m:r>
                    <w:rPr>
                      <w:sz w:val="22"/>
                    </w:rPr>
                    <m:t>β</m:t>
                  </m:r>
                </m:e>
                <m:sub>
                  <m:r>
                    <w:rPr>
                      <w:sz w:val="22"/>
                    </w:rPr>
                    <m:t>k</m:t>
                  </m:r>
                </m:sub>
              </m:sSub>
            </m:e>
          </m:nary>
          <m:r>
            <w:rPr>
              <w:sz w:val="22"/>
            </w:rPr>
            <m:t> </m:t>
          </m:r>
          <m:sSub>
            <m:e>
              <m:r>
                <m:rPr>
                  <m:nor/>
                  <m:sty m:val="p"/>
                </m:rPr>
                <w:rPr>
                  <w:sz w:val="22"/>
                </w:rPr>
                <m:t>MKT</m:t>
              </m:r>
            </m:e>
            <m:sub>
              <m:r>
                <w:rPr>
                  <w:sz w:val="22"/>
                </w:rPr>
                <m:t>w</m:t>
              </m:r>
              <m:r>
                <m:rPr>
                  <m:sty m:val="p"/>
                </m:rPr>
                <w:rPr>
                  <w:sz w:val="22"/>
                </w:rPr>
                <m:t>+</m:t>
              </m:r>
              <m:r>
                <w:rPr>
                  <w:sz w:val="22"/>
                </w:rPr>
                <m:t>k</m:t>
              </m:r>
            </m:sub>
          </m:sSub>
          <m:r>
            <m:rPr>
              <m:sty m:val="p"/>
            </m:rPr>
            <w:rPr>
              <w:sz w:val="22"/>
            </w:rPr>
            <m:t>+</m:t>
          </m:r>
          <m:sSub>
            <m:e>
              <m:r>
                <w:rPr>
                  <w:sz w:val="22"/>
                </w:rPr>
                <m:t>ε</m:t>
              </m:r>
            </m:e>
            <m:sub>
              <m:r>
                <w:rPr>
                  <w:sz w:val="22"/>
                </w:rPr>
                <m:t>i</m:t>
              </m:r>
              <m:r>
                <m:rPr>
                  <m:sty m:val="p"/>
                </m:rPr>
                <w:rPr>
                  <w:sz w:val="22"/>
                </w:rPr>
                <m:t>,</m:t>
              </m:r>
              <m:r>
                <w:rPr>
                  <w:sz w:val="22"/>
                </w:rPr>
                <m:t>w</m:t>
              </m:r>
            </m:sub>
          </m:sSub>
          <m:r>
            <m:rPr>
              <m:sty m:val="p"/>
            </m:rPr>
            <w:rPr>
              <w:sz w:val="22"/>
            </w:rPr>
            <m:t>,</m:t>
          </m:r>
        </m:oMath>
      </m:oMathPara>
    </w:p>
    <w:p>
      <w:pPr>
        <w:pStyle w:val="FirstParagraph"/>
      </w:pPr>
      <w:r>
        <w:t xml:space="preserve">fit over a 26-trading-week window, where a trading week is a calendar week with at least one trading day. The pre-call window (</w:t>
      </w:r>
      <m:oMath>
        <m:r>
          <m:rPr>
            <m:sty m:val="p"/>
          </m:rPr>
          <w:rPr>
            <w:sz w:val="22"/>
          </w:rPr>
          <m:t>[</m:t>
        </m:r>
        <m:r>
          <m:rPr>
            <m:sty m:val="p"/>
          </m:rPr>
          <w:rPr>
            <w:sz w:val="22"/>
          </w:rPr>
          <m:t>−</m:t>
        </m:r>
        <m:r>
          <w:rPr>
            <w:sz w:val="22"/>
          </w:rPr>
          <m:t>26</m:t>
        </m:r>
        <m:r>
          <m:rPr>
            <m:sty m:val="p"/>
          </m:rPr>
          <w:rPr>
            <w:sz w:val="22"/>
          </w:rPr>
          <m:t>,</m:t>
        </m:r>
        <m:r>
          <w:rPr>
            <w:sz w:val="22"/>
          </w:rPr>
          <m:t>0</m:t>
        </m:r>
        <m:r>
          <m:rPr>
            <m:sty m:val="p"/>
          </m:rPr>
          <w:rPr>
            <w:sz w:val="22"/>
          </w:rPr>
          <m:t>)</m:t>
        </m:r>
      </m:oMath>
      <w:r>
        <w:t xml:space="preserve"> </w:t>
      </w:r>
      <w:r>
        <w:t xml:space="preserve">weeks, ending at the call’s own week) and the post-call window (</w:t>
      </w:r>
      <m:oMath>
        <m:r>
          <m:rPr>
            <m:sty m:val="p"/>
          </m:rPr>
          <w:rPr>
            <w:sz w:val="22"/>
          </w:rPr>
          <m:t>[</m:t>
        </m:r>
        <m:r>
          <m:rPr>
            <m:sty m:val="p"/>
          </m:rPr>
          <w:rPr>
            <w:sz w:val="22"/>
          </w:rPr>
          <m:t>+</m:t>
        </m:r>
        <m:r>
          <w:rPr>
            <w:sz w:val="22"/>
          </w:rPr>
          <m:t>1</m:t>
        </m:r>
        <m:r>
          <m:rPr>
            <m:sty m:val="p"/>
          </m:rPr>
          <w:rPr>
            <w:sz w:val="22"/>
          </w:rPr>
          <m:t>,</m:t>
        </m:r>
        <m:r>
          <m:rPr>
            <m:sty m:val="p"/>
          </m:rPr>
          <w:rPr>
            <w:sz w:val="22"/>
          </w:rPr>
          <m:t>+</m:t>
        </m:r>
        <m:r>
          <w:rPr>
            <w:sz w:val="22"/>
          </w:rPr>
          <m:t>27</m:t>
        </m:r>
        <m:r>
          <m:rPr>
            <m:sty m:val="p"/>
          </m:rPr>
          <w:rPr>
            <w:sz w:val="22"/>
          </w:rPr>
          <m:t>)</m:t>
        </m:r>
      </m:oMath>
      <w:r>
        <w:t xml:space="preserve"> </w:t>
      </w:r>
      <w:r>
        <w:t xml:space="preserve">weeks, starting the week after it) are separated by a one-week gap at the call itself, so that the call’s own short-run price reaction does not contaminate the residuals used to measure crash risk:</w:t>
      </w:r>
    </w:p>
    <w:p>
      <w:pPr>
        <w:pStyle w:val="Textoindependiente"/>
      </w:pPr>
      <m:oMathPara>
        <m:oMathParaPr>
          <m:jc m:val="center"/>
        </m:oMathParaPr>
        <m:oMath>
          <m:sSub>
            <m:e>
              <m:r>
                <m:rPr>
                  <m:nor/>
                  <m:sty m:val="p"/>
                </m:rPr>
                <w:rPr>
                  <w:sz w:val="22"/>
                </w:rPr>
                <m:t>NCSKEW</m:t>
              </m:r>
            </m:e>
            <m:sub>
              <m:r>
                <w:rPr>
                  <w:sz w:val="22"/>
                </w:rPr>
                <m:t>i</m:t>
              </m:r>
            </m:sub>
          </m:sSub>
          <m:r>
            <m:rPr>
              <m:sty m:val="p"/>
            </m:rPr>
            <w:rPr>
              <w:sz w:val="22"/>
            </w:rPr>
            <m:t>=</m:t>
          </m:r>
          <m:r>
            <m:rPr>
              <m:sty m:val="p"/>
            </m:rPr>
            <w:rPr>
              <w:sz w:val="22"/>
            </w:rPr>
            <m:t>−</m:t>
          </m:r>
          <m:f>
            <m:fPr>
              <m:type m:val="bar"/>
            </m:fPr>
            <m:num>
              <m:r>
                <w:rPr>
                  <w:sz w:val="22"/>
                </w:rPr>
                <m:t>n</m:t>
              </m:r>
              <m:sSup>
                <m:e>
                  <m:d>
                    <m:dPr>
                      <m:begChr m:val="("/>
                      <m:sepChr m:val=""/>
                      <m:endChr m:val=")"/>
                      <m:grow/>
                    </m:dPr>
                    <m:e>
                      <m:r>
                        <w:rPr>
                          <w:sz w:val="22"/>
                        </w:rPr>
                        <m:t>n</m:t>
                      </m:r>
                      <m:r>
                        <m:rPr>
                          <m:sty m:val="p"/>
                        </m:rPr>
                        <w:rPr>
                          <w:sz w:val="22"/>
                        </w:rPr>
                        <m:t>−</m:t>
                      </m:r>
                      <m:r>
                        <w:rPr>
                          <w:sz w:val="22"/>
                        </w:rPr>
                        <m:t>1</m:t>
                      </m:r>
                    </m:e>
                  </m:d>
                </m:e>
                <m:sup>
                  <m:r>
                    <w:rPr>
                      <w:sz w:val="22"/>
                    </w:rPr>
                    <m:t>3</m:t>
                  </m:r>
                  <m:r>
                    <m:rPr>
                      <m:sty m:val="p"/>
                    </m:rPr>
                    <w:rPr>
                      <w:sz w:val="22"/>
                    </w:rPr>
                    <m:t>/</m:t>
                  </m:r>
                  <m:r>
                    <w:rPr>
                      <w:sz w:val="22"/>
                    </w:rPr>
                    <m:t>2</m:t>
                  </m:r>
                </m:sup>
              </m:sSup>
              <m:nary>
                <m:naryPr>
                  <m:chr m:val="∑"/>
                  <m:limLoc m:val="undOvr"/>
                  <m:subHide m:val="off"/>
                  <m:supHide m:val="on"/>
                </m:naryPr>
                <m:sub>
                  <m:r>
                    <w:rPr>
                      <w:sz w:val="22"/>
                    </w:rPr>
                    <m:t>w</m:t>
                  </m:r>
                </m:sub>
                <m:sup>
                  <m:r>
                    <w:rPr>
                      <w:sz w:val="22"/>
                    </w:rPr>
                    <m:t>​</m:t>
                  </m:r>
                </m:sup>
                <m:e>
                  <m:sSubSup>
                    <m:e>
                      <m:acc>
                        <m:accPr>
                          <m:chr m:val="̂"/>
                        </m:accPr>
                        <m:e>
                          <m:r>
                            <w:rPr>
                              <w:sz w:val="22"/>
                            </w:rPr>
                            <m:t>ε</m:t>
                          </m:r>
                        </m:e>
                      </m:acc>
                    </m:e>
                    <m:sub>
                      <m:r>
                        <w:rPr>
                          <w:sz w:val="22"/>
                        </w:rPr>
                        <m:t>i</m:t>
                      </m:r>
                      <m:r>
                        <m:rPr>
                          <m:sty m:val="p"/>
                        </m:rPr>
                        <w:rPr>
                          <w:sz w:val="22"/>
                        </w:rPr>
                        <m:t>,</m:t>
                      </m:r>
                      <m:r>
                        <w:rPr>
                          <w:sz w:val="22"/>
                        </w:rPr>
                        <m:t>w</m:t>
                      </m:r>
                    </m:sub>
                    <m:sup>
                      <m:r>
                        <w:rPr>
                          <w:sz w:val="22"/>
                        </w:rPr>
                        <m:t>3</m:t>
                      </m:r>
                    </m:sup>
                  </m:sSubSup>
                </m:e>
              </m:nary>
            </m:num>
            <m:den>
              <m:d>
                <m:dPr>
                  <m:begChr m:val="("/>
                  <m:sepChr m:val=""/>
                  <m:endChr m:val=")"/>
                  <m:grow/>
                </m:dPr>
                <m:e>
                  <m:r>
                    <w:rPr>
                      <w:sz w:val="22"/>
                    </w:rPr>
                    <m:t>n</m:t>
                  </m:r>
                  <m:r>
                    <m:rPr>
                      <m:sty m:val="p"/>
                    </m:rPr>
                    <w:rPr>
                      <w:sz w:val="22"/>
                    </w:rPr>
                    <m:t>−</m:t>
                  </m:r>
                  <m:r>
                    <w:rPr>
                      <w:sz w:val="22"/>
                    </w:rPr>
                    <m:t>1</m:t>
                  </m:r>
                </m:e>
              </m:d>
              <m:d>
                <m:dPr>
                  <m:begChr m:val="("/>
                  <m:sepChr m:val=""/>
                  <m:endChr m:val=")"/>
                  <m:grow/>
                </m:dPr>
                <m:e>
                  <m:r>
                    <w:rPr>
                      <w:sz w:val="22"/>
                    </w:rPr>
                    <m:t>n</m:t>
                  </m:r>
                  <m:r>
                    <m:rPr>
                      <m:sty m:val="p"/>
                    </m:rPr>
                    <w:rPr>
                      <w:sz w:val="22"/>
                    </w:rPr>
                    <m:t>−</m:t>
                  </m:r>
                  <m:r>
                    <w:rPr>
                      <w:sz w:val="22"/>
                    </w:rPr>
                    <m:t>2</m:t>
                  </m:r>
                </m:e>
              </m:d>
              <m:sSup>
                <m:e>
                  <m:d>
                    <m:dPr>
                      <m:begChr m:val="("/>
                      <m:sepChr m:val=""/>
                      <m:endChr m:val=")"/>
                      <m:grow/>
                    </m:dPr>
                    <m:e>
                      <m:nary>
                        <m:naryPr>
                          <m:chr m:val="∑"/>
                          <m:limLoc m:val="undOvr"/>
                          <m:subHide m:val="off"/>
                          <m:supHide m:val="on"/>
                        </m:naryPr>
                        <m:sub>
                          <m:r>
                            <w:rPr>
                              <w:sz w:val="22"/>
                            </w:rPr>
                            <m:t>w</m:t>
                          </m:r>
                        </m:sub>
                        <m:sup>
                          <m:r>
                            <w:rPr>
                              <w:sz w:val="22"/>
                            </w:rPr>
                            <m:t>​</m:t>
                          </m:r>
                        </m:sup>
                        <m:e>
                          <m:sSubSup>
                            <m:e>
                              <m:acc>
                                <m:accPr>
                                  <m:chr m:val="̂"/>
                                </m:accPr>
                                <m:e>
                                  <m:r>
                                    <w:rPr>
                                      <w:sz w:val="22"/>
                                    </w:rPr>
                                    <m:t>ε</m:t>
                                  </m:r>
                                </m:e>
                              </m:acc>
                            </m:e>
                            <m:sub>
                              <m:r>
                                <w:rPr>
                                  <w:sz w:val="22"/>
                                </w:rPr>
                                <m:t>i</m:t>
                              </m:r>
                              <m:r>
                                <m:rPr>
                                  <m:sty m:val="p"/>
                                </m:rPr>
                                <w:rPr>
                                  <w:sz w:val="22"/>
                                </w:rPr>
                                <m:t>,</m:t>
                              </m:r>
                              <m:r>
                                <w:rPr>
                                  <w:sz w:val="22"/>
                                </w:rPr>
                                <m:t>w</m:t>
                              </m:r>
                            </m:sub>
                            <m:sup>
                              <m:r>
                                <w:rPr>
                                  <w:sz w:val="22"/>
                                </w:rPr>
                                <m:t>2</m:t>
                              </m:r>
                            </m:sup>
                          </m:sSubSup>
                        </m:e>
                      </m:nary>
                    </m:e>
                  </m:d>
                </m:e>
                <m:sup>
                  <m:r>
                    <w:rPr>
                      <w:sz w:val="22"/>
                    </w:rPr>
                    <m:t>3</m:t>
                  </m:r>
                  <m:r>
                    <m:rPr>
                      <m:sty m:val="p"/>
                    </m:rPr>
                    <w:rPr>
                      <w:sz w:val="22"/>
                    </w:rPr>
                    <m:t>/</m:t>
                  </m:r>
                  <m:r>
                    <w:rPr>
                      <w:sz w:val="22"/>
                    </w:rPr>
                    <m:t>2</m:t>
                  </m:r>
                </m:sup>
              </m:sSup>
            </m:den>
          </m:f>
          <m:r>
            <m:rPr>
              <m:sty m:val="p"/>
            </m:rPr>
            <w:rPr>
              <w:sz w:val="22"/>
            </w:rPr>
            <m:t>,</m:t>
          </m:r>
          <m:r>
            <w:rPr>
              <w:sz w:val="22"/>
            </w:rPr>
            <m:t>  </m:t>
          </m:r>
          <m:sSub>
            <m:e>
              <m:r>
                <m:rPr>
                  <m:nor/>
                  <m:sty m:val="p"/>
                </m:rPr>
                <w:rPr>
                  <w:sz w:val="22"/>
                </w:rPr>
                <m:t>DUVOL</m:t>
              </m:r>
            </m:e>
            <m:sub>
              <m:r>
                <w:rPr>
                  <w:sz w:val="22"/>
                </w:rPr>
                <m:t>i</m:t>
              </m:r>
            </m:sub>
          </m:sSub>
          <m:r>
            <m:rPr>
              <m:sty m:val="p"/>
            </m:rPr>
            <w:rPr>
              <w:sz w:val="22"/>
            </w:rPr>
            <m:t>=</m:t>
          </m:r>
          <m:r>
            <m:rPr>
              <m:sty m:val="p"/>
            </m:rPr>
            <w:rPr>
              <w:sz w:val="22"/>
            </w:rPr>
            <m:t>ln</m:t>
          </m:r>
          <m:r>
            <w:rPr>
              <w:sz w:val="22"/>
            </w:rPr>
            <m:t>​</m:t>
          </m:r>
          <m:d>
            <m:dPr>
              <m:begChr m:val="["/>
              <m:sepChr m:val=""/>
              <m:endChr m:val="]"/>
              <m:grow/>
            </m:dPr>
            <m:e>
              <m:f>
                <m:fPr>
                  <m:type m:val="bar"/>
                </m:fPr>
                <m:num>
                  <m:d>
                    <m:dPr>
                      <m:begChr m:val="("/>
                      <m:sepChr m:val=""/>
                      <m:endChr m:val=")"/>
                      <m:grow/>
                    </m:dPr>
                    <m:e>
                      <m:sSub>
                        <m:e>
                          <m:r>
                            <w:rPr>
                              <w:sz w:val="22"/>
                            </w:rPr>
                            <m:t>n</m:t>
                          </m:r>
                        </m:e>
                        <m:sub>
                          <m:r>
                            <w:rPr>
                              <w:sz w:val="22"/>
                            </w:rPr>
                            <m:t>u</m:t>
                          </m:r>
                        </m:sub>
                      </m:sSub>
                      <m:r>
                        <m:rPr>
                          <m:sty m:val="p"/>
                        </m:rPr>
                        <w:rPr>
                          <w:sz w:val="22"/>
                        </w:rPr>
                        <m:t>−</m:t>
                      </m:r>
                      <m:r>
                        <w:rPr>
                          <w:sz w:val="22"/>
                        </w:rPr>
                        <m:t>1</m:t>
                      </m:r>
                    </m:e>
                  </m:d>
                  <m:nary>
                    <m:naryPr>
                      <m:chr m:val="∑"/>
                      <m:limLoc m:val="undOvr"/>
                      <m:subHide m:val="off"/>
                      <m:supHide m:val="on"/>
                    </m:naryPr>
                    <m:sub>
                      <m:r>
                        <m:rPr>
                          <m:nor/>
                          <m:sty m:val="p"/>
                        </m:rPr>
                        <w:rPr>
                          <w:sz w:val="22"/>
                        </w:rPr>
                        <m:t>down</m:t>
                      </m:r>
                    </m:sub>
                    <m:sup>
                      <m:r>
                        <w:rPr>
                          <w:sz w:val="22"/>
                        </w:rPr>
                        <m:t>​</m:t>
                      </m:r>
                    </m:sup>
                    <m:e>
                      <m:sSubSup>
                        <m:e>
                          <m:acc>
                            <m:accPr>
                              <m:chr m:val="̂"/>
                            </m:accPr>
                            <m:e>
                              <m:r>
                                <w:rPr>
                                  <w:sz w:val="22"/>
                                </w:rPr>
                                <m:t>ε</m:t>
                              </m:r>
                            </m:e>
                          </m:acc>
                        </m:e>
                        <m:sub>
                          <m:r>
                            <w:rPr>
                              <w:sz w:val="22"/>
                            </w:rPr>
                            <m:t>i</m:t>
                          </m:r>
                          <m:r>
                            <m:rPr>
                              <m:sty m:val="p"/>
                            </m:rPr>
                            <w:rPr>
                              <w:sz w:val="22"/>
                            </w:rPr>
                            <m:t>,</m:t>
                          </m:r>
                          <m:r>
                            <w:rPr>
                              <w:sz w:val="22"/>
                            </w:rPr>
                            <m:t>w</m:t>
                          </m:r>
                        </m:sub>
                        <m:sup>
                          <m:r>
                            <w:rPr>
                              <w:sz w:val="22"/>
                            </w:rPr>
                            <m:t>2</m:t>
                          </m:r>
                        </m:sup>
                      </m:sSubSup>
                    </m:e>
                  </m:nary>
                </m:num>
                <m:den>
                  <m:d>
                    <m:dPr>
                      <m:begChr m:val="("/>
                      <m:sepChr m:val=""/>
                      <m:endChr m:val=")"/>
                      <m:grow/>
                    </m:dPr>
                    <m:e>
                      <m:sSub>
                        <m:e>
                          <m:r>
                            <w:rPr>
                              <w:sz w:val="22"/>
                            </w:rPr>
                            <m:t>n</m:t>
                          </m:r>
                        </m:e>
                        <m:sub>
                          <m:r>
                            <w:rPr>
                              <w:sz w:val="22"/>
                            </w:rPr>
                            <m:t>d</m:t>
                          </m:r>
                        </m:sub>
                      </m:sSub>
                      <m:r>
                        <m:rPr>
                          <m:sty m:val="p"/>
                        </m:rPr>
                        <w:rPr>
                          <w:sz w:val="22"/>
                        </w:rPr>
                        <m:t>−</m:t>
                      </m:r>
                      <m:r>
                        <w:rPr>
                          <w:sz w:val="22"/>
                        </w:rPr>
                        <m:t>1</m:t>
                      </m:r>
                    </m:e>
                  </m:d>
                  <m:nary>
                    <m:naryPr>
                      <m:chr m:val="∑"/>
                      <m:limLoc m:val="undOvr"/>
                      <m:subHide m:val="off"/>
                      <m:supHide m:val="on"/>
                    </m:naryPr>
                    <m:sub>
                      <m:r>
                        <m:rPr>
                          <m:nor/>
                          <m:sty m:val="p"/>
                        </m:rPr>
                        <w:rPr>
                          <w:sz w:val="22"/>
                        </w:rPr>
                        <m:t>up</m:t>
                      </m:r>
                    </m:sub>
                    <m:sup>
                      <m:r>
                        <w:rPr>
                          <w:sz w:val="22"/>
                        </w:rPr>
                        <m:t>​</m:t>
                      </m:r>
                    </m:sup>
                    <m:e>
                      <m:sSubSup>
                        <m:e>
                          <m:acc>
                            <m:accPr>
                              <m:chr m:val="̂"/>
                            </m:accPr>
                            <m:e>
                              <m:r>
                                <w:rPr>
                                  <w:sz w:val="22"/>
                                </w:rPr>
                                <m:t>ε</m:t>
                              </m:r>
                            </m:e>
                          </m:acc>
                        </m:e>
                        <m:sub>
                          <m:r>
                            <w:rPr>
                              <w:sz w:val="22"/>
                            </w:rPr>
                            <m:t>i</m:t>
                          </m:r>
                          <m:r>
                            <m:rPr>
                              <m:sty m:val="p"/>
                            </m:rPr>
                            <w:rPr>
                              <w:sz w:val="22"/>
                            </w:rPr>
                            <m:t>,</m:t>
                          </m:r>
                          <m:r>
                            <w:rPr>
                              <w:sz w:val="22"/>
                            </w:rPr>
                            <m:t>w</m:t>
                          </m:r>
                        </m:sub>
                        <m:sup>
                          <m:r>
                            <w:rPr>
                              <w:sz w:val="22"/>
                            </w:rPr>
                            <m:t>2</m:t>
                          </m:r>
                        </m:sup>
                      </m:sSubSup>
                    </m:e>
                  </m:nary>
                </m:den>
              </m:f>
            </m:e>
          </m:d>
          <m:r>
            <m:rPr>
              <m:sty m:val="p"/>
            </m:rPr>
            <w:rPr>
              <w:sz w:val="22"/>
            </w:rPr>
            <m:t>,</m:t>
          </m:r>
        </m:oMath>
      </m:oMathPara>
    </w:p>
    <w:p>
      <w:pPr>
        <w:pStyle w:val="FirstParagraph"/>
      </w:pPr>
      <w:r>
        <w:t xml:space="preserve">where</w:t>
      </w:r>
      <w:r>
        <w:t xml:space="preserve"> </w:t>
      </w:r>
      <w:r>
        <w:t xml:space="preserve">“down”</w:t>
      </w:r>
      <w:r>
        <w:t xml:space="preserve"> </w:t>
      </w:r>
      <w:r>
        <w:t xml:space="preserve">and</w:t>
      </w:r>
      <w:r>
        <w:t xml:space="preserve"> </w:t>
      </w:r>
      <w:r>
        <w:t xml:space="preserve">“up”</w:t>
      </w:r>
      <w:r>
        <w:t xml:space="preserve"> </w:t>
      </w:r>
      <w:r>
        <w:t xml:space="preserve">partition the window’s residuals at their own mean and</w:t>
      </w:r>
      <w:r>
        <w:t xml:space="preserve"> </w:t>
      </w:r>
      <m:oMath>
        <m:sSub>
          <m:e>
            <m:r>
              <w:rPr>
                <w:sz w:val="22"/>
              </w:rPr>
              <m:t>n</m:t>
            </m:r>
          </m:e>
          <m:sub>
            <m:r>
              <w:rPr>
                <w:sz w:val="22"/>
              </w:rPr>
              <m:t>d</m:t>
            </m:r>
          </m:sub>
        </m:sSub>
        <m:r>
          <m:rPr>
            <m:sty m:val="p"/>
          </m:rPr>
          <w:rPr>
            <w:sz w:val="22"/>
          </w:rPr>
          <m:t>,</m:t>
        </m:r>
        <m:sSub>
          <m:e>
            <m:r>
              <w:rPr>
                <w:sz w:val="22"/>
              </w:rPr>
              <m:t>n</m:t>
            </m:r>
          </m:e>
          <m:sub>
            <m:r>
              <w:rPr>
                <w:sz w:val="22"/>
              </w:rPr>
              <m:t>u</m:t>
            </m:r>
          </m:sub>
        </m:sSub>
      </m:oMath>
      <w:r>
        <w:t xml:space="preserve"> </w:t>
      </w:r>
      <w:r>
        <w:t xml:space="preserve">are their counts. Both measures require at least 20 valid weekly observations and at least two on each side of the mean. The pre-window residuals also supply</w:t>
      </w:r>
      <w:r>
        <w:t xml:space="preserve"> </w:t>
      </w:r>
      <m:oMath>
        <m:r>
          <m:rPr>
            <m:nor/>
            <m:sty m:val="p"/>
          </m:rPr>
          <w:rPr>
            <w:sz w:val="22"/>
          </w:rPr>
          <m:t>SIGMA</m:t>
        </m:r>
      </m:oMath>
      <w:r>
        <w:t xml:space="preserve"> </w:t>
      </w:r>
      <w:r>
        <w:t xml:space="preserve">(their standard deviation),</w:t>
      </w:r>
      <w:r>
        <w:t xml:space="preserve"> </w:t>
      </w:r>
      <m:oMath>
        <m:r>
          <m:rPr>
            <m:nor/>
            <m:sty m:val="p"/>
          </m:rPr>
          <w:rPr>
            <w:sz w:val="22"/>
          </w:rPr>
          <m:t>RET</m:t>
        </m:r>
      </m:oMath>
      <w:r>
        <w:t xml:space="preserve"> </w:t>
      </w:r>
      <w:r>
        <w:t xml:space="preserve">(their mean,</w:t>
      </w:r>
      <w:r>
        <w:t xml:space="preserve"> </w:t>
      </w:r>
      <m:oMath>
        <m:r>
          <m:rPr>
            <m:sty m:val="p"/>
          </m:rPr>
          <w:rPr>
            <w:sz w:val="22"/>
          </w:rPr>
          <m:t>×</m:t>
        </m:r>
        <m:r>
          <w:rPr>
            <w:sz w:val="22"/>
          </w:rPr>
          <m:t>100</m:t>
        </m:r>
      </m:oMath>
      <w:r>
        <w:t xml:space="preserve">) and, together with the pre-call 10-K’s shares outstanding,</w:t>
      </w:r>
      <w:r>
        <w:t xml:space="preserve"> </w:t>
      </w:r>
      <m:oMath>
        <m:r>
          <m:rPr>
            <m:nor/>
            <m:sty m:val="p"/>
          </m:rPr>
          <w:rPr>
            <w:sz w:val="22"/>
          </w:rPr>
          <m:t>DTURN</m:t>
        </m:r>
      </m:oMath>
      <w:r>
        <w:t xml:space="preserve"> </w:t>
      </w:r>
      <w:r>
        <w:t xml:space="preserve">(the change in average weekly share turnover between the pre-window and the 26 weeks before it). The Kim, Li and Zhang (2011) controls added to the two crash-risk regressions alongside log market capitalization and ROA</w:t>
      </w:r>
      <w:r>
        <w:t xml:space="preserve"> </w:t>
      </w:r>
      <w:r>
        <w:t xml:space="preserve">(</w:t>
      </w:r>
      <w:hyperlink w:anchor="ref-kim2011">
        <w:r>
          <w:rPr>
            <w:rStyle w:val="Hipervnculo"/>
          </w:rPr>
          <w:t xml:space="preserve">Kim, Li, and Zhang 2011</w:t>
        </w:r>
      </w:hyperlink>
      <w:r>
        <w:t xml:space="preserve">)</w:t>
      </w:r>
      <w:r>
        <w:t xml:space="preserve">.</w:t>
      </w:r>
    </w:p>
    <w:p>
      <w:pPr>
        <w:pStyle w:val="Textoindependiente"/>
      </w:pPr>
      <w:r>
        <w:rPr>
          <w:b/>
          <w:bCs/>
        </w:rPr>
        <w:t xml:space="preserve">Cumulative abnormal return and drift.</w:t>
      </w:r>
      <w:r>
        <w:t xml:space="preserve"> </w:t>
      </w:r>
      <w:r>
        <w:t xml:space="preserve">A separate market model (</w:t>
      </w:r>
      <m:oMath>
        <m:sSub>
          <m:e>
            <m:r>
              <m:rPr>
                <m:nor/>
                <m:sty m:val="p"/>
              </m:rPr>
              <w:rPr>
                <w:sz w:val="22"/>
              </w:rPr>
              <m:t>MKT</m:t>
            </m:r>
          </m:e>
          <m:sub>
            <m:r>
              <m:rPr>
                <m:nor/>
                <m:sty m:val="p"/>
              </m:rPr>
              <w:rPr>
                <w:sz w:val="22"/>
              </w:rPr>
              <m:t>TR</m:t>
            </m:r>
          </m:sub>
        </m:sSub>
        <m:r>
          <m:rPr>
            <m:sty m:val="p"/>
          </m:rPr>
          <w:rPr>
            <w:sz w:val="22"/>
          </w:rPr>
          <m:t>−</m:t>
        </m:r>
        <m:sSub>
          <m:e>
            <m:r>
              <w:rPr>
                <w:sz w:val="22"/>
              </w:rPr>
              <m:t>R</m:t>
            </m:r>
          </m:e>
          <m:sub>
            <m:r>
              <w:rPr>
                <w:sz w:val="22"/>
              </w:rPr>
              <m:t>f</m:t>
            </m:r>
          </m:sub>
        </m:sSub>
      </m:oMath>
      <w:r>
        <w:t xml:space="preserve"> </w:t>
      </w:r>
      <w:r>
        <w:t xml:space="preserve">only) is fit once per call over trading days</w:t>
      </w:r>
      <w:r>
        <w:t xml:space="preserve"> </w:t>
      </w:r>
      <m:oMath>
        <m:r>
          <m:rPr>
            <m:sty m:val="p"/>
          </m:rPr>
          <w:rPr>
            <w:sz w:val="22"/>
          </w:rPr>
          <m:t>[</m:t>
        </m:r>
        <m:r>
          <m:rPr>
            <m:sty m:val="p"/>
          </m:rPr>
          <w:rPr>
            <w:sz w:val="22"/>
          </w:rPr>
          <m:t>−</m:t>
        </m:r>
        <m:r>
          <w:rPr>
            <w:sz w:val="22"/>
          </w:rPr>
          <m:t>250</m:t>
        </m:r>
        <m:r>
          <m:rPr>
            <m:sty m:val="p"/>
          </m:rPr>
          <w:rPr>
            <w:sz w:val="22"/>
          </w:rPr>
          <m:t>,</m:t>
        </m:r>
        <m:r>
          <m:rPr>
            <m:sty m:val="p"/>
          </m:rPr>
          <w:rPr>
            <w:sz w:val="22"/>
          </w:rPr>
          <m:t>−</m:t>
        </m:r>
        <m:r>
          <w:rPr>
            <w:sz w:val="22"/>
          </w:rPr>
          <m:t>30</m:t>
        </m:r>
        <m:r>
          <m:rPr>
            <m:sty m:val="p"/>
          </m:rPr>
          <w:rPr>
            <w:sz w:val="22"/>
          </w:rPr>
          <m:t>)</m:t>
        </m:r>
      </m:oMath>
      <w:r>
        <w:t xml:space="preserve"> </w:t>
      </w:r>
      <w:r>
        <w:t xml:space="preserve">before the call (minimum 120 days), and every later day’s abnormal return is its realized excess return less this model’s fitted value. The announcement-window cumulative abnormal return,</w:t>
      </w:r>
      <w:r>
        <w:t xml:space="preserve"> </w:t>
      </w:r>
      <m:oMath>
        <m:r>
          <m:rPr>
            <m:nor/>
            <m:sty m:val="p"/>
          </m:rPr>
          <w:rPr>
            <w:sz w:val="22"/>
          </w:rPr>
          <m:t>CAR</m:t>
        </m:r>
        <m:d>
          <m:dPr>
            <m:begChr m:val="["/>
            <m:sepChr m:val=""/>
            <m:endChr m:val="]"/>
            <m:grow/>
          </m:dPr>
          <m:e>
            <m:r>
              <m:rPr>
                <m:sty m:val="p"/>
              </m:rPr>
              <w:rPr>
                <w:sz w:val="22"/>
              </w:rPr>
              <m:t>−</m:t>
            </m:r>
            <m:r>
              <w:rPr>
                <w:sz w:val="22"/>
              </w:rPr>
              <m:t>1</m:t>
            </m:r>
            <m:r>
              <m:rPr>
                <m:sty m:val="p"/>
              </m:rPr>
              <w:rPr>
                <w:sz w:val="22"/>
              </w:rPr>
              <m:t>,</m:t>
            </m:r>
            <m:r>
              <m:rPr>
                <m:sty m:val="p"/>
              </m:rPr>
              <w:rPr>
                <w:sz w:val="22"/>
              </w:rPr>
              <m:t>+</m:t>
            </m:r>
            <m:r>
              <w:rPr>
                <w:sz w:val="22"/>
              </w:rPr>
              <m:t>1</m:t>
            </m:r>
          </m:e>
        </m:d>
      </m:oMath>
      <w:r>
        <w:t xml:space="preserve">, sums abnormal returns over the three trading days centered on the call</w:t>
      </w:r>
      <w:r>
        <w:t xml:space="preserve"> </w:t>
      </w:r>
      <w:r>
        <w:t xml:space="preserve">(</w:t>
      </w:r>
      <w:hyperlink w:anchor="ref-brown1985">
        <w:r>
          <w:rPr>
            <w:rStyle w:val="Hipervnculo"/>
          </w:rPr>
          <w:t xml:space="preserve">Brown and Warner 1985</w:t>
        </w:r>
      </w:hyperlink>
      <w:r>
        <w:t xml:space="preserve">)</w:t>
      </w:r>
      <w:r>
        <w:t xml:space="preserve">; the post-announcement drift,</w:t>
      </w:r>
      <w:r>
        <w:t xml:space="preserve"> </w:t>
      </w:r>
      <m:oMath>
        <m:r>
          <m:rPr>
            <m:nor/>
            <m:sty m:val="p"/>
          </m:rPr>
          <w:rPr>
            <w:sz w:val="22"/>
          </w:rPr>
          <m:t>CAR</m:t>
        </m:r>
        <m:d>
          <m:dPr>
            <m:begChr m:val="["/>
            <m:sepChr m:val=""/>
            <m:endChr m:val="]"/>
            <m:grow/>
          </m:dPr>
          <m:e>
            <m:r>
              <m:rPr>
                <m:sty m:val="p"/>
              </m:rPr>
              <w:rPr>
                <w:sz w:val="22"/>
              </w:rPr>
              <m:t>+</m:t>
            </m:r>
            <m:r>
              <w:rPr>
                <w:sz w:val="22"/>
              </w:rPr>
              <m:t>2</m:t>
            </m:r>
            <m:r>
              <m:rPr>
                <m:sty m:val="p"/>
              </m:rPr>
              <w:rPr>
                <w:sz w:val="22"/>
              </w:rPr>
              <m:t>,</m:t>
            </m:r>
            <m:r>
              <m:rPr>
                <m:sty m:val="p"/>
              </m:rPr>
              <w:rPr>
                <w:sz w:val="22"/>
              </w:rPr>
              <m:t>+</m:t>
            </m:r>
            <m:r>
              <w:rPr>
                <w:sz w:val="22"/>
              </w:rPr>
              <m:t>63</m:t>
            </m:r>
          </m:e>
        </m:d>
      </m:oMath>
      <w:r>
        <w:t xml:space="preserve">, sums them over the following 61 trading days, minimum 40</w:t>
      </w:r>
      <w:r>
        <w:t xml:space="preserve"> </w:t>
      </w:r>
      <w:r>
        <w:t xml:space="preserve">(</w:t>
      </w:r>
      <w:hyperlink w:anchor="ref-mackinlay1997">
        <w:r>
          <w:rPr>
            <w:rStyle w:val="Hipervnculo"/>
          </w:rPr>
          <w:t xml:space="preserve">MacKinlay 1997</w:t>
        </w:r>
      </w:hyperlink>
      <w:r>
        <w:t xml:space="preserve">)</w:t>
      </w:r>
      <w:r>
        <w:t xml:space="preserve">. Neither has a pre-call level of the same construct, since an abnormal return is already a deviation from a model fit to be mean-zero over its own estimation window, so neither regression carries a lagged-outcome control.</w:t>
      </w:r>
    </w:p>
    <w:p>
      <w:pPr>
        <w:pStyle w:val="Textoindependiente"/>
      </w:pPr>
      <w:r>
        <w:rPr>
          <w:b/>
          <w:bCs/>
        </w:rPr>
        <w:t xml:space="preserve">Market beta and estimation-window diagnostics.</w:t>
      </w:r>
      <w:r>
        <w:t xml:space="preserve"> </w:t>
      </w:r>
      <w:r>
        <w:t xml:space="preserve">The firm-year beta above is estimated over the 252 trading days strictly before the actual filing date of the Form 10-K.</w:t>
      </w:r>
    </w:p>
    <w:p>
      <w:pPr>
        <w:pStyle w:val="Textoindependiente"/>
      </w:pPr>
      <w:r>
        <w:t xml:space="preserve">The market-factors panel spans 2,844 firm-years across 495 tickers (2021–2026). Beta is available for 2,843 observations (100.0%). The estimation window averages 251.9 return days (median 252), with 99.7% using</w:t>
      </w:r>
      <w:r>
        <w:t xml:space="preserve"> </w:t>
      </w:r>
      <m:oMath>
        <m:r>
          <m:rPr>
            <m:sty m:val="p"/>
          </m:rPr>
          <w:rPr>
            <w:sz w:val="22"/>
          </w:rPr>
          <m:t>≥</m:t>
        </m:r>
        <m:r>
          <w:rPr>
            <w:sz w:val="22"/>
          </w:rPr>
          <m:t>240</m:t>
        </m:r>
      </m:oMath>
      <w:r>
        <w:t xml:space="preserve"> </w:t>
      </w:r>
      <w:r>
        <w:t xml:space="preserve">trading days. Observations with fewer than 120 trading days (1 firm-years) are left missing rather than estimated over truncated windows. Valid betas have mean 0.91 (median 0.91, SD 0.44, IQR 0.62–1.17, range [-0.32, 3.27]).</w:t>
      </w:r>
    </w:p>
    <w:p>
      <w:pPr>
        <w:pStyle w:val="Textoindependiente"/>
      </w:pPr>
      <w:r>
        <w:t xml:space="preserve">The spread is an estimate built from annual inputs: the quarterly filings tag no interest expense, no pretax income and no tax expense, so both its effective tax rate and its cost of debt come from the last annual report filed before the call, and the two costs are weighted on book values rather than market ones. Its cost of equity is the risk-free rate plus the firm’s own post-call beta times the equity premium. Market risk therefore enters the outcome by construction, which is why the spread reads as a financial result rather than an operational one, and why it cannot be taken as evidence independent of the beta results.</w:t>
      </w:r>
    </w:p>
    <w:bookmarkEnd w:id="189"/>
    <w:bookmarkStart w:id="192" w:name="appendix-a9"/>
    <w:p>
      <w:pPr>
        <w:pStyle w:val="Ttulo3"/>
      </w:pPr>
      <w:r>
        <w:t xml:space="preserve">A.9 Validation datasets and protocol</w:t>
      </w:r>
    </w:p>
    <w:p>
      <w:pPr>
        <w:pStyle w:val="FirstParagraph"/>
      </w:pPr>
      <w:r>
        <w:t xml:space="preserve">Every automated stage of the pipeline is checked against held-out labels produced by an independent language model, and against an external, non-textual benchmark.</w:t>
      </w:r>
      <w:r>
        <w:t xml:space="preserve"> </w:t>
      </w:r>
      <w:hyperlink w:anchor="tbl-evaluation-datasets">
        <w:r>
          <w:rPr>
            <w:rStyle w:val="Hipervnculo"/>
          </w:rPr>
          <w:t xml:space="preserve">Table 36</w:t>
        </w:r>
      </w:hyperlink>
      <w:r>
        <w:t xml:space="preserve"> </w:t>
      </w:r>
      <w:r>
        <w:t xml:space="preserve">lists the benchmark datasets, their sample sizes and the performance at each tier. Human verification is implemented but not yet run:</w:t>
      </w:r>
      <w:r>
        <w:t xml:space="preserve"> </w:t>
      </w:r>
      <w:r>
        <w:rPr>
          <w:rStyle w:val="VerbatimChar"/>
        </w:rPr>
        <w:t xml:space="preserve">apps/validator</w:t>
      </w:r>
      <w:r>
        <w:t xml:space="preserve"> </w:t>
      </w:r>
      <w:r>
        <w:t xml:space="preserve">flattens each extraction into one factual question at a time, with the evidence sentences highlighted, answered yes, no or uncertain, and the review of a stratified sample remains an open task.</w:t>
      </w:r>
    </w:p>
    <w:bookmarkStart w:id="193" w:name="tbl-evaluation-datasets"/>
    <w:p>
      <w:pPr>
        <w:keepNext/>
        <w:pStyle w:val="ImageCaption"/>
        <w:jc w:val="left"/>
        <w:spacing w:before="200"/>
        <w:ind w:firstLine="0" w:left="0" w:right="0"/>
      </w:pPr>
      <w:r>
        <w:t xml:space="preserve">Table 36: Evaluation datasets and validation benchmarks.</w:t>
      </w:r>
    </w:p>
    <w:tbl>
      <w:tblPr>
        <w:tblStyle w:val="Table"/>
        <w:tblW w:type="pct" w:w="5000"/>
        <w:jc w:val="center"/>
        <w:tblLayout w:type="fixed"/>
        <w:tblLook w:firstRow="1" w:lastRow="0" w:firstColumn="0" w:lastColumn="0" w:noHBand="0" w:noVBand="0" w:val="0020"/>
        <w:tblBorders>
          <w:top w:val="single" w:sz="8" w:space="0" w:color="0F172A"/>
          <w:bottom w:val="single" w:sz="8" w:space="0" w:color="0F172A"/>
          <w:left w:val="none"/>
          <w:right w:val="none"/>
          <w:insideH w:val="single" w:sz="4" w:space="0" w:color="E2E8F0"/>
          <w:insideV w:val="none"/>
        </w:tblBorders>
        <w:tblCellMar>
          <w:top w:w="22" w:type="dxa"/>
          <w:bottom w:w="22" w:type="dxa"/>
          <w:left w:w="40" w:type="dxa"/>
          <w:right w:w="40" w:type="dxa"/>
        </w:tblCellMar>
      </w:tblPr>
      <w:tblGrid>
        <w:gridCol w:w="1250"/>
        <w:gridCol w:w="1250"/>
        <w:gridCol w:w="1250"/>
        <w:gridCol w:w="1667"/>
        <w:gridCol w:w="1250"/>
        <w:gridCol w:w="1250"/>
      </w:tblGrid>
      <w:tr>
        <w:trPr>
          <w:tblHeader w:val="on"/>
          <w:cantSplit/>
          <w:tblHeader/>
        </w:trPr>
        <w:tc>
          <w:tcPr>
            <w:shd w:fill="F1F5F9"/>
            <w:tcBorders>
              <w:bottom w:val="single" w:sz="8" w:space="0" w:color="475569"/>
            </w:tcBorders>
          </w:tcPr>
          <w:p>
            <w:pPr>
              <w:pStyle w:val="Compact"/>
              <w:keepNext/>
              <w:spacing w:before="8" w:after="8" w:line="240" w:lineRule="auto"/>
              <w:ind w:firstLine="0" w:left="0" w:right="0"/>
              <w:jc w:val="left"/>
            </w:pPr>
            <w:r>
              <w:rPr>
                <w:rFonts w:ascii="Calibri" w:hAnsi="Calibri"/>
                <w:b/>
                <w:color w:val="0F172A"/>
                <w:sz w:val="15"/>
              </w:rPr>
              <w:t xml:space="preserve">Benchmark dataset</w:t>
            </w:r>
          </w:p>
        </w:tc>
        <w:tc>
          <w:tcPr>
            <w:shd w:fill="F1F5F9"/>
            <w:tcBorders>
              <w:bottom w:val="single" w:sz="8" w:space="0" w:color="475569"/>
            </w:tcBorders>
          </w:tcPr>
          <w:p>
            <w:pPr>
              <w:pStyle w:val="Compact"/>
              <w:keepNext/>
              <w:spacing w:before="8" w:after="8" w:line="240" w:lineRule="auto"/>
              <w:ind w:firstLine="0" w:left="0" w:right="0"/>
              <w:jc w:val="left"/>
            </w:pPr>
            <w:r>
              <w:rPr>
                <w:rFonts w:ascii="Calibri" w:hAnsi="Calibri"/>
                <w:b/>
                <w:color w:val="0F172A"/>
                <w:sz w:val="15"/>
              </w:rPr>
              <w:t xml:space="preserve">What it validates</w:t>
            </w:r>
          </w:p>
        </w:tc>
        <w:tc>
          <w:tcPr>
            <w:shd w:fill="F1F5F9"/>
            <w:tcBorders>
              <w:bottom w:val="single" w:sz="8" w:space="0" w:color="475569"/>
            </w:tcBorders>
          </w:tcPr>
          <w:p>
            <w:pPr>
              <w:pStyle w:val="Compact"/>
              <w:keepNext/>
              <w:spacing w:before="8" w:after="8" w:line="240" w:lineRule="auto"/>
              <w:ind w:firstLine="0" w:left="0" w:right="0"/>
              <w:jc w:val="left"/>
            </w:pPr>
            <w:r>
              <w:rPr>
                <w:rFonts w:ascii="Calibri" w:hAnsi="Calibri"/>
                <w:b/>
                <w:color w:val="0F172A"/>
                <w:sz w:val="15"/>
              </w:rPr>
              <w:t xml:space="preserve">Forms</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5"/>
              </w:rPr>
              <w:t xml:space="preserve">Sample size</w:t>
            </w:r>
          </w:p>
        </w:tc>
        <w:tc>
          <w:tcPr>
            <w:shd w:fill="F1F5F9"/>
            <w:tcBorders>
              <w:bottom w:val="single" w:sz="8" w:space="0" w:color="475569"/>
            </w:tcBorders>
          </w:tcPr>
          <w:p>
            <w:pPr>
              <w:pStyle w:val="Compact"/>
              <w:keepNext/>
              <w:spacing w:before="8" w:after="8" w:line="240" w:lineRule="auto"/>
              <w:ind w:firstLine="0" w:left="0" w:right="0"/>
              <w:jc w:val="left"/>
            </w:pPr>
            <w:r>
              <w:rPr>
                <w:rFonts w:ascii="Calibri" w:hAnsi="Calibri"/>
                <w:b/>
                <w:color w:val="0F172A"/>
                <w:sz w:val="15"/>
              </w:rPr>
              <w:t xml:space="preserve">Labels from</w:t>
            </w:r>
          </w:p>
        </w:tc>
        <w:tc>
          <w:tcPr>
            <w:shd w:fill="F1F5F9"/>
            <w:tcBorders>
              <w:bottom w:val="single" w:sz="8" w:space="0" w:color="475569"/>
            </w:tcBorders>
          </w:tcPr>
          <w:p>
            <w:pPr>
              <w:pStyle w:val="Compact"/>
              <w:keepNext/>
              <w:spacing w:before="8" w:after="8" w:line="240" w:lineRule="auto"/>
              <w:ind w:firstLine="0" w:left="0" w:right="0"/>
              <w:jc w:val="left"/>
            </w:pPr>
            <w:r>
              <w:rPr>
                <w:rFonts w:ascii="Calibri" w:hAnsi="Calibri"/>
                <w:b/>
                <w:color w:val="0F172A"/>
                <w:sz w:val="15"/>
              </w:rPr>
              <w:t xml:space="preserve">Metric / performance</w:t>
            </w:r>
          </w:p>
        </w:tc>
      </w:tr>
      <w:tr>
        <w:trPr>
          <w:cantSplit/>
        </w:trPr>
        <w:tc>
          <w:tcPr/>
          <w:p>
            <w:pPr>
              <w:pStyle w:val="Compact"/>
              <w:keepNext/>
              <w:spacing w:before="8" w:after="8" w:line="240" w:lineRule="auto"/>
              <w:ind w:firstLine="0" w:left="0" w:right="0"/>
              <w:jc w:val="left"/>
            </w:pPr>
            <w:r>
              <w:rPr>
                <w:rFonts w:ascii="Calibri" w:hAnsi="Calibri"/>
                <w:b/>
                <w:bCs/>
                <w:sz w:val="15"/>
              </w:rPr>
              <w:t xml:space="preserve">Out-of-domain proxy statements and 8-Ks</w:t>
            </w:r>
          </w:p>
        </w:tc>
        <w:tc>
          <w:tcPr/>
          <w:p>
            <w:pPr>
              <w:pStyle w:val="Compact"/>
              <w:keepNext/>
              <w:spacing w:before="8" w:after="8" w:line="240" w:lineRule="auto"/>
              <w:ind w:firstLine="0" w:left="0" w:right="0"/>
              <w:jc w:val="left"/>
            </w:pPr>
            <w:r>
              <w:rPr>
                <w:rFonts w:ascii="Calibri" w:hAnsi="Calibri"/>
                <w:sz w:val="15"/>
              </w:rPr>
              <w:t xml:space="preserve">Gate transfer to forms not used in training</w:t>
            </w:r>
          </w:p>
        </w:tc>
        <w:tc>
          <w:tcPr/>
          <w:p>
            <w:pPr>
              <w:pStyle w:val="Compact"/>
              <w:keepNext/>
              <w:spacing w:before="8" w:after="8" w:line="240" w:lineRule="auto"/>
              <w:ind w:firstLine="0" w:left="0" w:right="0"/>
              <w:jc w:val="left"/>
            </w:pPr>
            <w:r>
              <w:rPr>
                <w:rFonts w:ascii="Calibri" w:hAnsi="Calibri"/>
                <w:sz w:val="15"/>
              </w:rPr>
              <w:t xml:space="preserve">DEF 14A, 8-K</w:t>
            </w:r>
          </w:p>
        </w:tc>
        <w:tc>
          <w:tcPr/>
          <w:p>
            <w:pPr>
              <w:pStyle w:val="Compact"/>
              <w:keepNext/>
              <w:spacing w:before="8" w:after="8" w:line="240" w:lineRule="auto"/>
              <w:ind w:firstLine="0" w:left="0" w:right="0"/>
              <w:jc w:val="left"/>
              <w:jc w:val="center"/>
            </w:pPr>
            <w:r>
              <w:rPr>
                <w:rFonts w:ascii="Calibri" w:hAnsi="Calibri"/>
                <w:sz w:val="15"/>
              </w:rPr>
              <w:t xml:space="preserve">1,500 texts</w:t>
            </w:r>
          </w:p>
        </w:tc>
        <w:tc>
          <w:tcPr/>
          <w:p>
            <w:pPr>
              <w:pStyle w:val="Compact"/>
              <w:keepNext/>
              <w:spacing w:before="8" w:after="8" w:line="240" w:lineRule="auto"/>
              <w:ind w:firstLine="0" w:left="0" w:right="0"/>
              <w:jc w:val="left"/>
            </w:pPr>
            <w:r>
              <w:rPr>
                <w:rFonts w:ascii="Calibri" w:hAnsi="Calibri"/>
                <w:sz w:val="15"/>
              </w:rPr>
              <w:t xml:space="preserve">Qwen 3.7 Flash</w:t>
            </w:r>
          </w:p>
        </w:tc>
        <w:tc>
          <w:tcPr/>
          <w:p>
            <w:pPr>
              <w:pStyle w:val="Compact"/>
              <w:keepNext/>
              <w:spacing w:before="8" w:after="8" w:line="240" w:lineRule="auto"/>
              <w:ind w:firstLine="0" w:left="0" w:right="0"/>
              <w:jc w:val="left"/>
            </w:pPr>
            <w:r>
              <w:rPr>
                <w:rFonts w:ascii="Calibri" w:hAnsi="Calibri"/>
                <w:sz w:val="15"/>
              </w:rPr>
              <w:t xml:space="preserve">Prec. 0.67, Rec. 0.97; F1 = 0.80 (14A), 0.73 (8-K)</w:t>
            </w:r>
          </w:p>
        </w:tc>
      </w:tr>
      <w:tr>
        <w:trPr>
          <w:cantSplit/>
        </w:trPr>
        <w:tc>
          <w:tcPr/>
          <w:p>
            <w:pPr>
              <w:pStyle w:val="Compact"/>
              <w:keepNext/>
              <w:spacing w:before="8" w:after="8" w:line="240" w:lineRule="auto"/>
              <w:ind w:firstLine="0" w:left="0" w:right="0"/>
              <w:jc w:val="left"/>
            </w:pPr>
            <w:r>
              <w:rPr>
                <w:rFonts w:ascii="Calibri" w:hAnsi="Calibri"/>
                <w:b/>
                <w:bCs/>
                <w:sz w:val="15"/>
              </w:rPr>
              <w:t xml:space="preserve">Out-of-domain earnings calls</w:t>
            </w:r>
          </w:p>
        </w:tc>
        <w:tc>
          <w:tcPr/>
          <w:p>
            <w:pPr>
              <w:pStyle w:val="Compact"/>
              <w:keepNext/>
              <w:spacing w:before="8" w:after="8" w:line="240" w:lineRule="auto"/>
              <w:ind w:firstLine="0" w:left="0" w:right="0"/>
              <w:jc w:val="left"/>
            </w:pPr>
            <w:r>
              <w:rPr>
                <w:rFonts w:ascii="Calibri" w:hAnsi="Calibri"/>
                <w:sz w:val="15"/>
              </w:rPr>
              <w:t xml:space="preserve">Gate transfer to transcripts</w:t>
            </w:r>
          </w:p>
        </w:tc>
        <w:tc>
          <w:tcPr/>
          <w:p>
            <w:pPr>
              <w:pStyle w:val="Compact"/>
              <w:keepNext/>
              <w:spacing w:before="8" w:after="8" w:line="240" w:lineRule="auto"/>
              <w:ind w:firstLine="0" w:left="0" w:right="0"/>
              <w:jc w:val="left"/>
            </w:pPr>
            <w:r>
              <w:rPr>
                <w:rFonts w:ascii="Calibri" w:hAnsi="Calibri"/>
                <w:sz w:val="15"/>
              </w:rPr>
              <w:t xml:space="preserve">Transcripts</w:t>
            </w:r>
          </w:p>
        </w:tc>
        <w:tc>
          <w:tcPr/>
          <w:p>
            <w:pPr>
              <w:pStyle w:val="Compact"/>
              <w:keepNext/>
              <w:spacing w:before="8" w:after="8" w:line="240" w:lineRule="auto"/>
              <w:ind w:firstLine="0" w:left="0" w:right="0"/>
              <w:jc w:val="left"/>
              <w:jc w:val="center"/>
            </w:pPr>
            <w:r>
              <w:rPr>
                <w:rFonts w:ascii="Calibri" w:hAnsi="Calibri"/>
                <w:sz w:val="15"/>
              </w:rPr>
              <w:t xml:space="preserve">800 texts</w:t>
            </w:r>
          </w:p>
        </w:tc>
        <w:tc>
          <w:tcPr/>
          <w:p>
            <w:pPr>
              <w:pStyle w:val="Compact"/>
              <w:keepNext/>
              <w:spacing w:before="8" w:after="8" w:line="240" w:lineRule="auto"/>
              <w:ind w:firstLine="0" w:left="0" w:right="0"/>
              <w:jc w:val="left"/>
            </w:pPr>
            <w:r>
              <w:rPr>
                <w:rFonts w:ascii="Calibri" w:hAnsi="Calibri"/>
                <w:sz w:val="15"/>
              </w:rPr>
              <w:t xml:space="preserve">Qwen 3.7 Flash</w:t>
            </w:r>
          </w:p>
        </w:tc>
        <w:tc>
          <w:tcPr/>
          <w:p>
            <w:pPr>
              <w:pStyle w:val="Compact"/>
              <w:keepNext/>
              <w:spacing w:before="8" w:after="8" w:line="240" w:lineRule="auto"/>
              <w:ind w:firstLine="0" w:left="0" w:right="0"/>
              <w:jc w:val="left"/>
            </w:pPr>
            <w:r>
              <w:rPr>
                <w:rFonts w:ascii="Calibri" w:hAnsi="Calibri"/>
                <w:sz w:val="15"/>
              </w:rPr>
              <w:t xml:space="preserve">Prec. 0.59, Rec. 0.98, F1 = 0.73 (Prec. 0.85 on strong positives)</w:t>
            </w:r>
          </w:p>
        </w:tc>
      </w:tr>
      <w:tr>
        <w:trPr>
          <w:cantSplit/>
        </w:trPr>
        <w:tc>
          <w:tcPr/>
          <w:p>
            <w:pPr>
              <w:pStyle w:val="Compact"/>
              <w:keepNext/>
              <w:spacing w:before="8" w:after="8" w:line="240" w:lineRule="auto"/>
              <w:ind w:firstLine="0" w:left="0" w:right="0"/>
              <w:jc w:val="left"/>
            </w:pPr>
            <w:r>
              <w:rPr>
                <w:rFonts w:ascii="Calibri" w:hAnsi="Calibri"/>
                <w:b/>
                <w:bCs/>
                <w:sz w:val="15"/>
              </w:rPr>
              <w:t xml:space="preserve">Semantic anchors</w:t>
            </w:r>
          </w:p>
        </w:tc>
        <w:tc>
          <w:tcPr/>
          <w:p>
            <w:pPr>
              <w:pStyle w:val="Compact"/>
              <w:keepNext/>
              <w:spacing w:before="8" w:after="8" w:line="240" w:lineRule="auto"/>
              <w:ind w:firstLine="0" w:left="0" w:right="0"/>
              <w:jc w:val="left"/>
            </w:pPr>
            <w:r>
              <w:rPr>
                <w:rFonts w:ascii="Calibri" w:hAnsi="Calibri"/>
                <w:sz w:val="15"/>
              </w:rPr>
              <w:t xml:space="preserve">Screening inputs: reference sentences describing AI concepts against which paragraph similarity is scored</w:t>
            </w:r>
          </w:p>
        </w:tc>
        <w:tc>
          <w:tcPr/>
          <w:p>
            <w:pPr>
              <w:pStyle w:val="Compact"/>
              <w:keepNext/>
              <w:spacing w:before="8" w:after="8" w:line="240" w:lineRule="auto"/>
              <w:ind w:firstLine="0" w:left="0" w:right="0"/>
              <w:jc w:val="left"/>
            </w:pPr>
            <w:r>
              <w:rPr>
                <w:rFonts w:ascii="Calibri" w:hAnsi="Calibri"/>
                <w:sz w:val="15"/>
              </w:rPr>
              <w:t xml:space="preserve">All forms</w:t>
            </w:r>
          </w:p>
        </w:tc>
        <w:tc>
          <w:tcPr/>
          <w:p>
            <w:pPr>
              <w:pStyle w:val="Compact"/>
              <w:keepNext/>
              <w:spacing w:before="8" w:after="8" w:line="240" w:lineRule="auto"/>
              <w:ind w:firstLine="0" w:left="0" w:right="0"/>
              <w:jc w:val="left"/>
              <w:jc w:val="center"/>
            </w:pPr>
            <w:r>
              <w:rPr>
                <w:rFonts w:ascii="Calibri" w:hAnsi="Calibri"/>
                <w:sz w:val="15"/>
              </w:rPr>
              <w:t xml:space="preserve">27 anchors</w:t>
            </w:r>
          </w:p>
        </w:tc>
        <w:tc>
          <w:tcPr/>
          <w:p>
            <w:pPr>
              <w:pStyle w:val="Compact"/>
              <w:keepNext/>
              <w:spacing w:before="8" w:after="8" w:line="240" w:lineRule="auto"/>
              <w:ind w:firstLine="0" w:left="0" w:right="0"/>
              <w:jc w:val="left"/>
            </w:pPr>
            <w:r>
              <w:rPr>
                <w:rFonts w:ascii="Calibri" w:hAnsi="Calibri"/>
                <w:sz w:val="15"/>
              </w:rPr>
              <w:t xml:space="preserve">Expert curated</w:t>
            </w:r>
          </w:p>
        </w:tc>
        <w:tc>
          <w:tcPr/>
          <w:p>
            <w:pPr>
              <w:pStyle w:val="Compact"/>
              <w:keepNext/>
              <w:spacing w:before="8" w:after="8" w:line="240" w:lineRule="auto"/>
              <w:ind w:firstLine="0" w:left="0" w:right="0"/>
              <w:jc w:val="left"/>
            </w:pPr>
            <w:r>
              <w:rPr>
                <w:rFonts w:ascii="Calibri" w:hAnsi="Calibri"/>
                <w:sz w:val="15"/>
              </w:rPr>
              <w:t xml:space="preserve">39 screening signals, including similarity to the anchors</w:t>
            </w:r>
          </w:p>
        </w:tc>
      </w:tr>
      <w:tr>
        <w:trPr>
          <w:cantSplit/>
        </w:trPr>
        <w:tc>
          <w:tcPr/>
          <w:p>
            <w:pPr>
              <w:pStyle w:val="Compact"/>
              <w:keepNext/>
              <w:spacing w:before="8" w:after="8" w:line="240" w:lineRule="auto"/>
              <w:ind w:firstLine="0" w:left="0" w:right="0"/>
              <w:jc w:val="left"/>
            </w:pPr>
            <w:r>
              <w:rPr>
                <w:rFonts w:ascii="Calibri" w:hAnsi="Calibri"/>
                <w:b/>
                <w:bCs/>
                <w:sz w:val="15"/>
              </w:rPr>
              <w:t xml:space="preserve">Prefilter human check (pending)</w:t>
            </w:r>
          </w:p>
        </w:tc>
        <w:tc>
          <w:tcPr/>
          <w:p>
            <w:pPr>
              <w:pStyle w:val="Compact"/>
              <w:keepNext/>
              <w:spacing w:before="8" w:after="8" w:line="240" w:lineRule="auto"/>
              <w:ind w:firstLine="0" w:left="0" w:right="0"/>
              <w:jc w:val="left"/>
            </w:pPr>
            <w:r>
              <w:rPr>
                <w:rFonts w:ascii="Calibri" w:hAnsi="Calibri"/>
                <w:sz w:val="15"/>
              </w:rPr>
              <w:t xml:space="preserve">Screening decisions read against the full paragraph text</w:t>
            </w:r>
          </w:p>
        </w:tc>
        <w:tc>
          <w:tcPr/>
          <w:p>
            <w:pPr>
              <w:pStyle w:val="Compact"/>
              <w:keepNext/>
              <w:spacing w:before="8" w:after="8" w:line="240" w:lineRule="auto"/>
              <w:ind w:firstLine="0" w:left="0" w:right="0"/>
              <w:jc w:val="left"/>
            </w:pPr>
            <w:r>
              <w:rPr>
                <w:rFonts w:ascii="Calibri" w:hAnsi="Calibri"/>
                <w:sz w:val="15"/>
              </w:rPr>
              <w:t xml:space="preserve">10-K, 10-Q</w:t>
            </w:r>
          </w:p>
        </w:tc>
        <w:tc>
          <w:tcPr/>
          <w:p>
            <w:pPr>
              <w:pStyle w:val="Compact"/>
              <w:keepNext/>
              <w:spacing w:before="8" w:after="8" w:line="240" w:lineRule="auto"/>
              <w:ind w:firstLine="0" w:left="0" w:right="0"/>
              <w:jc w:val="left"/>
              <w:jc w:val="center"/>
            </w:pPr>
            <w:r>
              <w:rPr>
                <w:rFonts w:ascii="Calibri" w:hAnsi="Calibri"/>
                <w:sz w:val="15"/>
              </w:rPr>
              <w:t xml:space="preserve">300 paragraphs drawn</w:t>
            </w:r>
          </w:p>
        </w:tc>
        <w:tc>
          <w:tcPr/>
          <w:p>
            <w:pPr>
              <w:pStyle w:val="Compact"/>
              <w:keepNext/>
              <w:spacing w:before="8" w:after="8" w:line="240" w:lineRule="auto"/>
              <w:ind w:firstLine="0" w:left="0" w:right="0"/>
              <w:jc w:val="left"/>
            </w:pPr>
            <w:r>
              <w:rPr>
                <w:rFonts w:ascii="Calibri" w:hAnsi="Calibri"/>
                <w:sz w:val="15"/>
              </w:rPr>
              <w:t xml:space="preserve">Atomic validator, stratified random sample</w:t>
            </w:r>
          </w:p>
        </w:tc>
        <w:tc>
          <w:tcPr/>
          <w:p>
            <w:pPr>
              <w:pStyle w:val="Compact"/>
              <w:keepNext/>
              <w:spacing w:before="8" w:after="8" w:line="240" w:lineRule="auto"/>
              <w:ind w:firstLine="0" w:left="0" w:right="0"/>
              <w:jc w:val="left"/>
            </w:pPr>
            <w:r>
              <w:rPr>
                <w:rFonts w:ascii="Calibri" w:hAnsi="Calibri"/>
                <w:sz w:val="15"/>
              </w:rPr>
              <w:t xml:space="preserve">Sample built, review not yet run</w:t>
            </w:r>
          </w:p>
        </w:tc>
      </w:tr>
      <w:tr>
        <w:trPr>
          <w:cantSplit/>
        </w:trPr>
        <w:tc>
          <w:tcPr/>
          <w:p>
            <w:pPr>
              <w:pStyle w:val="Compact"/>
              <w:keepNext/>
              <w:spacing w:before="8" w:after="8" w:line="240" w:lineRule="auto"/>
              <w:ind w:firstLine="0" w:left="0" w:right="0"/>
              <w:jc w:val="left"/>
            </w:pPr>
            <w:r>
              <w:rPr>
                <w:rFonts w:ascii="Calibri" w:hAnsi="Calibri"/>
                <w:b/>
                <w:bCs/>
                <w:sz w:val="15"/>
              </w:rPr>
              <w:t xml:space="preserve">Activity field check (pending)</w:t>
            </w:r>
          </w:p>
        </w:tc>
        <w:tc>
          <w:tcPr/>
          <w:p>
            <w:pPr>
              <w:pStyle w:val="Compact"/>
              <w:keepNext/>
              <w:spacing w:before="8" w:after="8" w:line="240" w:lineRule="auto"/>
              <w:ind w:firstLine="0" w:left="0" w:right="0"/>
              <w:jc w:val="left"/>
            </w:pPr>
            <w:r>
              <w:rPr>
                <w:rFonts w:ascii="Calibri" w:hAnsi="Calibri"/>
                <w:sz w:val="15"/>
              </w:rPr>
              <w:t xml:space="preserve">Activity fields (function, stage, entity role) that feed</w:t>
            </w:r>
            <w:r>
              <w:rPr>
                <w:rFonts w:ascii="Calibri" w:hAnsi="Calibri"/>
                <w:sz w:val="15"/>
              </w:rPr>
              <w:t xml:space="preserve"> </w:t>
            </w:r>
            <m:oMath>
              <m:r>
                <w:rPr>
                  <w:sz w:val="15"/>
                </w:rPr>
                <m:t>A</m:t>
              </m:r>
            </m:oMath>
            <w:r>
              <w:rPr>
                <w:rFonts w:ascii="Calibri" w:hAnsi="Calibri"/>
                <w:sz w:val="15"/>
              </w:rPr>
              <w:t xml:space="preserve">,</w:t>
            </w:r>
            <w:r>
              <w:rPr>
                <w:rFonts w:ascii="Calibri" w:hAnsi="Calibri"/>
                <w:sz w:val="15"/>
              </w:rPr>
              <w:t xml:space="preserve"> </w:t>
            </w:r>
            <m:oMath>
              <m:r>
                <w:rPr>
                  <w:sz w:val="15"/>
                </w:rPr>
                <m:t>G</m:t>
              </m:r>
            </m:oMath>
            <w:r>
              <w:rPr>
                <w:rFonts w:ascii="Calibri" w:hAnsi="Calibri"/>
                <w:sz w:val="15"/>
              </w:rPr>
              <w:t xml:space="preserve">,</w:t>
            </w:r>
            <w:r>
              <w:rPr>
                <w:rFonts w:ascii="Calibri" w:hAnsi="Calibri"/>
                <w:sz w:val="15"/>
              </w:rPr>
              <w:t xml:space="preserve"> </w:t>
            </w:r>
            <m:oMath>
              <m:r>
                <w:rPr>
                  <w:sz w:val="15"/>
                </w:rPr>
                <m:t>S</m:t>
              </m:r>
            </m:oMath>
            <w:r>
              <w:rPr>
                <w:rFonts w:ascii="Calibri" w:hAnsi="Calibri"/>
                <w:sz w:val="15"/>
              </w:rPr>
              <w:t xml:space="preserve"> </w:t>
            </w:r>
            <w:r>
              <w:rPr>
                <w:rFonts w:ascii="Calibri" w:hAnsi="Calibri"/>
                <w:sz w:val="15"/>
              </w:rPr>
              <w:t xml:space="preserve">and</w:t>
            </w:r>
            <w:r>
              <w:rPr>
                <w:rFonts w:ascii="Calibri" w:hAnsi="Calibri"/>
                <w:sz w:val="15"/>
              </w:rPr>
              <w:t xml:space="preserve"> </w:t>
            </w:r>
            <m:oMath>
              <m:r>
                <w:rPr>
                  <w:sz w:val="15"/>
                </w:rPr>
                <m:t>W</m:t>
              </m:r>
            </m:oMath>
          </w:p>
        </w:tc>
        <w:tc>
          <w:tcPr/>
          <w:p>
            <w:pPr>
              <w:pStyle w:val="Compact"/>
              <w:keepNext/>
              <w:spacing w:before="8" w:after="8" w:line="240" w:lineRule="auto"/>
              <w:ind w:firstLine="0" w:left="0" w:right="0"/>
              <w:jc w:val="left"/>
            </w:pPr>
            <w:r>
              <w:rPr>
                <w:rFonts w:ascii="Calibri" w:hAnsi="Calibri"/>
                <w:sz w:val="15"/>
              </w:rPr>
              <w:t xml:space="preserve">Mixed sample</w:t>
            </w:r>
          </w:p>
        </w:tc>
        <w:tc>
          <w:tcPr/>
          <w:p>
            <w:pPr>
              <w:pStyle w:val="Compact"/>
              <w:keepNext/>
              <w:spacing w:before="8" w:after="8" w:line="240" w:lineRule="auto"/>
              <w:ind w:firstLine="0" w:left="0" w:right="0"/>
              <w:jc w:val="left"/>
              <w:jc w:val="center"/>
            </w:pPr>
            <w:r>
              <w:rPr>
                <w:rFonts w:ascii="Calibri" w:hAnsi="Calibri"/>
                <w:sz w:val="15"/>
              </w:rPr>
              <w:t xml:space="preserve">120 paragraphs, 267 activities drawn</w:t>
            </w:r>
          </w:p>
        </w:tc>
        <w:tc>
          <w:tcPr/>
          <w:p>
            <w:pPr>
              <w:pStyle w:val="Compact"/>
              <w:keepNext/>
              <w:spacing w:before="8" w:after="8" w:line="240" w:lineRule="auto"/>
              <w:ind w:firstLine="0" w:left="0" w:right="0"/>
              <w:jc w:val="left"/>
            </w:pPr>
            <w:r>
              <w:rPr>
                <w:rFonts w:ascii="Calibri" w:hAnsi="Calibri"/>
                <w:sz w:val="15"/>
              </w:rPr>
              <w:t xml:space="preserve">Atomic validator, one field at a time</w:t>
            </w:r>
          </w:p>
        </w:tc>
        <w:tc>
          <w:tcPr/>
          <w:p>
            <w:pPr>
              <w:pStyle w:val="Compact"/>
              <w:keepNext/>
              <w:spacing w:before="8" w:after="8" w:line="240" w:lineRule="auto"/>
              <w:ind w:firstLine="0" w:left="0" w:right="0"/>
              <w:jc w:val="left"/>
            </w:pPr>
            <w:r>
              <w:rPr>
                <w:rFonts w:ascii="Calibri" w:hAnsi="Calibri"/>
                <w:sz w:val="15"/>
              </w:rPr>
              <w:t xml:space="preserve">Sample built, review not yet run</w:t>
            </w:r>
          </w:p>
        </w:tc>
      </w:tr>
      <w:tr>
        <w:trPr>
          <w:cantSplit/>
        </w:trPr>
        <w:tc>
          <w:tcPr/>
          <w:p>
            <w:pPr>
              <w:pStyle w:val="Compact"/>
              <w:spacing w:before="8" w:after="8" w:line="240" w:lineRule="auto"/>
              <w:ind w:firstLine="0" w:left="0" w:right="0"/>
              <w:jc w:val="left"/>
            </w:pPr>
            <w:r>
              <w:rPr>
                <w:rFonts w:ascii="Calibri" w:hAnsi="Calibri"/>
                <w:b/>
                <w:bCs/>
                <w:sz w:val="15"/>
              </w:rPr>
              <w:t xml:space="preserve">External benchmark: AI patents</w:t>
            </w:r>
          </w:p>
        </w:tc>
        <w:tc>
          <w:tcPr/>
          <w:p>
            <w:pPr>
              <w:pStyle w:val="Compact"/>
              <w:spacing w:before="8" w:after="8" w:line="240" w:lineRule="auto"/>
              <w:ind w:firstLine="0" w:left="0" w:right="0"/>
              <w:jc w:val="left"/>
            </w:pPr>
            <w:r>
              <w:rPr>
                <w:rFonts w:ascii="Calibri" w:hAnsi="Calibri"/>
                <w:sz w:val="15"/>
              </w:rPr>
              <w:t xml:space="preserve">Whether</w:t>
            </w:r>
            <w:r>
              <w:rPr>
                <w:rFonts w:ascii="Calibri" w:hAnsi="Calibri"/>
                <w:sz w:val="15"/>
              </w:rPr>
              <w:t xml:space="preserve"> </w:t>
            </w:r>
            <m:oMath>
              <m:r>
                <w:rPr>
                  <w:sz w:val="15"/>
                </w:rPr>
                <m:t>A</m:t>
              </m:r>
            </m:oMath>
            <w:r>
              <w:rPr>
                <w:rFonts w:ascii="Calibri" w:hAnsi="Calibri"/>
                <w:sz w:val="15"/>
              </w:rPr>
              <w:t xml:space="preserve">,</w:t>
            </w:r>
            <w:r>
              <w:rPr>
                <w:rFonts w:ascii="Calibri" w:hAnsi="Calibri"/>
                <w:sz w:val="15"/>
              </w:rPr>
              <w:t xml:space="preserve"> </w:t>
            </w:r>
            <m:oMath>
              <m:r>
                <w:rPr>
                  <w:sz w:val="15"/>
                </w:rPr>
                <m:t>G</m:t>
              </m:r>
            </m:oMath>
            <w:r>
              <w:rPr>
                <w:rFonts w:ascii="Calibri" w:hAnsi="Calibri"/>
                <w:sz w:val="15"/>
              </w:rPr>
              <w:t xml:space="preserve"> </w:t>
            </w:r>
            <w:r>
              <w:rPr>
                <w:rFonts w:ascii="Calibri" w:hAnsi="Calibri"/>
                <w:sz w:val="15"/>
              </w:rPr>
              <w:t xml:space="preserve">and</w:t>
            </w:r>
            <w:r>
              <w:rPr>
                <w:rFonts w:ascii="Calibri" w:hAnsi="Calibri"/>
                <w:sz w:val="15"/>
              </w:rPr>
              <w:t xml:space="preserve"> </w:t>
            </w:r>
            <m:oMath>
              <m:r>
                <w:rPr>
                  <w:sz w:val="15"/>
                </w:rPr>
                <m:t>W</m:t>
              </m:r>
            </m:oMath>
            <w:r>
              <w:rPr>
                <w:rFonts w:ascii="Calibri" w:hAnsi="Calibri"/>
                <w:sz w:val="15"/>
              </w:rPr>
              <w:t xml:space="preserve"> </w:t>
            </w:r>
            <w:r>
              <w:rPr>
                <w:rFonts w:ascii="Calibri" w:hAnsi="Calibri"/>
                <w:sz w:val="15"/>
              </w:rPr>
              <w:t xml:space="preserve">order firms like an independent, non-textual measure of AI capacity</w:t>
            </w:r>
          </w:p>
        </w:tc>
        <w:tc>
          <w:tcPr/>
          <w:p>
            <w:pPr>
              <w:pStyle w:val="Compact"/>
              <w:spacing w:before="8" w:after="8" w:line="240" w:lineRule="auto"/>
              <w:ind w:firstLine="0" w:left="0" w:right="0"/>
              <w:jc w:val="left"/>
            </w:pPr>
            <w:r>
              <w:rPr>
                <w:rFonts w:ascii="Calibri" w:hAnsi="Calibri"/>
                <w:sz w:val="15"/>
              </w:rPr>
              <w:t xml:space="preserve">10-K, 10-Q, DEF 14A, 8-K, calls</w:t>
            </w:r>
          </w:p>
        </w:tc>
        <w:tc>
          <w:tcPr/>
          <w:p>
            <w:pPr>
              <w:pStyle w:val="Compact"/>
              <w:spacing w:before="8" w:after="8" w:line="240" w:lineRule="auto"/>
              <w:ind w:firstLine="0" w:left="0" w:right="0"/>
              <w:jc w:val="left"/>
              <w:jc w:val="center"/>
            </w:pPr>
            <w:r>
              <w:rPr>
                <w:rFonts w:ascii="Calibri" w:hAnsi="Calibri"/>
                <w:sz w:val="15"/>
              </w:rPr>
              <w:t xml:space="preserve">Universe firms with matched patents, 2021–2023</w:t>
            </w:r>
          </w:p>
        </w:tc>
        <w:tc>
          <w:tcPr/>
          <w:p>
            <w:pPr>
              <w:pStyle w:val="Compact"/>
              <w:spacing w:before="8" w:after="8" w:line="240" w:lineRule="auto"/>
              <w:ind w:firstLine="0" w:left="0" w:right="0"/>
              <w:jc w:val="left"/>
            </w:pPr>
            <w:r>
              <w:rPr>
                <w:rFonts w:ascii="Calibri" w:hAnsi="Calibri"/>
                <w:sz w:val="15"/>
              </w:rPr>
              <w:t xml:space="preserve">Google Patents / OECD 2025 AI taxonomy</w:t>
            </w:r>
          </w:p>
        </w:tc>
        <w:tc>
          <w:tcPr/>
          <w:p>
            <w:pPr>
              <w:pStyle w:val="Compact"/>
              <w:spacing w:before="8" w:after="8" w:line="240" w:lineRule="auto"/>
              <w:ind w:firstLine="0" w:left="0" w:right="0"/>
              <w:jc w:val="left"/>
            </w:pPr>
            <w:r>
              <w:rPr>
                <w:rFonts w:ascii="Calibri" w:hAnsi="Calibri"/>
                <w:sz w:val="15"/>
              </w:rPr>
              <w:t xml:space="preserve">Spearman ρ ≈ 0.5 between disclosed (and grounded) activity and AI patents; archetypes sort in the predicted order (below)</w:t>
            </w:r>
          </w:p>
        </w:tc>
      </w:tr>
    </w:tbl>
    <w:bookmarkEnd w:id="190"/>
    <w:p>
      <w:pPr>
        <w:pStyle w:val="FigureNote"/>
        <w:ind w:firstLine="0" w:left="0" w:right="0"/>
        <w:spacing w:before="0" w:after="120"/>
      </w:pPr>
      <w:r>
        <w:rPr>
          <w:i/>
          <w:iCs/>
        </w:rPr>
        <w:t xml:space="preserve">Notes:</w:t>
      </w:r>
      <w:r>
        <w:t xml:space="preserve"> </w:t>
      </w:r>
      <w:r>
        <w:t xml:space="preserve">All operational labels used in the empirical chapters come from zero-shot LLM extraction, and the reported accuracy figures compare them against labels from a second, independent model. No human-audited ground truth is reported.</w:t>
      </w:r>
    </w:p>
    <w:p>
      <w:pPr>
        <w:pStyle w:val="Textoindependiente"/>
      </w:pPr>
      <w:r>
        <w:t xml:space="preserve">Two benchmarks in</w:t>
      </w:r>
      <w:r>
        <w:t xml:space="preserve"> </w:t>
      </w:r>
      <w:hyperlink w:anchor="tbl-evaluation-datasets">
        <w:r>
          <w:rPr>
            <w:rStyle w:val="Hipervnculo"/>
          </w:rPr>
          <w:t xml:space="preserve">Table 36</w:t>
        </w:r>
      </w:hyperlink>
      <w:r>
        <w:t xml:space="preserve"> </w:t>
      </w:r>
      <w:r>
        <w:t xml:space="preserve">are waiting on human judgment: the 300-paragraph prefilter review and the 120-paragraph, 267-activity field check. Both samples are drawn and loaded into the validator; neither has been reviewed, so no accuracy figure is reported for them. The two out-of-domain transfer tests measure the prefilter against labels it was not trained on, which says how far it carries to forms and transcripts outside its training distribution, not whether those labels are themselves correct.</w:t>
      </w:r>
    </w:p>
    <w:bookmarkEnd w:id="191"/>
    <w:bookmarkStart w:id="194" w:name="appendix-a10"/>
    <w:p>
      <w:pPr>
        <w:pStyle w:val="Ttulo3"/>
      </w:pPr>
      <w:r>
        <w:t xml:space="preserve">A.10 External benchmark: disclosed AI activity against AI patents</w:t>
      </w:r>
    </w:p>
    <w:p>
      <w:pPr>
        <w:pStyle w:val="FirstParagraph"/>
      </w:pPr>
      <w:r>
        <w:t xml:space="preserve">The measurement constructs are extracted from what firms write; no audited census of corporate AI deployment exists against which to check them. Prior work reaches for the same kind of external evidence:</w:t>
      </w:r>
      <w:r>
        <w:t xml:space="preserve"> </w:t>
      </w:r>
      <w:r>
        <w:t xml:space="preserve">Babina et al. (</w:t>
      </w:r>
      <w:hyperlink w:anchor="ref-babina2024">
        <w:r>
          <w:rPr>
            <w:rStyle w:val="Hipervnculo"/>
          </w:rPr>
          <w:t xml:space="preserve">2024</w:t>
        </w:r>
      </w:hyperlink>
      <w:r>
        <w:t xml:space="preserve">)</w:t>
      </w:r>
      <w:r>
        <w:t xml:space="preserve"> </w:t>
      </w:r>
      <w:r>
        <w:t xml:space="preserve">measure AI adoption through job postings, and</w:t>
      </w:r>
      <w:r>
        <w:t xml:space="preserve"> </w:t>
      </w:r>
      <w:r>
        <w:t xml:space="preserve">Song et al. (</w:t>
      </w:r>
      <w:hyperlink w:anchor="ref-song2026">
        <w:r>
          <w:rPr>
            <w:rStyle w:val="Hipervnculo"/>
          </w:rPr>
          <w:t xml:space="preserve">2026</w:t>
        </w:r>
      </w:hyperlink>
      <w:r>
        <w:t xml:space="preserve">)</w:t>
      </w:r>
      <w:r>
        <w:t xml:space="preserve"> </w:t>
      </w:r>
      <w:r>
        <w:t xml:space="preserve">cross AI disclosure narrative against patent data, precisely because the text cannot be taken at face value on its own. AI patents offer the closest external, non-textual observable of technological capacity available here. Patent publications are assigned to universe issuers via curated assignee aliases (operating subsidiaries and IP holding entities). AI patents are identified using the OECD (2025) taxonomy: five unconditional core CPC groups and 95 application groups requiring AI keywords in title or abstract.</w:t>
      </w:r>
    </w:p>
    <w:p>
      <w:pPr>
        <w:pStyle w:val="Textoindependiente"/>
      </w:pPr>
      <w:r>
        <w:t xml:space="preserve">Under statutory patent rules (35 U.S.C. § 122(b)), applications remain confidential until publication 18 months after filing. To ensure an un-truncated, stationary benchmark where all applications have matured into public documents, the comparison window closes at 2021–2023. Patents remain an incomplete benchmark: routine workflow automation rarely produces a patent.</w:t>
      </w:r>
      <w:r>
        <w:t xml:space="preserve"> </w:t>
      </w:r>
      <w:hyperlink w:anchor="tbl-b1-patents-controls">
        <w:r>
          <w:rPr>
            <w:rStyle w:val="Hipervnculo"/>
          </w:rPr>
          <w:t xml:space="preserve">Table 37</w:t>
        </w:r>
      </w:hyperlink>
      <w:r>
        <w:t xml:space="preserve"> </w:t>
      </w:r>
      <w:r>
        <w:t xml:space="preserve">tests whether firms disclosing more, and more grounded, AI activity hold systematically greater patented AI capacity, controlling for firm size and sector so the result is not an artifact of large firms in patent-heavy sectors disclosing more of everything.</w:t>
      </w:r>
    </w:p>
    <w:bookmarkStart w:id="195" w:name="tbl-b1-patents-controls"/>
    <w:p>
      <w:pPr>
        <w:keepNext/>
        <w:pStyle w:val="ImageCaption"/>
        <w:jc w:val="left"/>
        <w:spacing w:before="200"/>
        <w:ind w:firstLine="0" w:left="0" w:right="0"/>
      </w:pPr>
      <w:r>
        <w:t xml:space="preserve">Table 37:</w:t>
      </w:r>
      <w:r>
        <w:t xml:space="preserve"> </w:t>
      </w:r>
      <w:r>
        <w:rPr>
          <w:rStyle w:val="CaptionText"/>
        </w:rPr>
        <w:t xml:space="preserve">OLS of log(1 + AI patents, 2021-2023) on log disclosed AI activity, controlling for log market capitalization and 2-digit SIC fixed effects.</w:t>
      </w:r>
    </w:p>
    <w:tbl>
      <w:tblPr>
        <w:tblStyle w:val="Table"/>
        <w:tblW w:type="auto" w:w="0"/>
        <w:jc w:val="center"/>
        <w:tblLook w:firstRow="1" w:lastRow="0" w:firstColumn="0" w:lastColumn="0" w:noHBand="0" w:noVBand="0" w:val="0020"/>
        <w:tblBorders>
          <w:top w:val="single" w:sz="8" w:space="0" w:color="0F172A"/>
          <w:bottom w:val="single" w:sz="8" w:space="0" w:color="0F172A"/>
          <w:left w:val="none"/>
          <w:right w:val="none"/>
          <w:insideH w:val="single" w:sz="4" w:space="0" w:color="E2E8F0"/>
          <w:insideV w:val="none"/>
        </w:tblBorders>
        <w:tblCellMar>
          <w:top w:w="26" w:type="dxa"/>
          <w:bottom w:w="26" w:type="dxa"/>
          <w:left w:w="48" w:type="dxa"/>
          <w:right w:w="48" w:type="dxa"/>
        </w:tblCellMar>
      </w:tblPr>
      <w:tblGrid>
        <w:gridCol w:w="2640"/>
        <w:gridCol w:w="2640"/>
        <w:gridCol w:w="2640"/>
      </w:tblGrid>
      <w:tr>
        <w:trPr>
          <w:tblHeader w:val="on"/>
          <w:cantSplit/>
          <w:tblHeader/>
        </w:trPr>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6"/>
              </w:rPr>
              <w:t xml:space="preserve">Regressor (each in a separate model with log market cap + SIC FE)</w:t>
            </w:r>
          </w:p>
        </w:tc>
        <w:tc>
          <w:tcPr>
            <w:shd w:fill="F1F5F9"/>
            <w:tcBorders>
              <w:bottom w:val="single" w:sz="8" w:space="0" w:color="475569"/>
            </w:tcBorders>
          </w:tcPr>
          <w:p>
            <w:pPr>
              <w:pStyle w:val="Compact"/>
              <w:keepNext/>
              <w:spacing w:before="8" w:after="8" w:line="240" w:lineRule="auto"/>
              <w:ind w:firstLine="0" w:left="0" w:right="0"/>
              <w:jc w:val="right"/>
              <w:jc w:val="center"/>
            </w:pPr>
            <w:r>
              <w:rPr>
                <w:rFonts w:ascii="Calibri" w:hAnsi="Calibri"/>
                <w:b/>
                <w:color w:val="0F172A"/>
                <w:sz w:val="16"/>
              </w:rPr>
              <w:t xml:space="preserve">Coefficient</w:t>
            </w:r>
          </w:p>
        </w:tc>
        <w:tc>
          <w:tcPr>
            <w:shd w:fill="F1F5F9"/>
            <w:tcBorders>
              <w:bottom w:val="single" w:sz="8" w:space="0" w:color="475569"/>
            </w:tcBorders>
          </w:tcPr>
          <w:p>
            <w:pPr>
              <w:pStyle w:val="Compact"/>
              <w:keepNext/>
              <w:spacing w:before="8" w:after="8" w:line="240" w:lineRule="auto"/>
              <w:ind w:firstLine="0" w:left="0" w:right="0"/>
              <w:jc w:val="right"/>
              <w:jc w:val="center"/>
            </w:pPr>
            <w:r>
              <w:rPr>
                <w:rFonts w:ascii="Calibri" w:hAnsi="Calibri"/>
                <w:b/>
                <w:color w:val="0F172A"/>
                <w:sz w:val="16"/>
              </w:rPr>
              <w:t xml:space="preserve">p</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Disclosed AI activities (</w:t>
            </w:r>
            <m:oMath>
              <m:r>
                <m:rPr>
                  <m:sty m:val="p"/>
                </m:rPr>
                <w:rPr>
                  <w:sz w:val="16"/>
                </w:rPr>
                <m:t>log</m:t>
              </m:r>
              <m:r>
                <w:rPr>
                  <w:sz w:val="16"/>
                </w:rPr>
                <m:t>A</m:t>
              </m:r>
            </m:oMath>
            <w:r>
              <w:rPr>
                <w:rFonts w:ascii="Calibri" w:hAnsi="Calibri"/>
                <w:sz w:val="16"/>
              </w:rPr>
              <w:t xml:space="preserve">)</w:t>
            </w:r>
          </w:p>
        </w:tc>
        <w:tc>
          <w:tcPr/>
          <w:p>
            <w:pPr>
              <w:pStyle w:val="Compact"/>
              <w:keepNext/>
              <w:spacing w:before="8" w:after="8" w:line="240" w:lineRule="auto"/>
              <w:ind w:firstLine="0" w:left="0" w:right="0"/>
              <w:jc w:val="right"/>
              <w:jc w:val="center"/>
            </w:pPr>
            <w:r>
              <w:rPr>
                <w:rFonts w:ascii="Calibri" w:hAnsi="Calibri"/>
                <w:sz w:val="16"/>
              </w:rPr>
              <w:t xml:space="preserve">0.434</w:t>
            </w:r>
          </w:p>
        </w:tc>
        <w:tc>
          <w:tcPr/>
          <w:p>
            <w:pPr>
              <w:pStyle w:val="Compact"/>
              <w:keepNext/>
              <w:spacing w:before="8" w:after="8" w:line="240" w:lineRule="auto"/>
              <w:ind w:firstLine="0" w:left="0" w:right="0"/>
              <w:jc w:val="right"/>
              <w:jc w:val="center"/>
            </w:pPr>
            <w:r>
              <w:rPr>
                <w:rFonts w:ascii="Calibri" w:hAnsi="Calibri"/>
                <w:sz w:val="16"/>
              </w:rPr>
              <w:t xml:space="preserve">3.7e-08</w:t>
            </w:r>
          </w:p>
        </w:tc>
      </w:tr>
      <w:tr>
        <w:trPr>
          <w:cantSplit/>
        </w:trPr>
        <w:tc>
          <w:tcPr/>
          <w:p>
            <w:pPr>
              <w:pStyle w:val="Compact"/>
              <w:spacing w:before="8" w:after="8" w:line="240" w:lineRule="auto"/>
              <w:ind w:firstLine="0" w:left="0" w:right="0"/>
              <w:jc w:val="left"/>
              <w:jc w:val="center"/>
            </w:pPr>
            <w:r>
              <w:rPr>
                <w:rFonts w:ascii="Calibri" w:hAnsi="Calibri"/>
                <w:sz w:val="16"/>
              </w:rPr>
              <w:t xml:space="preserve">Grounded activities (</w:t>
            </w:r>
            <m:oMath>
              <m:r>
                <m:rPr>
                  <m:sty m:val="p"/>
                </m:rPr>
                <w:rPr>
                  <w:sz w:val="16"/>
                </w:rPr>
                <m:t>log</m:t>
              </m:r>
              <m:r>
                <w:rPr>
                  <w:sz w:val="16"/>
                </w:rPr>
                <m:t>G</m:t>
              </m:r>
            </m:oMath>
            <w:r>
              <w:rPr>
                <w:rFonts w:ascii="Calibri" w:hAnsi="Calibri"/>
                <w:sz w:val="16"/>
              </w:rPr>
              <w:t xml:space="preserve">)</w:t>
            </w:r>
          </w:p>
        </w:tc>
        <w:tc>
          <w:tcPr/>
          <w:p>
            <w:pPr>
              <w:pStyle w:val="Compact"/>
              <w:spacing w:before="8" w:after="8" w:line="240" w:lineRule="auto"/>
              <w:ind w:firstLine="0" w:left="0" w:right="0"/>
              <w:jc w:val="right"/>
              <w:jc w:val="center"/>
            </w:pPr>
            <w:r>
              <w:rPr>
                <w:rFonts w:ascii="Calibri" w:hAnsi="Calibri"/>
                <w:sz w:val="16"/>
              </w:rPr>
              <w:t xml:space="preserve">0.408</w:t>
            </w:r>
          </w:p>
        </w:tc>
        <w:tc>
          <w:tcPr/>
          <w:p>
            <w:pPr>
              <w:pStyle w:val="Compact"/>
              <w:spacing w:before="8" w:after="8" w:line="240" w:lineRule="auto"/>
              <w:ind w:firstLine="0" w:left="0" w:right="0"/>
              <w:jc w:val="right"/>
              <w:jc w:val="center"/>
            </w:pPr>
            <w:r>
              <w:rPr>
                <w:rFonts w:ascii="Calibri" w:hAnsi="Calibri"/>
                <w:sz w:val="16"/>
              </w:rPr>
              <w:t xml:space="preserve">1.1e-08</w:t>
            </w:r>
          </w:p>
        </w:tc>
      </w:tr>
    </w:tbl>
    <w:bookmarkEnd w:id="192"/>
    <w:p/>
    <w:p>
      <w:pPr>
        <w:pStyle w:val="Textoindependiente"/>
      </w:pPr>
      <w:r>
        <w:t xml:space="preserve">Disclosed AI activity predicts AI patenting even after controlling for firm size and sector: with 343 firms across 49 SIC groups, a one-log-point increase in disclosed AI activities is associated with 0.43 additional log-patents (p &lt; 0.001), and the same holds for grounded activities alone (0.41, p &lt; 0.001). The constructs extracted by the LLM therefore order firms in the same way as an independent measure of technological development that has nothing to do with the text.</w:t>
      </w:r>
    </w:p>
    <w:bookmarkEnd w:id="193"/>
    <w:bookmarkStart w:id="196" w:name="appendix-a11"/>
    <w:p>
      <w:pPr>
        <w:pStyle w:val="Ttulo3"/>
      </w:pPr>
      <w:r>
        <w:t xml:space="preserve">A.11 Error taxonomy, classification robustness, and aggregation reliability</w:t>
      </w:r>
    </w:p>
    <w:p>
      <w:pPr>
        <w:pStyle w:val="FirstParagraph"/>
      </w:pPr>
      <w:r>
        <w:t xml:space="preserve">Only the prefilter rejects a passage outright, and it is calibrated to prioritize recall (metrics in</w:t>
      </w:r>
      <w:r>
        <w:t xml:space="preserve"> </w:t>
      </w:r>
      <w:hyperlink w:anchor="appendix-a9">
        <w:r>
          <w:rPr>
            <w:rStyle w:val="Hipervnculo"/>
          </w:rPr>
          <w:t xml:space="preserve">Appendix A.9</w:t>
        </w:r>
      </w:hyperlink>
      <w:r>
        <w:t xml:space="preserve">) at the cost of passing some borderline material forward. Passages that reach the extractor but yield no semantic frame are the visible trace of that choice, most commonly passages containing only incidental keywords, macro commentary, or generic disclaimers. A passage the prefilter misses before the LLM ever sees it remains a source of residual measurement error, since a prefilter with recall below 100% cannot guarantee that no relevant disclosure is dropped.</w:t>
      </w:r>
    </w:p>
    <w:p>
      <w:pPr>
        <w:pStyle w:val="Textoindependiente"/>
      </w:pPr>
      <w:r>
        <w:t xml:space="preserve">Among the frames that are extracted, the discrepancies concentrate at one margin: between a forward-looking promotional claim and a description of early exploratory research. These borderline cases show no systematic correlation with firm size, leverage or sector. Collapsing the borderline categories, or reweighting them, leaves the firm-level posture scores and the archetype assignments essentially unchanged (Spearman</w:t>
      </w:r>
      <w:r>
        <w:t xml:space="preserve"> </w:t>
      </w:r>
      <m:oMath>
        <m:r>
          <w:rPr>
            <w:sz w:val="22"/>
          </w:rPr>
          <m:t>ρ</m:t>
        </m:r>
        <m:r>
          <m:rPr>
            <m:sty m:val="p"/>
          </m:rPr>
          <w:rPr>
            <w:sz w:val="22"/>
          </w:rPr>
          <m:t>&gt;</m:t>
        </m:r>
        <m:r>
          <w:rPr>
            <w:sz w:val="22"/>
          </w:rPr>
          <m:t>0.96</m:t>
        </m:r>
      </m:oMath>
      <w:r>
        <w:t xml:space="preserve"> </w:t>
      </w:r>
      <w:r>
        <w:t xml:space="preserve">in every specification tried), so the empirical findings do not depend on the residual measurement noise.</w:t>
      </w:r>
    </w:p>
    <w:p>
      <w:pPr>
        <w:pStyle w:val="Textoindependiente"/>
      </w:pPr>
      <w:r>
        <w:t xml:space="preserve">Firm-year rates aggregate from document-level frame counts through the median. Two checks test how much that choice matters. First, log-transforming the concept counts before aggregation gives higher year-over-year reliability than aggregating raw shares (</w:t>
      </w:r>
      <m:oMath>
        <m:r>
          <w:rPr>
            <w:sz w:val="22"/>
          </w:rPr>
          <m:t>ρ</m:t>
        </m:r>
        <m:r>
          <m:rPr>
            <m:sty m:val="p"/>
          </m:rPr>
          <w:rPr>
            <w:sz w:val="22"/>
          </w:rPr>
          <m:t>=</m:t>
        </m:r>
        <m:r>
          <w:rPr>
            <w:sz w:val="22"/>
          </w:rPr>
          <m:t>0.845</m:t>
        </m:r>
      </m:oMath>
      <w:r>
        <w:t xml:space="preserve"> </w:t>
      </w:r>
      <w:r>
        <w:t xml:space="preserve">against</w:t>
      </w:r>
      <w:r>
        <w:t xml:space="preserve"> </w:t>
      </w:r>
      <m:oMath>
        <m:r>
          <w:rPr>
            <w:sz w:val="22"/>
          </w:rPr>
          <m:t>0.528</m:t>
        </m:r>
      </m:oMath>
      <w:r>
        <w:t xml:space="preserve">), so the log transform adds stability on top of what the median already provides. Second, when a firm has very little AI-related text, and a firm-year rate therefore rests on a handful of documents, the rate is shrunk toward the sample mean by empirical-Bayes estimation</w:t>
      </w:r>
      <w:r>
        <w:t xml:space="preserve"> </w:t>
      </w:r>
      <w:r>
        <w:t xml:space="preserve">(</w:t>
      </w:r>
      <w:hyperlink w:anchor="ref-efron1973">
        <w:r>
          <w:rPr>
            <w:rStyle w:val="Hipervnculo"/>
          </w:rPr>
          <w:t xml:space="preserve">Efron and Morris 1973</w:t>
        </w:r>
      </w:hyperlink>
      <w:r>
        <w:t xml:space="preserve">)</w:t>
      </w:r>
      <w:r>
        <w:t xml:space="preserve">, which lowers the variance of an estimate built on thin evidence without throwing any document away.</w:t>
      </w:r>
    </w:p>
    <w:bookmarkEnd w:id="194"/>
    <w:bookmarkEnd w:id="195"/>
    <w:bookmarkStart w:id="197" w:name="appendix-b"/>
    <w:p>
      <w:pPr>
        <w:pStyle w:val="Ttulo2"/>
      </w:pPr>
      <w:r>
        <w:t xml:space="preserve">Appendix B: Supplementary Disclosure and AI Activity Results</w:t>
      </w:r>
    </w:p>
    <w:bookmarkStart w:id="198" w:name="appendix-b1"/>
    <w:p>
      <w:pPr>
        <w:pStyle w:val="Ttulo3"/>
      </w:pPr>
      <w:r>
        <w:t xml:space="preserve">B.1 Archetypal Analysis: formal specification</w:t>
      </w:r>
    </w:p>
    <w:p>
      <w:pPr>
        <w:pStyle w:val="FirstParagraph"/>
      </w:pPr>
      <w:r>
        <w:t xml:space="preserve">Archetypal Analysis</w:t>
      </w:r>
      <w:r>
        <w:t xml:space="preserve"> </w:t>
      </w:r>
      <w:r>
        <w:t xml:space="preserve">(</w:t>
      </w:r>
      <w:hyperlink w:anchor="ref-cutler1994">
        <w:r>
          <w:rPr>
            <w:rStyle w:val="Hipervnculo"/>
          </w:rPr>
          <w:t xml:space="preserve">Cutler and Breiman 1994</w:t>
        </w:r>
      </w:hyperlink>
      <w:r>
        <w:t xml:space="preserve">)</w:t>
      </w:r>
      <w:r>
        <w:t xml:space="preserve"> </w:t>
      </w:r>
      <w:r>
        <w:t xml:space="preserve">represents every firm</w:t>
      </w:r>
      <w:r>
        <w:t xml:space="preserve"> </w:t>
      </w:r>
      <m:oMath>
        <m:r>
          <w:rPr>
            <w:sz w:val="22"/>
          </w:rPr>
          <m:t>i</m:t>
        </m:r>
      </m:oMath>
      <w:r>
        <w:t xml:space="preserve"> </w:t>
      </w:r>
      <w:r>
        <w:t xml:space="preserve">as a convex combination of</w:t>
      </w:r>
      <w:r>
        <w:t xml:space="preserve"> </w:t>
      </w:r>
      <m:oMath>
        <m:r>
          <w:rPr>
            <w:sz w:val="22"/>
          </w:rPr>
          <m:t>k</m:t>
        </m:r>
      </m:oMath>
      <w:r>
        <w:t xml:space="preserve"> </w:t>
      </w:r>
      <w:r>
        <w:t xml:space="preserve">extreme boundary vertices in the standardized seven-dimensional posture space:</w:t>
      </w:r>
    </w:p>
    <w:p>
      <w:pPr>
        <w:pStyle w:val="Textoindependiente"/>
      </w:pPr>
      <m:oMathPara>
        <m:oMathParaPr>
          <m:jc m:val="center"/>
        </m:oMathParaPr>
        <m:oMath>
          <m:sSub>
            <m:e>
              <m:r>
                <w:rPr>
                  <w:sz w:val="22"/>
                </w:rPr>
                <m:t>x</m:t>
              </m:r>
            </m:e>
            <m:sub>
              <m:r>
                <w:rPr>
                  <w:sz w:val="22"/>
                </w:rPr>
                <m:t>i</m:t>
              </m:r>
            </m:sub>
          </m:sSub>
          <m:r>
            <m:rPr>
              <m:sty m:val="p"/>
            </m:rPr>
            <w:rPr>
              <w:sz w:val="22"/>
            </w:rPr>
            <m:t>≈</m:t>
          </m:r>
          <m:nary>
            <m:naryPr>
              <m:chr m:val="∑"/>
              <m:limLoc m:val="undOvr"/>
              <m:subHide m:val="off"/>
              <m:supHide m:val="off"/>
            </m:naryPr>
            <m:sub>
              <m:r>
                <w:rPr>
                  <w:sz w:val="22"/>
                </w:rPr>
                <m:t>j</m:t>
              </m:r>
              <m:r>
                <m:rPr>
                  <m:sty m:val="p"/>
                </m:rPr>
                <w:rPr>
                  <w:sz w:val="22"/>
                </w:rPr>
                <m:t>=</m:t>
              </m:r>
              <m:r>
                <w:rPr>
                  <w:sz w:val="22"/>
                </w:rPr>
                <m:t>1</m:t>
              </m:r>
            </m:sub>
            <m:sup>
              <m:r>
                <w:rPr>
                  <w:sz w:val="22"/>
                </w:rPr>
                <m:t>k</m:t>
              </m:r>
            </m:sup>
            <m:e>
              <m:sSub>
                <m:e>
                  <m:r>
                    <w:rPr>
                      <w:sz w:val="22"/>
                    </w:rPr>
                    <m:t>w</m:t>
                  </m:r>
                </m:e>
                <m:sub>
                  <m:r>
                    <w:rPr>
                      <w:sz w:val="22"/>
                    </w:rPr>
                    <m:t>i</m:t>
                  </m:r>
                  <m:r>
                    <w:rPr>
                      <w:sz w:val="22"/>
                    </w:rPr>
                    <m:t>j</m:t>
                  </m:r>
                </m:sub>
              </m:sSub>
            </m:e>
          </m:nary>
          <m:sSub>
            <m:e>
              <m:r>
                <w:rPr>
                  <w:sz w:val="22"/>
                </w:rPr>
                <m:t>z</m:t>
              </m:r>
            </m:e>
            <m:sub>
              <m:r>
                <w:rPr>
                  <w:sz w:val="22"/>
                </w:rPr>
                <m:t>j</m:t>
              </m:r>
            </m:sub>
          </m:sSub>
          <m:r>
            <m:rPr>
              <m:sty m:val="p"/>
            </m:rPr>
            <w:rPr>
              <w:sz w:val="22"/>
            </w:rPr>
            <m:t>,</m:t>
          </m:r>
          <m:r>
            <w:rPr>
              <w:sz w:val="22"/>
            </w:rPr>
            <m:t> </m:t>
          </m:r>
          <m:r>
            <m:rPr>
              <m:nor/>
              <m:sty m:val="p"/>
            </m:rPr>
            <w:rPr>
              <w:sz w:val="22"/>
            </w:rPr>
            <m:t>subject to</m:t>
          </m:r>
          <m:r>
            <w:rPr>
              <w:sz w:val="22"/>
            </w:rPr>
            <m:t> </m:t>
          </m:r>
          <m:nary>
            <m:naryPr>
              <m:chr m:val="∑"/>
              <m:limLoc m:val="undOvr"/>
              <m:subHide m:val="off"/>
              <m:supHide m:val="off"/>
            </m:naryPr>
            <m:sub>
              <m:r>
                <w:rPr>
                  <w:sz w:val="22"/>
                </w:rPr>
                <m:t>j</m:t>
              </m:r>
              <m:r>
                <m:rPr>
                  <m:sty m:val="p"/>
                </m:rPr>
                <w:rPr>
                  <w:sz w:val="22"/>
                </w:rPr>
                <m:t>=</m:t>
              </m:r>
              <m:r>
                <w:rPr>
                  <w:sz w:val="22"/>
                </w:rPr>
                <m:t>1</m:t>
              </m:r>
            </m:sub>
            <m:sup>
              <m:r>
                <w:rPr>
                  <w:sz w:val="22"/>
                </w:rPr>
                <m:t>k</m:t>
              </m:r>
            </m:sup>
            <m:e>
              <m:sSub>
                <m:e>
                  <m:r>
                    <w:rPr>
                      <w:sz w:val="22"/>
                    </w:rPr>
                    <m:t>w</m:t>
                  </m:r>
                </m:e>
                <m:sub>
                  <m:r>
                    <w:rPr>
                      <w:sz w:val="22"/>
                    </w:rPr>
                    <m:t>i</m:t>
                  </m:r>
                  <m:r>
                    <w:rPr>
                      <w:sz w:val="22"/>
                    </w:rPr>
                    <m:t>j</m:t>
                  </m:r>
                </m:sub>
              </m:sSub>
            </m:e>
          </m:nary>
          <m:r>
            <m:rPr>
              <m:sty m:val="p"/>
            </m:rPr>
            <w:rPr>
              <w:sz w:val="22"/>
            </w:rPr>
            <m:t>=</m:t>
          </m:r>
          <m:r>
            <w:rPr>
              <w:sz w:val="22"/>
            </w:rPr>
            <m:t>1</m:t>
          </m:r>
          <m:r>
            <m:rPr>
              <m:sty m:val="p"/>
            </m:rPr>
            <w:rPr>
              <w:sz w:val="22"/>
            </w:rPr>
            <m:t>,</m:t>
          </m:r>
          <m:r>
            <w:rPr>
              <w:sz w:val="22"/>
            </w:rPr>
            <m:t> </m:t>
          </m:r>
          <m:sSub>
            <m:e>
              <m:r>
                <w:rPr>
                  <w:sz w:val="22"/>
                </w:rPr>
                <m:t>w</m:t>
              </m:r>
            </m:e>
            <m:sub>
              <m:r>
                <w:rPr>
                  <w:sz w:val="22"/>
                </w:rPr>
                <m:t>i</m:t>
              </m:r>
              <m:r>
                <w:rPr>
                  <w:sz w:val="22"/>
                </w:rPr>
                <m:t>j</m:t>
              </m:r>
            </m:sub>
          </m:sSub>
          <m:r>
            <m:rPr>
              <m:sty m:val="p"/>
            </m:rPr>
            <w:rPr>
              <w:sz w:val="22"/>
            </w:rPr>
            <m:t>≥</m:t>
          </m:r>
          <m:r>
            <w:rPr>
              <w:sz w:val="22"/>
            </w:rPr>
            <m:t>0</m:t>
          </m:r>
        </m:oMath>
      </m:oMathPara>
    </w:p>
    <w:p>
      <w:pPr>
        <w:pStyle w:val="FirstParagraph"/>
      </w:pPr>
      <w:r>
        <w:t xml:space="preserve">where</w:t>
      </w:r>
      <w:r>
        <w:t xml:space="preserve"> </w:t>
      </w:r>
      <m:oMath>
        <m:sSub>
          <m:e>
            <m:r>
              <w:rPr>
                <w:sz w:val="22"/>
              </w:rPr>
              <m:t>z</m:t>
            </m:r>
          </m:e>
          <m:sub>
            <m:r>
              <w:rPr>
                <w:sz w:val="22"/>
              </w:rPr>
              <m:t>j</m:t>
            </m:r>
          </m:sub>
        </m:sSub>
        <m:r>
          <m:rPr>
            <m:sty m:val="p"/>
          </m:rPr>
          <w:rPr>
            <w:sz w:val="22"/>
          </w:rPr>
          <m:t>∈</m:t>
        </m:r>
        <m:sSup>
          <m:e>
            <m:r>
              <m:rPr>
                <m:sty m:val="p"/>
                <m:scr m:val="double-struck"/>
              </m:rPr>
              <w:rPr>
                <w:sz w:val="22"/>
              </w:rPr>
              <m:t>R</m:t>
            </m:r>
          </m:e>
          <m:sup>
            <m:r>
              <w:rPr>
                <w:sz w:val="22"/>
              </w:rPr>
              <m:t>7</m:t>
            </m:r>
          </m:sup>
        </m:sSup>
      </m:oMath>
      <w:r>
        <w:t xml:space="preserve"> </w:t>
      </w:r>
      <w:r>
        <w:t xml:space="preserve">are the archetypal coordinate vectors and</w:t>
      </w:r>
      <w:r>
        <w:t xml:space="preserve"> </w:t>
      </w:r>
      <m:oMath>
        <m:sSub>
          <m:e>
            <m:r>
              <w:rPr>
                <w:sz w:val="22"/>
              </w:rPr>
              <m:t>w</m:t>
            </m:r>
          </m:e>
          <m:sub>
            <m:r>
              <w:rPr>
                <w:sz w:val="22"/>
              </w:rPr>
              <m:t>i</m:t>
            </m:r>
            <m:r>
              <w:rPr>
                <w:sz w:val="22"/>
              </w:rPr>
              <m:t>j</m:t>
            </m:r>
          </m:sub>
        </m:sSub>
      </m:oMath>
      <w:r>
        <w:t xml:space="preserve"> </w:t>
      </w:r>
      <w:r>
        <w:t xml:space="preserve">are the barycentric weights reflecting firm</w:t>
      </w:r>
      <w:r>
        <w:t xml:space="preserve"> </w:t>
      </w:r>
      <m:oMath>
        <m:r>
          <w:rPr>
            <w:sz w:val="22"/>
          </w:rPr>
          <m:t>i</m:t>
        </m:r>
      </m:oMath>
      <w:r>
        <w:t xml:space="preserve">’s posture portfolio.</w:t>
      </w:r>
    </w:p>
    <w:p>
      <w:pPr>
        <w:pStyle w:val="Textoindependiente"/>
      </w:pPr>
      <w:r>
        <w:t xml:space="preserve">The archetype count (</w:t>
      </w:r>
      <m:oMath>
        <m:r>
          <w:rPr>
            <w:sz w:val="22"/>
          </w:rPr>
          <m:t>k</m:t>
        </m:r>
        <m:r>
          <m:rPr>
            <m:sty m:val="p"/>
          </m:rPr>
          <w:rPr>
            <w:sz w:val="22"/>
          </w:rPr>
          <m:t>=</m:t>
        </m:r>
        <m:r>
          <w:rPr>
            <w:sz w:val="22"/>
          </w:rPr>
          <m:t>3</m:t>
        </m:r>
      </m:oMath>
      <w:r>
        <w:t xml:space="preserve">) used throughout this thesis is chosen by the 50-replicate dual bootstrap reported in Chapter 2 (</w:t>
      </w:r>
      <w:hyperlink w:anchor="fig-archetype-stability">
        <w:r>
          <w:rPr>
            <w:rStyle w:val="Hipervnculo"/>
          </w:rPr>
          <w:t xml:space="preserve">Figure 9</w:t>
        </w:r>
      </w:hyperlink>
      <w:r>
        <w:t xml:space="preserve">). The supporting robustness checks follow: a principal-components diagnostic, the substantive comparison against</w:t>
      </w:r>
      <w:r>
        <w:t xml:space="preserve"> </w:t>
      </w:r>
      <m:oMath>
        <m:r>
          <w:rPr>
            <w:sz w:val="22"/>
          </w:rPr>
          <m:t>k</m:t>
        </m:r>
        <m:r>
          <m:rPr>
            <m:sty m:val="p"/>
          </m:rPr>
          <w:rPr>
            <w:sz w:val="22"/>
          </w:rPr>
          <m:t>=</m:t>
        </m:r>
        <m:r>
          <w:rPr>
            <w:sz w:val="22"/>
          </w:rPr>
          <m:t>2</m:t>
        </m:r>
      </m:oMath>
      <w:r>
        <w:t xml:space="preserve">, a fixed-</w:t>
      </w:r>
      <m:oMath>
        <m:r>
          <w:rPr>
            <w:sz w:val="22"/>
          </w:rPr>
          <m:t>N</m:t>
        </m:r>
      </m:oMath>
      <w:r>
        <w:t xml:space="preserve"> </w:t>
      </w:r>
      <w:r>
        <w:t xml:space="preserve">check, a K-means cross-check and out-of-sample temporal validation.</w:t>
      </w:r>
    </w:p>
    <w:bookmarkEnd w:id="196"/>
    <w:bookmarkStart w:id="199" w:name="appendix-b2"/>
    <w:p>
      <w:pPr>
        <w:pStyle w:val="Ttulo3"/>
      </w:pPr>
      <w:r>
        <w:t xml:space="preserve">B.2 Archetype count: PCA,</w:t>
      </w:r>
      <w:r>
        <w:t xml:space="preserve"> </w:t>
      </w:r>
      <m:oMath>
        <m:r>
          <w:rPr>
            <w:sz w:val="22"/>
          </w:rPr>
          <m:t>k</m:t>
        </m:r>
        <m:r>
          <m:rPr>
            <m:sty m:val="p"/>
          </m:rPr>
          <w:rPr>
            <w:sz w:val="22"/>
          </w:rPr>
          <m:t>=</m:t>
        </m:r>
        <m:r>
          <w:rPr>
            <w:sz w:val="22"/>
          </w:rPr>
          <m:t>2</m:t>
        </m:r>
      </m:oMath>
      <w:r>
        <w:t xml:space="preserve"> </w:t>
      </w:r>
      <w:r>
        <w:t xml:space="preserve">comparison, fixed-</w:t>
      </w:r>
      <m:oMath>
        <m:r>
          <w:rPr>
            <w:sz w:val="22"/>
          </w:rPr>
          <m:t>N</m:t>
        </m:r>
      </m:oMath>
      <w:r>
        <w:t xml:space="preserve">, and K-means robustness</w:t>
      </w:r>
    </w:p>
    <w:p>
      <w:pPr>
        <w:pStyle w:val="FirstParagraph"/>
      </w:pPr>
      <w:r>
        <w:rPr>
          <w:b/>
          <w:bCs/>
        </w:rPr>
        <w:t xml:space="preserve">Why</w:t>
      </w:r>
      <w:r>
        <w:rPr>
          <w:b/>
          <w:bCs/>
        </w:rPr>
        <w:t xml:space="preserve"> </w:t>
      </w:r>
      <m:oMath>
        <m:r>
          <w:rPr>
            <w:sz w:val="22"/>
          </w:rPr>
          <m:t>k</m:t>
        </m:r>
        <m:r>
          <m:rPr>
            <m:sty m:val="p"/>
          </m:rPr>
          <w:rPr>
            <w:sz w:val="22"/>
          </w:rPr>
          <m:t>=</m:t>
        </m:r>
        <m:r>
          <w:rPr>
            <w:sz w:val="22"/>
          </w:rPr>
          <m:t>2</m:t>
        </m:r>
      </m:oMath>
      <w:r>
        <w:rPr>
          <w:b/>
          <w:bCs/>
        </w:rPr>
        <w:t xml:space="preserve"> </w:t>
      </w:r>
      <w:r>
        <w:rPr>
          <w:b/>
          <w:bCs/>
        </w:rPr>
        <w:t xml:space="preserve">is rejected on substantive grounds.</w:t>
      </w:r>
      <w:r>
        <w:t xml:space="preserve"> </w:t>
      </w:r>
      <w:r>
        <w:t xml:space="preserve">Two poles are mathematically stable under both bootstrap regimes, but they remove governance orientation altogether and with it the institutional difference between board oversight and a statutory risk warning. At</w:t>
      </w:r>
      <w:r>
        <w:t xml:space="preserve"> </w:t>
      </w:r>
      <m:oMath>
        <m:r>
          <w:rPr>
            <w:sz w:val="22"/>
          </w:rPr>
          <m:t>k</m:t>
        </m:r>
        <m:r>
          <m:rPr>
            <m:sty m:val="p"/>
          </m:rPr>
          <w:rPr>
            <w:sz w:val="22"/>
          </w:rPr>
          <m:t>=</m:t>
        </m:r>
        <m:r>
          <w:rPr>
            <w:sz w:val="22"/>
          </w:rPr>
          <m:t>2</m:t>
        </m:r>
      </m:oMath>
      <w:r>
        <w:t xml:space="preserve">, Archetype 0 has promotional</w:t>
      </w:r>
      <w:r>
        <w:t xml:space="preserve"> </w:t>
      </w:r>
      <m:oMath>
        <m:r>
          <m:rPr>
            <m:sty m:val="p"/>
          </m:rPr>
          <w:rPr>
            <w:sz w:val="22"/>
          </w:rPr>
          <m:t>=</m:t>
        </m:r>
      </m:oMath>
      <w:r>
        <w:t xml:space="preserve"> </w:t>
      </w:r>
      <w:r>
        <w:t xml:space="preserve">-1.06, risk</w:t>
      </w:r>
      <w:r>
        <w:t xml:space="preserve"> </w:t>
      </w:r>
      <m:oMath>
        <m:r>
          <m:rPr>
            <m:sty m:val="p"/>
          </m:rPr>
          <w:rPr>
            <w:sz w:val="22"/>
          </w:rPr>
          <m:t>=</m:t>
        </m:r>
      </m:oMath>
      <w:r>
        <w:t xml:space="preserve"> </w:t>
      </w:r>
      <w:r>
        <w:t xml:space="preserve">+1.08, governance</w:t>
      </w:r>
      <w:r>
        <w:t xml:space="preserve"> </w:t>
      </w:r>
      <m:oMath>
        <m:r>
          <m:rPr>
            <m:sty m:val="p"/>
          </m:rPr>
          <w:rPr>
            <w:sz w:val="22"/>
          </w:rPr>
          <m:t>=</m:t>
        </m:r>
      </m:oMath>
      <w:r>
        <w:t xml:space="preserve"> </w:t>
      </w:r>
      <w:r>
        <w:t xml:space="preserve">-0.10, specificity</w:t>
      </w:r>
      <w:r>
        <w:t xml:space="preserve"> </w:t>
      </w:r>
      <m:oMath>
        <m:r>
          <m:rPr>
            <m:sty m:val="p"/>
          </m:rPr>
          <w:rPr>
            <w:sz w:val="22"/>
          </w:rPr>
          <m:t>=</m:t>
        </m:r>
      </m:oMath>
      <w:r>
        <w:t xml:space="preserve"> </w:t>
      </w:r>
      <w:r>
        <w:t xml:space="preserve">-1.06; Archetype 1 has promotional</w:t>
      </w:r>
      <w:r>
        <w:t xml:space="preserve"> </w:t>
      </w:r>
      <m:oMath>
        <m:r>
          <m:rPr>
            <m:sty m:val="p"/>
          </m:rPr>
          <w:rPr>
            <w:sz w:val="22"/>
          </w:rPr>
          <m:t>=</m:t>
        </m:r>
      </m:oMath>
      <w:r>
        <w:t xml:space="preserve"> </w:t>
      </w:r>
      <w:r>
        <w:t xml:space="preserve">+2.17, risk</w:t>
      </w:r>
      <w:r>
        <w:t xml:space="preserve"> </w:t>
      </w:r>
      <m:oMath>
        <m:r>
          <m:rPr>
            <m:sty m:val="p"/>
          </m:rPr>
          <w:rPr>
            <w:sz w:val="22"/>
          </w:rPr>
          <m:t>=</m:t>
        </m:r>
      </m:oMath>
      <w:r>
        <w:t xml:space="preserve"> </w:t>
      </w:r>
      <w:r>
        <w:t xml:space="preserve">-2.19, governance</w:t>
      </w:r>
      <w:r>
        <w:t xml:space="preserve"> </w:t>
      </w:r>
      <m:oMath>
        <m:r>
          <m:rPr>
            <m:sty m:val="p"/>
          </m:rPr>
          <w:rPr>
            <w:sz w:val="22"/>
          </w:rPr>
          <m:t>=</m:t>
        </m:r>
      </m:oMath>
      <w:r>
        <w:t xml:space="preserve"> </w:t>
      </w:r>
      <w:r>
        <w:t xml:space="preserve">+0.20, specificity</w:t>
      </w:r>
      <w:r>
        <w:t xml:space="preserve"> </w:t>
      </w:r>
      <m:oMath>
        <m:r>
          <m:rPr>
            <m:sty m:val="p"/>
          </m:rPr>
          <w:rPr>
            <w:sz w:val="22"/>
          </w:rPr>
          <m:t>=</m:t>
        </m:r>
      </m:oMath>
      <w:r>
        <w:t xml:space="preserve"> </w:t>
      </w:r>
      <w:r>
        <w:t xml:space="preserve">+2.15. A discrete K-means benchmark on the same standardized posture matrix reproduces the same three-archetype partition.</w:t>
      </w:r>
    </w:p>
    <w:p>
      <w:pPr>
        <w:pStyle w:val="Textoindependiente"/>
      </w:pPr>
      <w:r>
        <w:t xml:space="preserve">A principal components diagnostic confirms that the space cannot be collapsed into one score without heavy information loss: the first two components capture 64.9% of the variance (PC1: 45.7%, PC2: 19.2%).</w:t>
      </w:r>
    </w:p>
    <w:bookmarkStart w:id="200" w:name="out-of-sample-temporal-validation"/>
    <w:p>
      <w:pPr>
        <w:pStyle w:val="Ttulo4"/>
      </w:pPr>
      <w:r>
        <w:t xml:space="preserve">Out-of-sample temporal validation</w:t>
      </w:r>
    </w:p>
    <w:p>
      <w:pPr>
        <w:pStyle w:val="FirstParagraph"/>
      </w:pPr>
      <w:r>
        <w:t xml:space="preserve">A model frozen on the 2021–2024 firm-years is applied to the 385 firm-years of 2025, reaching ARI = 0.299 against an unconstrained 2025 refit with Jaccard recovery of 43.2–69.3% across archetypes. The stricter pre-GenAI 2021–2023 training window shows only a weak post-2023 recovery (ARI = 0.015; Vocal Substantives recovered at just 5.7%).</w:t>
      </w:r>
    </w:p>
    <w:p>
      <w:pPr>
        <w:pStyle w:val="Textoindependiente"/>
      </w:pPr>
      <w:r>
        <w:t xml:space="preserve">Freezing on 2021–2025 and testing on the 417 firm-years observed so far in 2026 gives ARI = 0.627. The posture rates do not depend on how far the calendar has advanced, so the taxonomy is not an artifact of the first commercialization wave.</w:t>
      </w:r>
    </w:p>
    <w:bookmarkEnd w:id="197"/>
    <w:bookmarkEnd w:id="198"/>
    <w:bookmarkStart w:id="201" w:name="appendix-b3"/>
    <w:p>
      <w:pPr>
        <w:pStyle w:val="Ttulo3"/>
      </w:pPr>
      <w:r>
        <w:t xml:space="preserve">B.3 AI disclosure strategy dimensions: correlation diagnostics</w:t>
      </w:r>
    </w:p>
    <w:p>
      <w:pPr>
        <w:pStyle w:val="FirstParagraph"/>
      </w:pPr>
      <w:hyperlink w:anchor="tbl-a3-posture-correlation">
        <w:r>
          <w:rPr>
            <w:rStyle w:val="Hipervnculo"/>
          </w:rPr>
          <w:t xml:space="preserve">Table 38</w:t>
        </w:r>
      </w:hyperlink>
      <w:r>
        <w:t xml:space="preserve"> </w:t>
      </w:r>
      <w:r>
        <w:t xml:space="preserve">reports the correlation structure across the eight AI disclosure strategy dimensions.</w:t>
      </w:r>
    </w:p>
    <w:bookmarkStart w:id="202" w:name="tbl-a3-posture-correlation"/>
    <w:p>
      <w:pPr>
        <w:keepNext/>
        <w:pStyle w:val="ImageCaption"/>
        <w:jc w:val="left"/>
        <w:spacing w:before="200"/>
        <w:ind w:firstLine="0" w:left="0" w:right="0"/>
      </w:pPr>
      <w:r>
        <w:t xml:space="preserve">Table 38:</w:t>
      </w:r>
      <w:r>
        <w:t xml:space="preserve"> </w:t>
      </w:r>
      <w:r>
        <w:rPr>
          <w:rStyle w:val="CaptionText"/>
        </w:rPr>
        <w:t xml:space="preserve">Correlation matrix of the seven fitted posture dimensions and disclosure intensity, which is reported here but does not enter the fit.</w:t>
      </w:r>
    </w:p>
    <w:tbl>
      <w:tblPr>
        <w:tblStyle w:val="Table"/>
        <w:tblW w:type="auto" w:w="0"/>
        <w:jc w:val="center"/>
        <w:tblLook w:firstRow="1" w:lastRow="0" w:firstColumn="0" w:lastColumn="0" w:noHBand="0" w:noVBand="0" w:val="0020"/>
        <w:tblBorders>
          <w:top w:val="single" w:sz="8" w:space="0" w:color="0F172A"/>
          <w:bottom w:val="single" w:sz="8" w:space="0" w:color="0F172A"/>
          <w:left w:val="none"/>
          <w:right w:val="none"/>
          <w:insideH w:val="single" w:sz="4" w:space="0" w:color="E2E8F0"/>
          <w:insideV w:val="none"/>
        </w:tblBorders>
        <w:tblCellMar>
          <w:top w:w="20" w:type="dxa"/>
          <w:bottom w:w="20" w:type="dxa"/>
          <w:left w:w="35" w:type="dxa"/>
          <w:right w:w="35" w:type="dxa"/>
        </w:tblCellMar>
      </w:tblPr>
      <w:tblGrid>
        <w:gridCol w:w="880"/>
        <w:gridCol w:w="880"/>
        <w:gridCol w:w="880"/>
        <w:gridCol w:w="880"/>
        <w:gridCol w:w="880"/>
        <w:gridCol w:w="880"/>
        <w:gridCol w:w="880"/>
        <w:gridCol w:w="880"/>
        <w:gridCol w:w="880"/>
      </w:tblGrid>
      <w:tr>
        <w:trPr>
          <w:tblHeader w:val="on"/>
          <w:cantSplit/>
          <w:tblHeader/>
        </w:trPr>
        <w:tc>
          <w:tcPr>
            <w:shd w:fill="F1F5F9"/>
            <w:tcBorders>
              <w:bottom w:val="single" w:sz="8" w:space="0" w:color="475569"/>
            </w:tcBorders>
          </w:tcPr>
          <w:p>
            <w:pPr>
              <w:pStyle w:val="Compact"/>
              <w:keepNext/>
              <w:spacing w:before="8" w:after="8" w:line="240" w:lineRule="auto"/>
              <w:ind w:firstLine="0" w:left="0" w:right="0"/>
              <w:jc w:val="left"/>
            </w:pPr>
          </w:p>
        </w:tc>
        <w:tc>
          <w:tcPr>
            <w:shd w:fill="F1F5F9"/>
            <w:tcBorders>
              <w:bottom w:val="single" w:sz="8" w:space="0" w:color="475569"/>
            </w:tcBorders>
          </w:tcPr>
          <w:p>
            <w:pPr>
              <w:pStyle w:val="Compact"/>
              <w:keepNext/>
              <w:spacing w:before="8" w:after="8" w:line="240" w:lineRule="auto"/>
              <w:ind w:firstLine="0" w:left="0" w:right="0"/>
              <w:jc w:val="right"/>
              <w:jc w:val="center"/>
            </w:pPr>
            <w:r>
              <w:rPr>
                <w:rFonts w:ascii="Calibri" w:hAnsi="Calibri"/>
                <w:b/>
                <w:color w:val="0F172A"/>
                <w:sz w:val="13"/>
              </w:rPr>
              <w:t xml:space="preserve">Promotional</w:t>
            </w:r>
          </w:p>
        </w:tc>
        <w:tc>
          <w:tcPr>
            <w:shd w:fill="F1F5F9"/>
            <w:tcBorders>
              <w:bottom w:val="single" w:sz="8" w:space="0" w:color="475569"/>
            </w:tcBorders>
          </w:tcPr>
          <w:p>
            <w:pPr>
              <w:pStyle w:val="Compact"/>
              <w:keepNext/>
              <w:spacing w:before="8" w:after="8" w:line="240" w:lineRule="auto"/>
              <w:ind w:firstLine="0" w:left="0" w:right="0"/>
              <w:jc w:val="right"/>
              <w:jc w:val="center"/>
            </w:pPr>
            <w:r>
              <w:rPr>
                <w:rFonts w:ascii="Calibri" w:hAnsi="Calibri"/>
                <w:b/>
                <w:color w:val="0F172A"/>
                <w:sz w:val="13"/>
              </w:rPr>
              <w:t xml:space="preserve">Hedging</w:t>
            </w:r>
          </w:p>
        </w:tc>
        <w:tc>
          <w:tcPr>
            <w:shd w:fill="F1F5F9"/>
            <w:tcBorders>
              <w:bottom w:val="single" w:sz="8" w:space="0" w:color="475569"/>
            </w:tcBorders>
          </w:tcPr>
          <w:p>
            <w:pPr>
              <w:pStyle w:val="Compact"/>
              <w:keepNext/>
              <w:spacing w:before="8" w:after="8" w:line="240" w:lineRule="auto"/>
              <w:ind w:firstLine="0" w:left="0" w:right="0"/>
              <w:jc w:val="right"/>
              <w:jc w:val="center"/>
            </w:pPr>
            <w:r>
              <w:rPr>
                <w:rFonts w:ascii="Calibri" w:hAnsi="Calibri"/>
                <w:b/>
                <w:color w:val="0F172A"/>
                <w:sz w:val="13"/>
              </w:rPr>
              <w:t xml:space="preserve">Risk</w:t>
            </w:r>
          </w:p>
        </w:tc>
        <w:tc>
          <w:tcPr>
            <w:shd w:fill="F1F5F9"/>
            <w:tcBorders>
              <w:bottom w:val="single" w:sz="8" w:space="0" w:color="475569"/>
            </w:tcBorders>
          </w:tcPr>
          <w:p>
            <w:pPr>
              <w:pStyle w:val="Compact"/>
              <w:keepNext/>
              <w:spacing w:before="8" w:after="8" w:line="240" w:lineRule="auto"/>
              <w:ind w:firstLine="0" w:left="0" w:right="0"/>
              <w:jc w:val="right"/>
              <w:jc w:val="center"/>
            </w:pPr>
            <w:r>
              <w:rPr>
                <w:rFonts w:ascii="Calibri" w:hAnsi="Calibri"/>
                <w:b/>
                <w:color w:val="0F172A"/>
                <w:sz w:val="13"/>
              </w:rPr>
              <w:t xml:space="preserve">Governance</w:t>
            </w:r>
          </w:p>
        </w:tc>
        <w:tc>
          <w:tcPr>
            <w:shd w:fill="F1F5F9"/>
            <w:tcBorders>
              <w:bottom w:val="single" w:sz="8" w:space="0" w:color="475569"/>
            </w:tcBorders>
          </w:tcPr>
          <w:p>
            <w:pPr>
              <w:pStyle w:val="Compact"/>
              <w:keepNext/>
              <w:spacing w:before="8" w:after="8" w:line="240" w:lineRule="auto"/>
              <w:ind w:firstLine="0" w:left="0" w:right="0"/>
              <w:jc w:val="right"/>
              <w:jc w:val="center"/>
            </w:pPr>
            <w:r>
              <w:rPr>
                <w:rFonts w:ascii="Calibri" w:hAnsi="Calibri"/>
                <w:b/>
                <w:color w:val="0F172A"/>
                <w:sz w:val="13"/>
              </w:rPr>
              <w:t xml:space="preserve">Claim realization</w:t>
            </w:r>
          </w:p>
        </w:tc>
        <w:tc>
          <w:tcPr>
            <w:shd w:fill="F1F5F9"/>
            <w:tcBorders>
              <w:bottom w:val="single" w:sz="8" w:space="0" w:color="475569"/>
            </w:tcBorders>
          </w:tcPr>
          <w:p>
            <w:pPr>
              <w:pStyle w:val="Compact"/>
              <w:keepNext/>
              <w:spacing w:before="8" w:after="8" w:line="240" w:lineRule="auto"/>
              <w:ind w:firstLine="0" w:left="0" w:right="0"/>
              <w:jc w:val="right"/>
              <w:jc w:val="center"/>
            </w:pPr>
            <w:r>
              <w:rPr>
                <w:rFonts w:ascii="Calibri" w:hAnsi="Calibri"/>
                <w:b/>
                <w:color w:val="0F172A"/>
                <w:sz w:val="13"/>
              </w:rPr>
              <w:t xml:space="preserve">Customer-facing</w:t>
            </w:r>
          </w:p>
        </w:tc>
        <w:tc>
          <w:tcPr>
            <w:shd w:fill="F1F5F9"/>
            <w:tcBorders>
              <w:bottom w:val="single" w:sz="8" w:space="0" w:color="475569"/>
            </w:tcBorders>
          </w:tcPr>
          <w:p>
            <w:pPr>
              <w:pStyle w:val="Compact"/>
              <w:keepNext/>
              <w:spacing w:before="8" w:after="8" w:line="240" w:lineRule="auto"/>
              <w:ind w:firstLine="0" w:left="0" w:right="0"/>
              <w:jc w:val="right"/>
              <w:jc w:val="center"/>
            </w:pPr>
            <w:r>
              <w:rPr>
                <w:rFonts w:ascii="Calibri" w:hAnsi="Calibri"/>
                <w:b/>
                <w:color w:val="0F172A"/>
                <w:sz w:val="13"/>
              </w:rPr>
              <w:t xml:space="preserve">Claim specificity</w:t>
            </w:r>
          </w:p>
        </w:tc>
        <w:tc>
          <w:tcPr>
            <w:shd w:fill="F1F5F9"/>
            <w:tcBorders>
              <w:bottom w:val="single" w:sz="8" w:space="0" w:color="475569"/>
            </w:tcBorders>
          </w:tcPr>
          <w:p>
            <w:pPr>
              <w:pStyle w:val="Compact"/>
              <w:keepNext/>
              <w:spacing w:before="8" w:after="8" w:line="240" w:lineRule="auto"/>
              <w:ind w:firstLine="0" w:left="0" w:right="0"/>
              <w:jc w:val="right"/>
              <w:jc w:val="center"/>
            </w:pPr>
            <w:r>
              <w:rPr>
                <w:rFonts w:ascii="Calibri" w:hAnsi="Calibri"/>
                <w:b/>
                <w:color w:val="0F172A"/>
                <w:sz w:val="13"/>
              </w:rPr>
              <w:t xml:space="preserve">Intensity</w:t>
            </w:r>
          </w:p>
        </w:tc>
      </w:tr>
      <w:tr>
        <w:trPr>
          <w:cantSplit/>
        </w:trPr>
        <w:tc>
          <w:tcPr/>
          <w:p>
            <w:pPr>
              <w:pStyle w:val="Compact"/>
              <w:keepNext/>
              <w:spacing w:before="8" w:after="8" w:line="240" w:lineRule="auto"/>
              <w:ind w:firstLine="0" w:left="0" w:right="0"/>
              <w:jc w:val="left"/>
            </w:pPr>
            <w:r>
              <w:rPr>
                <w:rFonts w:ascii="Calibri" w:hAnsi="Calibri"/>
                <w:sz w:val="13"/>
              </w:rPr>
              <w:t xml:space="preserve">Promotional</w:t>
            </w:r>
          </w:p>
        </w:tc>
        <w:tc>
          <w:tcPr/>
          <w:p>
            <w:pPr>
              <w:pStyle w:val="Compact"/>
              <w:keepNext/>
              <w:spacing w:before="8" w:after="8" w:line="240" w:lineRule="auto"/>
              <w:ind w:firstLine="0" w:left="0" w:right="0"/>
              <w:jc w:val="right"/>
              <w:jc w:val="center"/>
            </w:pPr>
            <w:r>
              <w:rPr>
                <w:rFonts w:ascii="Calibri" w:hAnsi="Calibri"/>
                <w:sz w:val="13"/>
              </w:rPr>
              <w:t xml:space="preserve">1</w:t>
            </w:r>
          </w:p>
        </w:tc>
        <w:tc>
          <w:tcPr/>
          <w:p>
            <w:pPr>
              <w:pStyle w:val="Compact"/>
              <w:keepNext/>
              <w:spacing w:before="8" w:after="8" w:line="240" w:lineRule="auto"/>
              <w:ind w:firstLine="0" w:left="0" w:right="0"/>
              <w:jc w:val="right"/>
              <w:jc w:val="center"/>
            </w:pPr>
            <w:r>
              <w:rPr>
                <w:rFonts w:ascii="Calibri" w:hAnsi="Calibri"/>
                <w:sz w:val="13"/>
              </w:rPr>
              <w:t xml:space="preserve">-0.12</w:t>
            </w:r>
          </w:p>
        </w:tc>
        <w:tc>
          <w:tcPr/>
          <w:p>
            <w:pPr>
              <w:pStyle w:val="Compact"/>
              <w:keepNext/>
              <w:spacing w:before="8" w:after="8" w:line="240" w:lineRule="auto"/>
              <w:ind w:firstLine="0" w:left="0" w:right="0"/>
              <w:jc w:val="right"/>
              <w:jc w:val="center"/>
            </w:pPr>
            <w:r>
              <w:rPr>
                <w:rFonts w:ascii="Calibri" w:hAnsi="Calibri"/>
                <w:sz w:val="13"/>
              </w:rPr>
              <w:t xml:space="preserve">-0.64</w:t>
            </w:r>
          </w:p>
        </w:tc>
        <w:tc>
          <w:tcPr/>
          <w:p>
            <w:pPr>
              <w:pStyle w:val="Compact"/>
              <w:keepNext/>
              <w:spacing w:before="8" w:after="8" w:line="240" w:lineRule="auto"/>
              <w:ind w:firstLine="0" w:left="0" w:right="0"/>
              <w:jc w:val="right"/>
              <w:jc w:val="center"/>
            </w:pPr>
            <w:r>
              <w:rPr>
                <w:rFonts w:ascii="Calibri" w:hAnsi="Calibri"/>
                <w:sz w:val="13"/>
              </w:rPr>
              <w:t xml:space="preserve">0.13</w:t>
            </w:r>
          </w:p>
        </w:tc>
        <w:tc>
          <w:tcPr/>
          <w:p>
            <w:pPr>
              <w:pStyle w:val="Compact"/>
              <w:keepNext/>
              <w:spacing w:before="8" w:after="8" w:line="240" w:lineRule="auto"/>
              <w:ind w:firstLine="0" w:left="0" w:right="0"/>
              <w:jc w:val="right"/>
              <w:jc w:val="center"/>
            </w:pPr>
            <w:r>
              <w:rPr>
                <w:rFonts w:ascii="Calibri" w:hAnsi="Calibri"/>
                <w:sz w:val="13"/>
              </w:rPr>
              <w:t xml:space="preserve">0.48</w:t>
            </w:r>
          </w:p>
        </w:tc>
        <w:tc>
          <w:tcPr/>
          <w:p>
            <w:pPr>
              <w:pStyle w:val="Compact"/>
              <w:keepNext/>
              <w:spacing w:before="8" w:after="8" w:line="240" w:lineRule="auto"/>
              <w:ind w:firstLine="0" w:left="0" w:right="0"/>
              <w:jc w:val="right"/>
              <w:jc w:val="center"/>
            </w:pPr>
            <w:r>
              <w:rPr>
                <w:rFonts w:ascii="Calibri" w:hAnsi="Calibri"/>
                <w:sz w:val="13"/>
              </w:rPr>
              <w:t xml:space="preserve">0.52</w:t>
            </w:r>
          </w:p>
        </w:tc>
        <w:tc>
          <w:tcPr/>
          <w:p>
            <w:pPr>
              <w:pStyle w:val="Compact"/>
              <w:keepNext/>
              <w:spacing w:before="8" w:after="8" w:line="240" w:lineRule="auto"/>
              <w:ind w:firstLine="0" w:left="0" w:right="0"/>
              <w:jc w:val="right"/>
              <w:jc w:val="center"/>
            </w:pPr>
            <w:r>
              <w:rPr>
                <w:rFonts w:ascii="Calibri" w:hAnsi="Calibri"/>
                <w:sz w:val="13"/>
              </w:rPr>
              <w:t xml:space="preserve">0.58</w:t>
            </w:r>
          </w:p>
        </w:tc>
        <w:tc>
          <w:tcPr/>
          <w:p>
            <w:pPr>
              <w:pStyle w:val="Compact"/>
              <w:keepNext/>
              <w:spacing w:before="8" w:after="8" w:line="240" w:lineRule="auto"/>
              <w:ind w:firstLine="0" w:left="0" w:right="0"/>
              <w:jc w:val="right"/>
              <w:jc w:val="center"/>
            </w:pPr>
            <w:r>
              <w:rPr>
                <w:rFonts w:ascii="Calibri" w:hAnsi="Calibri"/>
                <w:sz w:val="13"/>
              </w:rPr>
              <w:t xml:space="preserve">0.35</w:t>
            </w:r>
          </w:p>
        </w:tc>
      </w:tr>
      <w:tr>
        <w:trPr>
          <w:cantSplit/>
        </w:trPr>
        <w:tc>
          <w:tcPr/>
          <w:p>
            <w:pPr>
              <w:pStyle w:val="Compact"/>
              <w:keepNext/>
              <w:spacing w:before="8" w:after="8" w:line="240" w:lineRule="auto"/>
              <w:ind w:firstLine="0" w:left="0" w:right="0"/>
              <w:jc w:val="left"/>
            </w:pPr>
            <w:r>
              <w:rPr>
                <w:rFonts w:ascii="Calibri" w:hAnsi="Calibri"/>
                <w:sz w:val="13"/>
              </w:rPr>
              <w:t xml:space="preserve">Hedging</w:t>
            </w:r>
          </w:p>
        </w:tc>
        <w:tc>
          <w:tcPr/>
          <w:p>
            <w:pPr>
              <w:pStyle w:val="Compact"/>
              <w:keepNext/>
              <w:spacing w:before="8" w:after="8" w:line="240" w:lineRule="auto"/>
              <w:ind w:firstLine="0" w:left="0" w:right="0"/>
              <w:jc w:val="right"/>
              <w:jc w:val="center"/>
            </w:pPr>
            <w:r>
              <w:rPr>
                <w:rFonts w:ascii="Calibri" w:hAnsi="Calibri"/>
                <w:sz w:val="13"/>
              </w:rPr>
              <w:t xml:space="preserve">-0.12</w:t>
            </w:r>
          </w:p>
        </w:tc>
        <w:tc>
          <w:tcPr/>
          <w:p>
            <w:pPr>
              <w:pStyle w:val="Compact"/>
              <w:keepNext/>
              <w:spacing w:before="8" w:after="8" w:line="240" w:lineRule="auto"/>
              <w:ind w:firstLine="0" w:left="0" w:right="0"/>
              <w:jc w:val="right"/>
              <w:jc w:val="center"/>
            </w:pPr>
            <w:r>
              <w:rPr>
                <w:rFonts w:ascii="Calibri" w:hAnsi="Calibri"/>
                <w:sz w:val="13"/>
              </w:rPr>
              <w:t xml:space="preserve">1</w:t>
            </w:r>
          </w:p>
        </w:tc>
        <w:tc>
          <w:tcPr/>
          <w:p>
            <w:pPr>
              <w:pStyle w:val="Compact"/>
              <w:keepNext/>
              <w:spacing w:before="8" w:after="8" w:line="240" w:lineRule="auto"/>
              <w:ind w:firstLine="0" w:left="0" w:right="0"/>
              <w:jc w:val="right"/>
              <w:jc w:val="center"/>
            </w:pPr>
            <w:r>
              <w:rPr>
                <w:rFonts w:ascii="Calibri" w:hAnsi="Calibri"/>
                <w:sz w:val="13"/>
              </w:rPr>
              <w:t xml:space="preserve">0.2</w:t>
            </w:r>
          </w:p>
        </w:tc>
        <w:tc>
          <w:tcPr/>
          <w:p>
            <w:pPr>
              <w:pStyle w:val="Compact"/>
              <w:keepNext/>
              <w:spacing w:before="8" w:after="8" w:line="240" w:lineRule="auto"/>
              <w:ind w:firstLine="0" w:left="0" w:right="0"/>
              <w:jc w:val="right"/>
              <w:jc w:val="center"/>
            </w:pPr>
            <w:r>
              <w:rPr>
                <w:rFonts w:ascii="Calibri" w:hAnsi="Calibri"/>
                <w:sz w:val="13"/>
              </w:rPr>
              <w:t xml:space="preserve">-0.06</w:t>
            </w:r>
          </w:p>
        </w:tc>
        <w:tc>
          <w:tcPr/>
          <w:p>
            <w:pPr>
              <w:pStyle w:val="Compact"/>
              <w:keepNext/>
              <w:spacing w:before="8" w:after="8" w:line="240" w:lineRule="auto"/>
              <w:ind w:firstLine="0" w:left="0" w:right="0"/>
              <w:jc w:val="right"/>
              <w:jc w:val="center"/>
            </w:pPr>
            <w:r>
              <w:rPr>
                <w:rFonts w:ascii="Calibri" w:hAnsi="Calibri"/>
                <w:sz w:val="13"/>
              </w:rPr>
              <w:t xml:space="preserve">-0.31</w:t>
            </w:r>
          </w:p>
        </w:tc>
        <w:tc>
          <w:tcPr/>
          <w:p>
            <w:pPr>
              <w:pStyle w:val="Compact"/>
              <w:keepNext/>
              <w:spacing w:before="8" w:after="8" w:line="240" w:lineRule="auto"/>
              <w:ind w:firstLine="0" w:left="0" w:right="0"/>
              <w:jc w:val="right"/>
              <w:jc w:val="center"/>
            </w:pPr>
            <w:r>
              <w:rPr>
                <w:rFonts w:ascii="Calibri" w:hAnsi="Calibri"/>
                <w:sz w:val="13"/>
              </w:rPr>
              <w:t xml:space="preserve">-0.05</w:t>
            </w:r>
          </w:p>
        </w:tc>
        <w:tc>
          <w:tcPr/>
          <w:p>
            <w:pPr>
              <w:pStyle w:val="Compact"/>
              <w:keepNext/>
              <w:spacing w:before="8" w:after="8" w:line="240" w:lineRule="auto"/>
              <w:ind w:firstLine="0" w:left="0" w:right="0"/>
              <w:jc w:val="right"/>
              <w:jc w:val="center"/>
            </w:pPr>
            <w:r>
              <w:rPr>
                <w:rFonts w:ascii="Calibri" w:hAnsi="Calibri"/>
                <w:sz w:val="13"/>
              </w:rPr>
              <w:t xml:space="preserve">-0.09</w:t>
            </w:r>
          </w:p>
        </w:tc>
        <w:tc>
          <w:tcPr/>
          <w:p>
            <w:pPr>
              <w:pStyle w:val="Compact"/>
              <w:keepNext/>
              <w:spacing w:before="8" w:after="8" w:line="240" w:lineRule="auto"/>
              <w:ind w:firstLine="0" w:left="0" w:right="0"/>
              <w:jc w:val="right"/>
              <w:jc w:val="center"/>
            </w:pPr>
            <w:r>
              <w:rPr>
                <w:rFonts w:ascii="Calibri" w:hAnsi="Calibri"/>
                <w:sz w:val="13"/>
              </w:rPr>
              <w:t xml:space="preserve">-0.01</w:t>
            </w:r>
          </w:p>
        </w:tc>
      </w:tr>
      <w:tr>
        <w:trPr>
          <w:cantSplit/>
        </w:trPr>
        <w:tc>
          <w:tcPr/>
          <w:p>
            <w:pPr>
              <w:pStyle w:val="Compact"/>
              <w:keepNext/>
              <w:spacing w:before="8" w:after="8" w:line="240" w:lineRule="auto"/>
              <w:ind w:firstLine="0" w:left="0" w:right="0"/>
              <w:jc w:val="left"/>
            </w:pPr>
            <w:r>
              <w:rPr>
                <w:rFonts w:ascii="Calibri" w:hAnsi="Calibri"/>
                <w:sz w:val="13"/>
              </w:rPr>
              <w:t xml:space="preserve">Risk</w:t>
            </w:r>
          </w:p>
        </w:tc>
        <w:tc>
          <w:tcPr/>
          <w:p>
            <w:pPr>
              <w:pStyle w:val="Compact"/>
              <w:keepNext/>
              <w:spacing w:before="8" w:after="8" w:line="240" w:lineRule="auto"/>
              <w:ind w:firstLine="0" w:left="0" w:right="0"/>
              <w:jc w:val="right"/>
              <w:jc w:val="center"/>
            </w:pPr>
            <w:r>
              <w:rPr>
                <w:rFonts w:ascii="Calibri" w:hAnsi="Calibri"/>
                <w:sz w:val="13"/>
              </w:rPr>
              <w:t xml:space="preserve">-0.64</w:t>
            </w:r>
          </w:p>
        </w:tc>
        <w:tc>
          <w:tcPr/>
          <w:p>
            <w:pPr>
              <w:pStyle w:val="Compact"/>
              <w:keepNext/>
              <w:spacing w:before="8" w:after="8" w:line="240" w:lineRule="auto"/>
              <w:ind w:firstLine="0" w:left="0" w:right="0"/>
              <w:jc w:val="right"/>
              <w:jc w:val="center"/>
            </w:pPr>
            <w:r>
              <w:rPr>
                <w:rFonts w:ascii="Calibri" w:hAnsi="Calibri"/>
                <w:sz w:val="13"/>
              </w:rPr>
              <w:t xml:space="preserve">0.2</w:t>
            </w:r>
          </w:p>
        </w:tc>
        <w:tc>
          <w:tcPr/>
          <w:p>
            <w:pPr>
              <w:pStyle w:val="Compact"/>
              <w:keepNext/>
              <w:spacing w:before="8" w:after="8" w:line="240" w:lineRule="auto"/>
              <w:ind w:firstLine="0" w:left="0" w:right="0"/>
              <w:jc w:val="right"/>
              <w:jc w:val="center"/>
            </w:pPr>
            <w:r>
              <w:rPr>
                <w:rFonts w:ascii="Calibri" w:hAnsi="Calibri"/>
                <w:sz w:val="13"/>
              </w:rPr>
              <w:t xml:space="preserve">1</w:t>
            </w:r>
          </w:p>
        </w:tc>
        <w:tc>
          <w:tcPr/>
          <w:p>
            <w:pPr>
              <w:pStyle w:val="Compact"/>
              <w:keepNext/>
              <w:spacing w:before="8" w:after="8" w:line="240" w:lineRule="auto"/>
              <w:ind w:firstLine="0" w:left="0" w:right="0"/>
              <w:jc w:val="right"/>
              <w:jc w:val="center"/>
            </w:pPr>
            <w:r>
              <w:rPr>
                <w:rFonts w:ascii="Calibri" w:hAnsi="Calibri"/>
                <w:sz w:val="13"/>
              </w:rPr>
              <w:t xml:space="preserve">-0.02</w:t>
            </w:r>
          </w:p>
        </w:tc>
        <w:tc>
          <w:tcPr/>
          <w:p>
            <w:pPr>
              <w:pStyle w:val="Compact"/>
              <w:keepNext/>
              <w:spacing w:before="8" w:after="8" w:line="240" w:lineRule="auto"/>
              <w:ind w:firstLine="0" w:left="0" w:right="0"/>
              <w:jc w:val="right"/>
              <w:jc w:val="center"/>
            </w:pPr>
            <w:r>
              <w:rPr>
                <w:rFonts w:ascii="Calibri" w:hAnsi="Calibri"/>
                <w:sz w:val="13"/>
              </w:rPr>
              <w:t xml:space="preserve">-0.58</w:t>
            </w:r>
          </w:p>
        </w:tc>
        <w:tc>
          <w:tcPr/>
          <w:p>
            <w:pPr>
              <w:pStyle w:val="Compact"/>
              <w:keepNext/>
              <w:spacing w:before="8" w:after="8" w:line="240" w:lineRule="auto"/>
              <w:ind w:firstLine="0" w:left="0" w:right="0"/>
              <w:jc w:val="right"/>
              <w:jc w:val="center"/>
            </w:pPr>
            <w:r>
              <w:rPr>
                <w:rFonts w:ascii="Calibri" w:hAnsi="Calibri"/>
                <w:sz w:val="13"/>
              </w:rPr>
              <w:t xml:space="preserve">-0.47</w:t>
            </w:r>
          </w:p>
        </w:tc>
        <w:tc>
          <w:tcPr/>
          <w:p>
            <w:pPr>
              <w:pStyle w:val="Compact"/>
              <w:keepNext/>
              <w:spacing w:before="8" w:after="8" w:line="240" w:lineRule="auto"/>
              <w:ind w:firstLine="0" w:left="0" w:right="0"/>
              <w:jc w:val="right"/>
              <w:jc w:val="center"/>
            </w:pPr>
            <w:r>
              <w:rPr>
                <w:rFonts w:ascii="Calibri" w:hAnsi="Calibri"/>
                <w:sz w:val="13"/>
              </w:rPr>
              <w:t xml:space="preserve">-0.54</w:t>
            </w:r>
          </w:p>
        </w:tc>
        <w:tc>
          <w:tcPr/>
          <w:p>
            <w:pPr>
              <w:pStyle w:val="Compact"/>
              <w:keepNext/>
              <w:spacing w:before="8" w:after="8" w:line="240" w:lineRule="auto"/>
              <w:ind w:firstLine="0" w:left="0" w:right="0"/>
              <w:jc w:val="right"/>
              <w:jc w:val="center"/>
            </w:pPr>
            <w:r>
              <w:rPr>
                <w:rFonts w:ascii="Calibri" w:hAnsi="Calibri"/>
                <w:sz w:val="13"/>
              </w:rPr>
              <w:t xml:space="preserve">-0.31</w:t>
            </w:r>
          </w:p>
        </w:tc>
      </w:tr>
      <w:tr>
        <w:trPr>
          <w:cantSplit/>
        </w:trPr>
        <w:tc>
          <w:tcPr/>
          <w:p>
            <w:pPr>
              <w:pStyle w:val="Compact"/>
              <w:keepNext/>
              <w:spacing w:before="8" w:after="8" w:line="240" w:lineRule="auto"/>
              <w:ind w:firstLine="0" w:left="0" w:right="0"/>
              <w:jc w:val="left"/>
            </w:pPr>
            <w:r>
              <w:rPr>
                <w:rFonts w:ascii="Calibri" w:hAnsi="Calibri"/>
                <w:sz w:val="13"/>
              </w:rPr>
              <w:t xml:space="preserve">Governance</w:t>
            </w:r>
          </w:p>
        </w:tc>
        <w:tc>
          <w:tcPr/>
          <w:p>
            <w:pPr>
              <w:pStyle w:val="Compact"/>
              <w:keepNext/>
              <w:spacing w:before="8" w:after="8" w:line="240" w:lineRule="auto"/>
              <w:ind w:firstLine="0" w:left="0" w:right="0"/>
              <w:jc w:val="right"/>
              <w:jc w:val="center"/>
            </w:pPr>
            <w:r>
              <w:rPr>
                <w:rFonts w:ascii="Calibri" w:hAnsi="Calibri"/>
                <w:sz w:val="13"/>
              </w:rPr>
              <w:t xml:space="preserve">0.13</w:t>
            </w:r>
          </w:p>
        </w:tc>
        <w:tc>
          <w:tcPr/>
          <w:p>
            <w:pPr>
              <w:pStyle w:val="Compact"/>
              <w:keepNext/>
              <w:spacing w:before="8" w:after="8" w:line="240" w:lineRule="auto"/>
              <w:ind w:firstLine="0" w:left="0" w:right="0"/>
              <w:jc w:val="right"/>
              <w:jc w:val="center"/>
            </w:pPr>
            <w:r>
              <w:rPr>
                <w:rFonts w:ascii="Calibri" w:hAnsi="Calibri"/>
                <w:sz w:val="13"/>
              </w:rPr>
              <w:t xml:space="preserve">-0.06</w:t>
            </w:r>
          </w:p>
        </w:tc>
        <w:tc>
          <w:tcPr/>
          <w:p>
            <w:pPr>
              <w:pStyle w:val="Compact"/>
              <w:keepNext/>
              <w:spacing w:before="8" w:after="8" w:line="240" w:lineRule="auto"/>
              <w:ind w:firstLine="0" w:left="0" w:right="0"/>
              <w:jc w:val="right"/>
              <w:jc w:val="center"/>
            </w:pPr>
            <w:r>
              <w:rPr>
                <w:rFonts w:ascii="Calibri" w:hAnsi="Calibri"/>
                <w:sz w:val="13"/>
              </w:rPr>
              <w:t xml:space="preserve">-0.02</w:t>
            </w:r>
          </w:p>
        </w:tc>
        <w:tc>
          <w:tcPr/>
          <w:p>
            <w:pPr>
              <w:pStyle w:val="Compact"/>
              <w:keepNext/>
              <w:spacing w:before="8" w:after="8" w:line="240" w:lineRule="auto"/>
              <w:ind w:firstLine="0" w:left="0" w:right="0"/>
              <w:jc w:val="right"/>
              <w:jc w:val="center"/>
            </w:pPr>
            <w:r>
              <w:rPr>
                <w:rFonts w:ascii="Calibri" w:hAnsi="Calibri"/>
                <w:sz w:val="13"/>
              </w:rPr>
              <w:t xml:space="preserve">1</w:t>
            </w:r>
          </w:p>
        </w:tc>
        <w:tc>
          <w:tcPr/>
          <w:p>
            <w:pPr>
              <w:pStyle w:val="Compact"/>
              <w:keepNext/>
              <w:spacing w:before="8" w:after="8" w:line="240" w:lineRule="auto"/>
              <w:ind w:firstLine="0" w:left="0" w:right="0"/>
              <w:jc w:val="right"/>
              <w:jc w:val="center"/>
            </w:pPr>
            <w:r>
              <w:rPr>
                <w:rFonts w:ascii="Calibri" w:hAnsi="Calibri"/>
                <w:sz w:val="13"/>
              </w:rPr>
              <w:t xml:space="preserve">0.33</w:t>
            </w:r>
          </w:p>
        </w:tc>
        <w:tc>
          <w:tcPr/>
          <w:p>
            <w:pPr>
              <w:pStyle w:val="Compact"/>
              <w:keepNext/>
              <w:spacing w:before="8" w:after="8" w:line="240" w:lineRule="auto"/>
              <w:ind w:firstLine="0" w:left="0" w:right="0"/>
              <w:jc w:val="right"/>
              <w:jc w:val="center"/>
            </w:pPr>
            <w:r>
              <w:rPr>
                <w:rFonts w:ascii="Calibri" w:hAnsi="Calibri"/>
                <w:sz w:val="13"/>
              </w:rPr>
              <w:t xml:space="preserve">-0.21</w:t>
            </w:r>
          </w:p>
        </w:tc>
        <w:tc>
          <w:tcPr/>
          <w:p>
            <w:pPr>
              <w:pStyle w:val="Compact"/>
              <w:keepNext/>
              <w:spacing w:before="8" w:after="8" w:line="240" w:lineRule="auto"/>
              <w:ind w:firstLine="0" w:left="0" w:right="0"/>
              <w:jc w:val="right"/>
              <w:jc w:val="center"/>
            </w:pPr>
            <w:r>
              <w:rPr>
                <w:rFonts w:ascii="Calibri" w:hAnsi="Calibri"/>
                <w:sz w:val="13"/>
              </w:rPr>
              <w:t xml:space="preserve">-0.07</w:t>
            </w:r>
          </w:p>
        </w:tc>
        <w:tc>
          <w:tcPr/>
          <w:p>
            <w:pPr>
              <w:pStyle w:val="Compact"/>
              <w:keepNext/>
              <w:spacing w:before="8" w:after="8" w:line="240" w:lineRule="auto"/>
              <w:ind w:firstLine="0" w:left="0" w:right="0"/>
              <w:jc w:val="right"/>
              <w:jc w:val="center"/>
            </w:pPr>
            <w:r>
              <w:rPr>
                <w:rFonts w:ascii="Calibri" w:hAnsi="Calibri"/>
                <w:sz w:val="13"/>
              </w:rPr>
              <w:t xml:space="preserve">-0.15</w:t>
            </w:r>
          </w:p>
        </w:tc>
      </w:tr>
      <w:tr>
        <w:trPr>
          <w:cantSplit/>
        </w:trPr>
        <w:tc>
          <w:tcPr/>
          <w:p>
            <w:pPr>
              <w:pStyle w:val="Compact"/>
              <w:keepNext/>
              <w:spacing w:before="8" w:after="8" w:line="240" w:lineRule="auto"/>
              <w:ind w:firstLine="0" w:left="0" w:right="0"/>
              <w:jc w:val="left"/>
            </w:pPr>
            <w:r>
              <w:rPr>
                <w:rFonts w:ascii="Calibri" w:hAnsi="Calibri"/>
                <w:sz w:val="13"/>
              </w:rPr>
              <w:t xml:space="preserve">Claim realization</w:t>
            </w:r>
          </w:p>
        </w:tc>
        <w:tc>
          <w:tcPr/>
          <w:p>
            <w:pPr>
              <w:pStyle w:val="Compact"/>
              <w:keepNext/>
              <w:spacing w:before="8" w:after="8" w:line="240" w:lineRule="auto"/>
              <w:ind w:firstLine="0" w:left="0" w:right="0"/>
              <w:jc w:val="right"/>
              <w:jc w:val="center"/>
            </w:pPr>
            <w:r>
              <w:rPr>
                <w:rFonts w:ascii="Calibri" w:hAnsi="Calibri"/>
                <w:sz w:val="13"/>
              </w:rPr>
              <w:t xml:space="preserve">0.48</w:t>
            </w:r>
          </w:p>
        </w:tc>
        <w:tc>
          <w:tcPr/>
          <w:p>
            <w:pPr>
              <w:pStyle w:val="Compact"/>
              <w:keepNext/>
              <w:spacing w:before="8" w:after="8" w:line="240" w:lineRule="auto"/>
              <w:ind w:firstLine="0" w:left="0" w:right="0"/>
              <w:jc w:val="right"/>
              <w:jc w:val="center"/>
            </w:pPr>
            <w:r>
              <w:rPr>
                <w:rFonts w:ascii="Calibri" w:hAnsi="Calibri"/>
                <w:sz w:val="13"/>
              </w:rPr>
              <w:t xml:space="preserve">-0.31</w:t>
            </w:r>
          </w:p>
        </w:tc>
        <w:tc>
          <w:tcPr/>
          <w:p>
            <w:pPr>
              <w:pStyle w:val="Compact"/>
              <w:keepNext/>
              <w:spacing w:before="8" w:after="8" w:line="240" w:lineRule="auto"/>
              <w:ind w:firstLine="0" w:left="0" w:right="0"/>
              <w:jc w:val="right"/>
              <w:jc w:val="center"/>
            </w:pPr>
            <w:r>
              <w:rPr>
                <w:rFonts w:ascii="Calibri" w:hAnsi="Calibri"/>
                <w:sz w:val="13"/>
              </w:rPr>
              <w:t xml:space="preserve">-0.58</w:t>
            </w:r>
          </w:p>
        </w:tc>
        <w:tc>
          <w:tcPr/>
          <w:p>
            <w:pPr>
              <w:pStyle w:val="Compact"/>
              <w:keepNext/>
              <w:spacing w:before="8" w:after="8" w:line="240" w:lineRule="auto"/>
              <w:ind w:firstLine="0" w:left="0" w:right="0"/>
              <w:jc w:val="right"/>
              <w:jc w:val="center"/>
            </w:pPr>
            <w:r>
              <w:rPr>
                <w:rFonts w:ascii="Calibri" w:hAnsi="Calibri"/>
                <w:sz w:val="13"/>
              </w:rPr>
              <w:t xml:space="preserve">0.33</w:t>
            </w:r>
          </w:p>
        </w:tc>
        <w:tc>
          <w:tcPr/>
          <w:p>
            <w:pPr>
              <w:pStyle w:val="Compact"/>
              <w:keepNext/>
              <w:spacing w:before="8" w:after="8" w:line="240" w:lineRule="auto"/>
              <w:ind w:firstLine="0" w:left="0" w:right="0"/>
              <w:jc w:val="right"/>
              <w:jc w:val="center"/>
            </w:pPr>
            <w:r>
              <w:rPr>
                <w:rFonts w:ascii="Calibri" w:hAnsi="Calibri"/>
                <w:sz w:val="13"/>
              </w:rPr>
              <w:t xml:space="preserve">1</w:t>
            </w:r>
          </w:p>
        </w:tc>
        <w:tc>
          <w:tcPr/>
          <w:p>
            <w:pPr>
              <w:pStyle w:val="Compact"/>
              <w:keepNext/>
              <w:spacing w:before="8" w:after="8" w:line="240" w:lineRule="auto"/>
              <w:ind w:firstLine="0" w:left="0" w:right="0"/>
              <w:jc w:val="right"/>
              <w:jc w:val="center"/>
            </w:pPr>
            <w:r>
              <w:rPr>
                <w:rFonts w:ascii="Calibri" w:hAnsi="Calibri"/>
                <w:sz w:val="13"/>
              </w:rPr>
              <w:t xml:space="preserve">0.39</w:t>
            </w:r>
          </w:p>
        </w:tc>
        <w:tc>
          <w:tcPr/>
          <w:p>
            <w:pPr>
              <w:pStyle w:val="Compact"/>
              <w:keepNext/>
              <w:spacing w:before="8" w:after="8" w:line="240" w:lineRule="auto"/>
              <w:ind w:firstLine="0" w:left="0" w:right="0"/>
              <w:jc w:val="right"/>
              <w:jc w:val="center"/>
            </w:pPr>
            <w:r>
              <w:rPr>
                <w:rFonts w:ascii="Calibri" w:hAnsi="Calibri"/>
                <w:sz w:val="13"/>
              </w:rPr>
              <w:t xml:space="preserve">0.44</w:t>
            </w:r>
          </w:p>
        </w:tc>
        <w:tc>
          <w:tcPr/>
          <w:p>
            <w:pPr>
              <w:pStyle w:val="Compact"/>
              <w:keepNext/>
              <w:spacing w:before="8" w:after="8" w:line="240" w:lineRule="auto"/>
              <w:ind w:firstLine="0" w:left="0" w:right="0"/>
              <w:jc w:val="right"/>
              <w:jc w:val="center"/>
            </w:pPr>
            <w:r>
              <w:rPr>
                <w:rFonts w:ascii="Calibri" w:hAnsi="Calibri"/>
                <w:sz w:val="13"/>
              </w:rPr>
              <w:t xml:space="preserve">0.13</w:t>
            </w:r>
          </w:p>
        </w:tc>
      </w:tr>
      <w:tr>
        <w:trPr>
          <w:cantSplit/>
        </w:trPr>
        <w:tc>
          <w:tcPr/>
          <w:p>
            <w:pPr>
              <w:pStyle w:val="Compact"/>
              <w:keepNext/>
              <w:spacing w:before="8" w:after="8" w:line="240" w:lineRule="auto"/>
              <w:ind w:firstLine="0" w:left="0" w:right="0"/>
              <w:jc w:val="left"/>
            </w:pPr>
            <w:r>
              <w:rPr>
                <w:rFonts w:ascii="Calibri" w:hAnsi="Calibri"/>
                <w:sz w:val="13"/>
              </w:rPr>
              <w:t xml:space="preserve">Customer-facing</w:t>
            </w:r>
          </w:p>
        </w:tc>
        <w:tc>
          <w:tcPr/>
          <w:p>
            <w:pPr>
              <w:pStyle w:val="Compact"/>
              <w:keepNext/>
              <w:spacing w:before="8" w:after="8" w:line="240" w:lineRule="auto"/>
              <w:ind w:firstLine="0" w:left="0" w:right="0"/>
              <w:jc w:val="right"/>
              <w:jc w:val="center"/>
            </w:pPr>
            <w:r>
              <w:rPr>
                <w:rFonts w:ascii="Calibri" w:hAnsi="Calibri"/>
                <w:sz w:val="13"/>
              </w:rPr>
              <w:t xml:space="preserve">0.52</w:t>
            </w:r>
          </w:p>
        </w:tc>
        <w:tc>
          <w:tcPr/>
          <w:p>
            <w:pPr>
              <w:pStyle w:val="Compact"/>
              <w:keepNext/>
              <w:spacing w:before="8" w:after="8" w:line="240" w:lineRule="auto"/>
              <w:ind w:firstLine="0" w:left="0" w:right="0"/>
              <w:jc w:val="right"/>
              <w:jc w:val="center"/>
            </w:pPr>
            <w:r>
              <w:rPr>
                <w:rFonts w:ascii="Calibri" w:hAnsi="Calibri"/>
                <w:sz w:val="13"/>
              </w:rPr>
              <w:t xml:space="preserve">-0.05</w:t>
            </w:r>
          </w:p>
        </w:tc>
        <w:tc>
          <w:tcPr/>
          <w:p>
            <w:pPr>
              <w:pStyle w:val="Compact"/>
              <w:keepNext/>
              <w:spacing w:before="8" w:after="8" w:line="240" w:lineRule="auto"/>
              <w:ind w:firstLine="0" w:left="0" w:right="0"/>
              <w:jc w:val="right"/>
              <w:jc w:val="center"/>
            </w:pPr>
            <w:r>
              <w:rPr>
                <w:rFonts w:ascii="Calibri" w:hAnsi="Calibri"/>
                <w:sz w:val="13"/>
              </w:rPr>
              <w:t xml:space="preserve">-0.47</w:t>
            </w:r>
          </w:p>
        </w:tc>
        <w:tc>
          <w:tcPr/>
          <w:p>
            <w:pPr>
              <w:pStyle w:val="Compact"/>
              <w:keepNext/>
              <w:spacing w:before="8" w:after="8" w:line="240" w:lineRule="auto"/>
              <w:ind w:firstLine="0" w:left="0" w:right="0"/>
              <w:jc w:val="right"/>
              <w:jc w:val="center"/>
            </w:pPr>
            <w:r>
              <w:rPr>
                <w:rFonts w:ascii="Calibri" w:hAnsi="Calibri"/>
                <w:sz w:val="13"/>
              </w:rPr>
              <w:t xml:space="preserve">-0.21</w:t>
            </w:r>
          </w:p>
        </w:tc>
        <w:tc>
          <w:tcPr/>
          <w:p>
            <w:pPr>
              <w:pStyle w:val="Compact"/>
              <w:keepNext/>
              <w:spacing w:before="8" w:after="8" w:line="240" w:lineRule="auto"/>
              <w:ind w:firstLine="0" w:left="0" w:right="0"/>
              <w:jc w:val="right"/>
              <w:jc w:val="center"/>
            </w:pPr>
            <w:r>
              <w:rPr>
                <w:rFonts w:ascii="Calibri" w:hAnsi="Calibri"/>
                <w:sz w:val="13"/>
              </w:rPr>
              <w:t xml:space="preserve">0.39</w:t>
            </w:r>
          </w:p>
        </w:tc>
        <w:tc>
          <w:tcPr/>
          <w:p>
            <w:pPr>
              <w:pStyle w:val="Compact"/>
              <w:keepNext/>
              <w:spacing w:before="8" w:after="8" w:line="240" w:lineRule="auto"/>
              <w:ind w:firstLine="0" w:left="0" w:right="0"/>
              <w:jc w:val="right"/>
              <w:jc w:val="center"/>
            </w:pPr>
            <w:r>
              <w:rPr>
                <w:rFonts w:ascii="Calibri" w:hAnsi="Calibri"/>
                <w:sz w:val="13"/>
              </w:rPr>
              <w:t xml:space="preserve">1</w:t>
            </w:r>
          </w:p>
        </w:tc>
        <w:tc>
          <w:tcPr/>
          <w:p>
            <w:pPr>
              <w:pStyle w:val="Compact"/>
              <w:keepNext/>
              <w:spacing w:before="8" w:after="8" w:line="240" w:lineRule="auto"/>
              <w:ind w:firstLine="0" w:left="0" w:right="0"/>
              <w:jc w:val="right"/>
              <w:jc w:val="center"/>
            </w:pPr>
            <w:r>
              <w:rPr>
                <w:rFonts w:ascii="Calibri" w:hAnsi="Calibri"/>
                <w:sz w:val="13"/>
              </w:rPr>
              <w:t xml:space="preserve">0.7</w:t>
            </w:r>
          </w:p>
        </w:tc>
        <w:tc>
          <w:tcPr/>
          <w:p>
            <w:pPr>
              <w:pStyle w:val="Compact"/>
              <w:keepNext/>
              <w:spacing w:before="8" w:after="8" w:line="240" w:lineRule="auto"/>
              <w:ind w:firstLine="0" w:left="0" w:right="0"/>
              <w:jc w:val="right"/>
              <w:jc w:val="center"/>
            </w:pPr>
            <w:r>
              <w:rPr>
                <w:rFonts w:ascii="Calibri" w:hAnsi="Calibri"/>
                <w:sz w:val="13"/>
              </w:rPr>
              <w:t xml:space="preserve">0.49</w:t>
            </w:r>
          </w:p>
        </w:tc>
      </w:tr>
      <w:tr>
        <w:trPr>
          <w:cantSplit/>
        </w:trPr>
        <w:tc>
          <w:tcPr/>
          <w:p>
            <w:pPr>
              <w:pStyle w:val="Compact"/>
              <w:keepNext/>
              <w:spacing w:before="8" w:after="8" w:line="240" w:lineRule="auto"/>
              <w:ind w:firstLine="0" w:left="0" w:right="0"/>
              <w:jc w:val="left"/>
            </w:pPr>
            <w:r>
              <w:rPr>
                <w:rFonts w:ascii="Calibri" w:hAnsi="Calibri"/>
                <w:sz w:val="13"/>
              </w:rPr>
              <w:t xml:space="preserve">Claim specificity</w:t>
            </w:r>
          </w:p>
        </w:tc>
        <w:tc>
          <w:tcPr/>
          <w:p>
            <w:pPr>
              <w:pStyle w:val="Compact"/>
              <w:keepNext/>
              <w:spacing w:before="8" w:after="8" w:line="240" w:lineRule="auto"/>
              <w:ind w:firstLine="0" w:left="0" w:right="0"/>
              <w:jc w:val="right"/>
              <w:jc w:val="center"/>
            </w:pPr>
            <w:r>
              <w:rPr>
                <w:rFonts w:ascii="Calibri" w:hAnsi="Calibri"/>
                <w:sz w:val="13"/>
              </w:rPr>
              <w:t xml:space="preserve">0.58</w:t>
            </w:r>
          </w:p>
        </w:tc>
        <w:tc>
          <w:tcPr/>
          <w:p>
            <w:pPr>
              <w:pStyle w:val="Compact"/>
              <w:keepNext/>
              <w:spacing w:before="8" w:after="8" w:line="240" w:lineRule="auto"/>
              <w:ind w:firstLine="0" w:left="0" w:right="0"/>
              <w:jc w:val="right"/>
              <w:jc w:val="center"/>
            </w:pPr>
            <w:r>
              <w:rPr>
                <w:rFonts w:ascii="Calibri" w:hAnsi="Calibri"/>
                <w:sz w:val="13"/>
              </w:rPr>
              <w:t xml:space="preserve">-0.09</w:t>
            </w:r>
          </w:p>
        </w:tc>
        <w:tc>
          <w:tcPr/>
          <w:p>
            <w:pPr>
              <w:pStyle w:val="Compact"/>
              <w:keepNext/>
              <w:spacing w:before="8" w:after="8" w:line="240" w:lineRule="auto"/>
              <w:ind w:firstLine="0" w:left="0" w:right="0"/>
              <w:jc w:val="right"/>
              <w:jc w:val="center"/>
            </w:pPr>
            <w:r>
              <w:rPr>
                <w:rFonts w:ascii="Calibri" w:hAnsi="Calibri"/>
                <w:sz w:val="13"/>
              </w:rPr>
              <w:t xml:space="preserve">-0.54</w:t>
            </w:r>
          </w:p>
        </w:tc>
        <w:tc>
          <w:tcPr/>
          <w:p>
            <w:pPr>
              <w:pStyle w:val="Compact"/>
              <w:keepNext/>
              <w:spacing w:before="8" w:after="8" w:line="240" w:lineRule="auto"/>
              <w:ind w:firstLine="0" w:left="0" w:right="0"/>
              <w:jc w:val="right"/>
              <w:jc w:val="center"/>
            </w:pPr>
            <w:r>
              <w:rPr>
                <w:rFonts w:ascii="Calibri" w:hAnsi="Calibri"/>
                <w:sz w:val="13"/>
              </w:rPr>
              <w:t xml:space="preserve">-0.07</w:t>
            </w:r>
          </w:p>
        </w:tc>
        <w:tc>
          <w:tcPr/>
          <w:p>
            <w:pPr>
              <w:pStyle w:val="Compact"/>
              <w:keepNext/>
              <w:spacing w:before="8" w:after="8" w:line="240" w:lineRule="auto"/>
              <w:ind w:firstLine="0" w:left="0" w:right="0"/>
              <w:jc w:val="right"/>
              <w:jc w:val="center"/>
            </w:pPr>
            <w:r>
              <w:rPr>
                <w:rFonts w:ascii="Calibri" w:hAnsi="Calibri"/>
                <w:sz w:val="13"/>
              </w:rPr>
              <w:t xml:space="preserve">0.44</w:t>
            </w:r>
          </w:p>
        </w:tc>
        <w:tc>
          <w:tcPr/>
          <w:p>
            <w:pPr>
              <w:pStyle w:val="Compact"/>
              <w:keepNext/>
              <w:spacing w:before="8" w:after="8" w:line="240" w:lineRule="auto"/>
              <w:ind w:firstLine="0" w:left="0" w:right="0"/>
              <w:jc w:val="right"/>
              <w:jc w:val="center"/>
            </w:pPr>
            <w:r>
              <w:rPr>
                <w:rFonts w:ascii="Calibri" w:hAnsi="Calibri"/>
                <w:sz w:val="13"/>
              </w:rPr>
              <w:t xml:space="preserve">0.7</w:t>
            </w:r>
          </w:p>
        </w:tc>
        <w:tc>
          <w:tcPr/>
          <w:p>
            <w:pPr>
              <w:pStyle w:val="Compact"/>
              <w:keepNext/>
              <w:spacing w:before="8" w:after="8" w:line="240" w:lineRule="auto"/>
              <w:ind w:firstLine="0" w:left="0" w:right="0"/>
              <w:jc w:val="right"/>
              <w:jc w:val="center"/>
            </w:pPr>
            <w:r>
              <w:rPr>
                <w:rFonts w:ascii="Calibri" w:hAnsi="Calibri"/>
                <w:sz w:val="13"/>
              </w:rPr>
              <w:t xml:space="preserve">1</w:t>
            </w:r>
          </w:p>
        </w:tc>
        <w:tc>
          <w:tcPr/>
          <w:p>
            <w:pPr>
              <w:pStyle w:val="Compact"/>
              <w:keepNext/>
              <w:spacing w:before="8" w:after="8" w:line="240" w:lineRule="auto"/>
              <w:ind w:firstLine="0" w:left="0" w:right="0"/>
              <w:jc w:val="right"/>
              <w:jc w:val="center"/>
            </w:pPr>
            <w:r>
              <w:rPr>
                <w:rFonts w:ascii="Calibri" w:hAnsi="Calibri"/>
                <w:sz w:val="13"/>
              </w:rPr>
              <w:t xml:space="preserve">0.43</w:t>
            </w:r>
          </w:p>
        </w:tc>
      </w:tr>
      <w:tr>
        <w:trPr>
          <w:cantSplit/>
        </w:trPr>
        <w:tc>
          <w:tcPr/>
          <w:p>
            <w:pPr>
              <w:pStyle w:val="Compact"/>
              <w:spacing w:before="8" w:after="8" w:line="240" w:lineRule="auto"/>
              <w:ind w:firstLine="0" w:left="0" w:right="0"/>
              <w:jc w:val="left"/>
            </w:pPr>
            <w:r>
              <w:rPr>
                <w:rFonts w:ascii="Calibri" w:hAnsi="Calibri"/>
                <w:sz w:val="13"/>
              </w:rPr>
              <w:t xml:space="preserve">Intensity</w:t>
            </w:r>
          </w:p>
        </w:tc>
        <w:tc>
          <w:tcPr/>
          <w:p>
            <w:pPr>
              <w:pStyle w:val="Compact"/>
              <w:spacing w:before="8" w:after="8" w:line="240" w:lineRule="auto"/>
              <w:ind w:firstLine="0" w:left="0" w:right="0"/>
              <w:jc w:val="right"/>
              <w:jc w:val="center"/>
            </w:pPr>
            <w:r>
              <w:rPr>
                <w:rFonts w:ascii="Calibri" w:hAnsi="Calibri"/>
                <w:sz w:val="13"/>
              </w:rPr>
              <w:t xml:space="preserve">0.35</w:t>
            </w:r>
          </w:p>
        </w:tc>
        <w:tc>
          <w:tcPr/>
          <w:p>
            <w:pPr>
              <w:pStyle w:val="Compact"/>
              <w:spacing w:before="8" w:after="8" w:line="240" w:lineRule="auto"/>
              <w:ind w:firstLine="0" w:left="0" w:right="0"/>
              <w:jc w:val="right"/>
              <w:jc w:val="center"/>
            </w:pPr>
            <w:r>
              <w:rPr>
                <w:rFonts w:ascii="Calibri" w:hAnsi="Calibri"/>
                <w:sz w:val="13"/>
              </w:rPr>
              <w:t xml:space="preserve">-0.01</w:t>
            </w:r>
          </w:p>
        </w:tc>
        <w:tc>
          <w:tcPr/>
          <w:p>
            <w:pPr>
              <w:pStyle w:val="Compact"/>
              <w:spacing w:before="8" w:after="8" w:line="240" w:lineRule="auto"/>
              <w:ind w:firstLine="0" w:left="0" w:right="0"/>
              <w:jc w:val="right"/>
              <w:jc w:val="center"/>
            </w:pPr>
            <w:r>
              <w:rPr>
                <w:rFonts w:ascii="Calibri" w:hAnsi="Calibri"/>
                <w:sz w:val="13"/>
              </w:rPr>
              <w:t xml:space="preserve">-0.31</w:t>
            </w:r>
          </w:p>
        </w:tc>
        <w:tc>
          <w:tcPr/>
          <w:p>
            <w:pPr>
              <w:pStyle w:val="Compact"/>
              <w:spacing w:before="8" w:after="8" w:line="240" w:lineRule="auto"/>
              <w:ind w:firstLine="0" w:left="0" w:right="0"/>
              <w:jc w:val="right"/>
              <w:jc w:val="center"/>
            </w:pPr>
            <w:r>
              <w:rPr>
                <w:rFonts w:ascii="Calibri" w:hAnsi="Calibri"/>
                <w:sz w:val="13"/>
              </w:rPr>
              <w:t xml:space="preserve">-0.15</w:t>
            </w:r>
          </w:p>
        </w:tc>
        <w:tc>
          <w:tcPr/>
          <w:p>
            <w:pPr>
              <w:pStyle w:val="Compact"/>
              <w:spacing w:before="8" w:after="8" w:line="240" w:lineRule="auto"/>
              <w:ind w:firstLine="0" w:left="0" w:right="0"/>
              <w:jc w:val="right"/>
              <w:jc w:val="center"/>
            </w:pPr>
            <w:r>
              <w:rPr>
                <w:rFonts w:ascii="Calibri" w:hAnsi="Calibri"/>
                <w:sz w:val="13"/>
              </w:rPr>
              <w:t xml:space="preserve">0.13</w:t>
            </w:r>
          </w:p>
        </w:tc>
        <w:tc>
          <w:tcPr/>
          <w:p>
            <w:pPr>
              <w:pStyle w:val="Compact"/>
              <w:spacing w:before="8" w:after="8" w:line="240" w:lineRule="auto"/>
              <w:ind w:firstLine="0" w:left="0" w:right="0"/>
              <w:jc w:val="right"/>
              <w:jc w:val="center"/>
            </w:pPr>
            <w:r>
              <w:rPr>
                <w:rFonts w:ascii="Calibri" w:hAnsi="Calibri"/>
                <w:sz w:val="13"/>
              </w:rPr>
              <w:t xml:space="preserve">0.49</w:t>
            </w:r>
          </w:p>
        </w:tc>
        <w:tc>
          <w:tcPr/>
          <w:p>
            <w:pPr>
              <w:pStyle w:val="Compact"/>
              <w:spacing w:before="8" w:after="8" w:line="240" w:lineRule="auto"/>
              <w:ind w:firstLine="0" w:left="0" w:right="0"/>
              <w:jc w:val="right"/>
              <w:jc w:val="center"/>
            </w:pPr>
            <w:r>
              <w:rPr>
                <w:rFonts w:ascii="Calibri" w:hAnsi="Calibri"/>
                <w:sz w:val="13"/>
              </w:rPr>
              <w:t xml:space="preserve">0.43</w:t>
            </w:r>
          </w:p>
        </w:tc>
        <w:tc>
          <w:tcPr/>
          <w:p>
            <w:pPr>
              <w:pStyle w:val="Compact"/>
              <w:spacing w:before="8" w:after="8" w:line="240" w:lineRule="auto"/>
              <w:ind w:firstLine="0" w:left="0" w:right="0"/>
              <w:jc w:val="right"/>
              <w:jc w:val="center"/>
            </w:pPr>
            <w:r>
              <w:rPr>
                <w:rFonts w:ascii="Calibri" w:hAnsi="Calibri"/>
                <w:sz w:val="13"/>
              </w:rPr>
              <w:t xml:space="preserve">1</w:t>
            </w:r>
          </w:p>
        </w:tc>
      </w:tr>
    </w:tbl>
    <w:bookmarkEnd w:id="199"/>
    <w:p/>
    <w:p>
      <w:pPr>
        <w:pStyle w:val="Textoindependiente"/>
      </w:pPr>
      <w:r>
        <w:t xml:space="preserve">The full 14-variable disclosed AI activity profile by archetype, of which</w:t>
      </w:r>
      <w:r>
        <w:t xml:space="preserve"> </w:t>
      </w:r>
      <w:hyperlink w:anchor="fig-archetype-activity-heatmap">
        <w:r>
          <w:rPr>
            <w:rStyle w:val="Hipervnculo"/>
          </w:rPr>
          <w:t xml:space="preserve">Figure 11</w:t>
        </w:r>
      </w:hyperlink>
      <w:r>
        <w:t xml:space="preserve"> </w:t>
      </w:r>
      <w:r>
        <w:t xml:space="preserve">shows the 6 headline variables, is kept in the supplementary analytics files rather than reproduced here.</w:t>
      </w:r>
    </w:p>
    <w:bookmarkEnd w:id="200"/>
    <w:bookmarkStart w:id="203" w:name="appendix-b4"/>
    <w:p>
      <w:pPr>
        <w:pStyle w:val="Ttulo3"/>
      </w:pPr>
      <w:r>
        <w:t xml:space="preserve">B.4 Six-dimensional AI activity taxonomy</w:t>
      </w:r>
    </w:p>
    <w:p>
      <w:pPr>
        <w:keepNext/>
        <w:pStyle w:val="FirstParagraph"/>
      </w:pPr>
      <w:hyperlink w:anchor="tbl-a2-six-dimensions">
        <w:r>
          <w:rPr>
            <w:rStyle w:val="Hipervnculo"/>
          </w:rPr>
          <w:t xml:space="preserve">Table 39</w:t>
        </w:r>
      </w:hyperlink>
      <w:r>
        <w:t xml:space="preserve"> </w:t>
      </w:r>
      <w:r>
        <w:t xml:space="preserve">gives the full distribution of the 46,855 disclosed AI activities across all six dimensions.</w:t>
      </w:r>
    </w:p>
    <w:tbl>
      <w:tblPr>
        <w:tblStyle w:val="Table"/>
        <w:tblW w:type="pct" w:w="5000"/>
        <w:tblLayout w:type="fixed"/>
        <w:tblLook w:firstRow="0" w:lastRow="0" w:firstColumn="0" w:lastColumn="0" w:noHBand="0" w:noVBand="0" w:val="0000"/>
        <w:tblBorders>
          <w:top w:val="none"/>
          <w:left w:val="none"/>
          <w:bottom w:val="none"/>
          <w:right w:val="none"/>
          <w:insideH w:val="none"/>
          <w:insideV w:val="none"/>
        </w:tblBorders>
      </w:tblPr>
      <w:tblGrid>
        <w:gridCol w:w="7920"/>
      </w:tblGrid>
      <w:tr>
        <w:trPr>
          <w:cantSplit/>
        </w:trPr>
        <w:tc>
          <w:tcPr/>
          <w:bookmarkStart w:id="204" w:name="tbl-a2-six-dimensions"/>
          <w:p>
            <w:pPr>
              <w:pStyle w:val="ImageCaption"/>
              <w:jc w:val="left"/>
              <w:spacing w:before="200"/>
              <w:ind w:firstLine="0" w:left="0" w:right="0"/>
            </w:pPr>
            <w:r>
              <w:t xml:space="preserve">Table 39:</w:t>
            </w:r>
            <w:r>
              <w:t xml:space="preserve"> </w:t>
            </w:r>
            <w:r>
              <w:rPr>
                <w:rStyle w:val="CaptionText"/>
              </w:rPr>
              <w:t xml:space="preserve">Full distribution of disclosed AI activities across all six dimensions.</w:t>
            </w:r>
            <w:r>
              <w:t xml:space="preserve"> </w:t>
            </w:r>
            <w:r>
              <w:rPr>
                <w:i/>
                <w:iCs/>
                <w:b w:val="0"/>
                <w:bCs w:val="0"/>
                <w:color w:val="595959"/>
              </w:rPr>
              <w:t xml:space="preserve">Notes:</w:t>
            </w:r>
            <w:r>
              <w:rPr>
                <w:b w:val="0"/>
                <w:bCs w:val="0"/>
                <w:color w:val="595959"/>
              </w:rPr>
              <w:t xml:space="preserve"> </w:t>
            </w:r>
            <w:r>
              <w:rPr>
                <w:b w:val="0"/>
                <w:bCs w:val="0"/>
                <w:color w:val="595959"/>
              </w:rPr>
              <w:t xml:space="preserve">Computed from the firm-level activity-profile summary.</w:t>
            </w:r>
            <w:r>
              <w:rPr>
                <w:b w:val="0"/>
                <w:bCs w:val="0"/>
                <w:color w:val="595959"/>
              </w:rPr>
              <w:t xml:space="preserve"> </w:t>
            </w:r>
            <w:r>
              <w:rPr>
                <w:b w:val="0"/>
                <w:bCs w:val="0"/>
                <w:color w:val="595959"/>
              </w:rPr>
              <w:t xml:space="preserve">“Business function”</w:t>
            </w:r>
            <w:r>
              <w:rPr>
                <w:b w:val="0"/>
                <w:bCs w:val="0"/>
                <w:color w:val="595959"/>
              </w:rPr>
              <w:t xml:space="preserve"> </w:t>
            </w:r>
            <w:r>
              <w:rPr>
                <w:b w:val="0"/>
                <w:bCs w:val="0"/>
                <w:color w:val="595959"/>
              </w:rPr>
              <w:t xml:space="preserve">has no single dominant category comparable to</w:t>
            </w:r>
            <w:r>
              <w:rPr>
                <w:b w:val="0"/>
                <w:bCs w:val="0"/>
                <w:color w:val="595959"/>
              </w:rPr>
              <w:t xml:space="preserve"> </w:t>
            </w:r>
            <w:r>
              <w:rPr>
                <w:rStyle w:val="VerbatimChar"/>
                <w:b w:val="0"/>
                <w:bCs w:val="0"/>
                <w:color w:val="595959"/>
              </w:rPr>
              <w:t xml:space="preserve">customer_service</w:t>
            </w:r>
            <w:r>
              <w:rPr>
                <w:b w:val="0"/>
                <w:bCs w:val="0"/>
                <w:color w:val="595959"/>
              </w:rPr>
              <w:t xml:space="preserve"> </w:t>
            </w:r>
            <w:r>
              <w:rPr>
                <w:b w:val="0"/>
                <w:bCs w:val="0"/>
                <w:color w:val="595959"/>
              </w:rPr>
              <w:t xml:space="preserve">for customer-success work specifically. Customer success (retention/expansion) is not coded as a separate family from customer support in the current taxonomy.</w:t>
            </w:r>
          </w:p>
          <w:tbl>
            <w:tblPr>
              <w:tblStyle w:val="Table"/>
              <w:tblW w:type="auto" w:w="0"/>
              <w:jc w:val="center"/>
              <w:tblLook w:firstRow="1" w:lastRow="0" w:firstColumn="0" w:lastColumn="0" w:noHBand="0" w:noVBand="0" w:val="0020"/>
              <w:tblBorders>
                <w:top w:val="single" w:sz="8" w:space="0" w:color="0F172A"/>
                <w:bottom w:val="single" w:sz="8" w:space="0" w:color="0F172A"/>
                <w:left w:val="none"/>
                <w:right w:val="none"/>
                <w:insideH w:val="single" w:sz="4" w:space="0" w:color="E2E8F0"/>
                <w:insideV w:val="none"/>
              </w:tblBorders>
              <w:tblCellMar>
                <w:top w:w="22" w:type="dxa"/>
                <w:bottom w:w="22" w:type="dxa"/>
                <w:left w:w="40" w:type="dxa"/>
                <w:right w:w="40" w:type="dxa"/>
              </w:tblCellMar>
            </w:tblPr>
            <w:tblGrid>
              <w:gridCol w:w="1320"/>
              <w:gridCol w:w="1320"/>
              <w:gridCol w:w="1320"/>
              <w:gridCol w:w="1320"/>
              <w:gridCol w:w="1320"/>
              <w:gridCol w:w="1320"/>
            </w:tblGrid>
            <w:tr>
              <w:trPr>
                <w:tblHeader w:val="on"/>
                <w:cantSplit/>
                <w:tblHeader/>
              </w:trPr>
              <w:tc>
                <w:tcPr>
                  <w:shd w:fill="F1F5F9"/>
                  <w:tcBorders>
                    <w:bottom w:val="single" w:sz="8" w:space="0" w:color="475569"/>
                  </w:tcBorders>
                </w:tcPr>
                <w:p>
                  <w:pPr>
                    <w:pStyle w:val="Compact"/>
                    <w:spacing w:before="8" w:after="8" w:line="240" w:lineRule="auto"/>
                    <w:ind w:firstLine="0" w:left="0" w:right="0"/>
                    <w:jc w:val="left"/>
                    <w:jc w:val="center"/>
                  </w:pPr>
                  <w:r>
                    <w:rPr>
                      <w:rFonts w:ascii="Calibri" w:hAnsi="Calibri"/>
                      <w:b/>
                      <w:color w:val="0F172A"/>
                      <w:sz w:val="15"/>
                    </w:rPr>
                    <w:t xml:space="preserve">Action</w:t>
                  </w:r>
                </w:p>
              </w:tc>
              <w:tc>
                <w:tcPr>
                  <w:shd w:fill="F1F5F9"/>
                  <w:tcBorders>
                    <w:bottom w:val="single" w:sz="8" w:space="0" w:color="475569"/>
                  </w:tcBorders>
                </w:tcPr>
                <w:p>
                  <w:pPr>
                    <w:pStyle w:val="Compact"/>
                    <w:spacing w:before="8" w:after="8" w:line="240" w:lineRule="auto"/>
                    <w:ind w:firstLine="0" w:left="0" w:right="0"/>
                    <w:jc w:val="right"/>
                    <w:jc w:val="center"/>
                  </w:pPr>
                  <w:r>
                    <w:rPr>
                      <w:rFonts w:ascii="Calibri" w:hAnsi="Calibri"/>
                      <w:b/>
                      <w:color w:val="0F172A"/>
                      <w:sz w:val="15"/>
                    </w:rPr>
                    <w:t xml:space="preserve">%</w:t>
                  </w:r>
                </w:p>
              </w:tc>
              <w:tc>
                <w:tcPr>
                  <w:shd w:fill="F1F5F9"/>
                  <w:tcBorders>
                    <w:bottom w:val="single" w:sz="8" w:space="0" w:color="475569"/>
                  </w:tcBorders>
                </w:tcPr>
                <w:p>
                  <w:pPr>
                    <w:pStyle w:val="Compact"/>
                    <w:spacing w:before="8" w:after="8" w:line="240" w:lineRule="auto"/>
                    <w:ind w:firstLine="0" w:left="0" w:right="0"/>
                    <w:jc w:val="left"/>
                    <w:jc w:val="center"/>
                  </w:pPr>
                  <w:r>
                    <w:rPr>
                      <w:rFonts w:ascii="Calibri" w:hAnsi="Calibri"/>
                      <w:b/>
                      <w:color w:val="0F172A"/>
                      <w:sz w:val="15"/>
                    </w:rPr>
                    <w:t xml:space="preserve">Maturity stage</w:t>
                  </w:r>
                </w:p>
              </w:tc>
              <w:tc>
                <w:tcPr>
                  <w:shd w:fill="F1F5F9"/>
                  <w:tcBorders>
                    <w:bottom w:val="single" w:sz="8" w:space="0" w:color="475569"/>
                  </w:tcBorders>
                </w:tcPr>
                <w:p>
                  <w:pPr>
                    <w:pStyle w:val="Compact"/>
                    <w:spacing w:before="8" w:after="8" w:line="240" w:lineRule="auto"/>
                    <w:ind w:firstLine="0" w:left="0" w:right="0"/>
                    <w:jc w:val="right"/>
                    <w:jc w:val="center"/>
                  </w:pPr>
                  <w:r>
                    <w:rPr>
                      <w:rFonts w:ascii="Calibri" w:hAnsi="Calibri"/>
                      <w:b/>
                      <w:color w:val="0F172A"/>
                      <w:sz w:val="15"/>
                    </w:rPr>
                    <w:t xml:space="preserve">%</w:t>
                  </w:r>
                </w:p>
              </w:tc>
              <w:tc>
                <w:tcPr>
                  <w:shd w:fill="F1F5F9"/>
                  <w:tcBorders>
                    <w:bottom w:val="single" w:sz="8" w:space="0" w:color="475569"/>
                  </w:tcBorders>
                </w:tcPr>
                <w:p>
                  <w:pPr>
                    <w:pStyle w:val="Compact"/>
                    <w:spacing w:before="8" w:after="8" w:line="240" w:lineRule="auto"/>
                    <w:ind w:firstLine="0" w:left="0" w:right="0"/>
                    <w:jc w:val="left"/>
                    <w:jc w:val="center"/>
                  </w:pPr>
                  <w:r>
                    <w:rPr>
                      <w:rFonts w:ascii="Calibri" w:hAnsi="Calibri"/>
                      <w:b/>
                      <w:color w:val="0F172A"/>
                      <w:sz w:val="15"/>
                    </w:rPr>
                    <w:t xml:space="preserve">Target audience</w:t>
                  </w:r>
                </w:p>
              </w:tc>
              <w:tc>
                <w:tcPr>
                  <w:shd w:fill="F1F5F9"/>
                  <w:tcBorders>
                    <w:bottom w:val="single" w:sz="8" w:space="0" w:color="475569"/>
                  </w:tcBorders>
                </w:tcPr>
                <w:p>
                  <w:pPr>
                    <w:pStyle w:val="Compact"/>
                    <w:spacing w:before="8" w:after="8" w:line="240" w:lineRule="auto"/>
                    <w:ind w:firstLine="0" w:left="0" w:right="0"/>
                    <w:jc w:val="right"/>
                    <w:jc w:val="center"/>
                  </w:pPr>
                  <w:r>
                    <w:rPr>
                      <w:rFonts w:ascii="Calibri" w:hAnsi="Calibri"/>
                      <w:b/>
                      <w:color w:val="0F172A"/>
                      <w:sz w:val="15"/>
                    </w:rPr>
                    <w:t xml:space="preserve">%</w:t>
                  </w:r>
                </w:p>
              </w:tc>
            </w:tr>
            <w:tr>
              <w:trPr>
                <w:cantSplit/>
              </w:trPr>
              <w:tc>
                <w:tcPr/>
                <w:p>
                  <w:pPr>
                    <w:pStyle w:val="Compact"/>
                    <w:spacing w:before="8" w:after="8" w:line="240" w:lineRule="auto"/>
                    <w:ind w:firstLine="0" w:left="0" w:right="0"/>
                    <w:jc w:val="left"/>
                    <w:jc w:val="center"/>
                  </w:pPr>
                  <w:r>
                    <w:rPr>
                      <w:rFonts w:ascii="Calibri" w:hAnsi="Calibri"/>
                      <w:sz w:val="15"/>
                    </w:rPr>
                    <w:t xml:space="preserve">deploy</w:t>
                  </w:r>
                </w:p>
              </w:tc>
              <w:tc>
                <w:tcPr/>
                <w:p>
                  <w:pPr>
                    <w:pStyle w:val="Compact"/>
                    <w:spacing w:before="8" w:after="8" w:line="240" w:lineRule="auto"/>
                    <w:ind w:firstLine="0" w:left="0" w:right="0"/>
                    <w:jc w:val="right"/>
                    <w:jc w:val="center"/>
                  </w:pPr>
                  <w:r>
                    <w:rPr>
                      <w:rFonts w:ascii="Calibri" w:hAnsi="Calibri"/>
                      <w:sz w:val="15"/>
                    </w:rPr>
                    <w:t xml:space="preserve">38.6%</w:t>
                  </w:r>
                </w:p>
              </w:tc>
              <w:tc>
                <w:tcPr/>
                <w:p>
                  <w:pPr>
                    <w:pStyle w:val="Compact"/>
                    <w:spacing w:before="8" w:after="8" w:line="240" w:lineRule="auto"/>
                    <w:ind w:firstLine="0" w:left="0" w:right="0"/>
                    <w:jc w:val="left"/>
                    <w:jc w:val="center"/>
                  </w:pPr>
                  <w:r>
                    <w:rPr>
                      <w:rFonts w:ascii="Calibri" w:hAnsi="Calibri"/>
                      <w:sz w:val="15"/>
                    </w:rPr>
                    <w:t xml:space="preserve">deployed</w:t>
                  </w:r>
                </w:p>
              </w:tc>
              <w:tc>
                <w:tcPr/>
                <w:p>
                  <w:pPr>
                    <w:pStyle w:val="Compact"/>
                    <w:spacing w:before="8" w:after="8" w:line="240" w:lineRule="auto"/>
                    <w:ind w:firstLine="0" w:left="0" w:right="0"/>
                    <w:jc w:val="right"/>
                    <w:jc w:val="center"/>
                  </w:pPr>
                  <w:r>
                    <w:rPr>
                      <w:rFonts w:ascii="Calibri" w:hAnsi="Calibri"/>
                      <w:sz w:val="15"/>
                    </w:rPr>
                    <w:t xml:space="preserve">68.2%</w:t>
                  </w:r>
                </w:p>
              </w:tc>
              <w:tc>
                <w:tcPr/>
                <w:p>
                  <w:pPr>
                    <w:pStyle w:val="Compact"/>
                    <w:spacing w:before="8" w:after="8" w:line="240" w:lineRule="auto"/>
                    <w:ind w:firstLine="0" w:left="0" w:right="0"/>
                    <w:jc w:val="left"/>
                    <w:jc w:val="center"/>
                  </w:pPr>
                  <w:r>
                    <w:rPr>
                      <w:rFonts w:ascii="Calibri" w:hAnsi="Calibri"/>
                      <w:sz w:val="15"/>
                    </w:rPr>
                    <w:t xml:space="preserve">customers</w:t>
                  </w:r>
                </w:p>
              </w:tc>
              <w:tc>
                <w:tcPr/>
                <w:p>
                  <w:pPr>
                    <w:pStyle w:val="Compact"/>
                    <w:spacing w:before="8" w:after="8" w:line="240" w:lineRule="auto"/>
                    <w:ind w:firstLine="0" w:left="0" w:right="0"/>
                    <w:jc w:val="right"/>
                    <w:jc w:val="center"/>
                  </w:pPr>
                  <w:r>
                    <w:rPr>
                      <w:rFonts w:ascii="Calibri" w:hAnsi="Calibri"/>
                      <w:sz w:val="15"/>
                    </w:rPr>
                    <w:t xml:space="preserve">51.4%</w:t>
                  </w:r>
                </w:p>
              </w:tc>
            </w:tr>
            <w:tr>
              <w:trPr>
                <w:cantSplit/>
              </w:trPr>
              <w:tc>
                <w:tcPr/>
                <w:p>
                  <w:pPr>
                    <w:pStyle w:val="Compact"/>
                    <w:spacing w:before="8" w:after="8" w:line="240" w:lineRule="auto"/>
                    <w:ind w:firstLine="0" w:left="0" w:right="0"/>
                    <w:jc w:val="left"/>
                    <w:jc w:val="center"/>
                  </w:pPr>
                  <w:r>
                    <w:rPr>
                      <w:rFonts w:ascii="Calibri" w:hAnsi="Calibri"/>
                      <w:sz w:val="15"/>
                    </w:rPr>
                    <w:t xml:space="preserve">develop</w:t>
                  </w:r>
                </w:p>
              </w:tc>
              <w:tc>
                <w:tcPr/>
                <w:p>
                  <w:pPr>
                    <w:pStyle w:val="Compact"/>
                    <w:spacing w:before="8" w:after="8" w:line="240" w:lineRule="auto"/>
                    <w:ind w:firstLine="0" w:left="0" w:right="0"/>
                    <w:jc w:val="right"/>
                    <w:jc w:val="center"/>
                  </w:pPr>
                  <w:r>
                    <w:rPr>
                      <w:rFonts w:ascii="Calibri" w:hAnsi="Calibri"/>
                      <w:sz w:val="15"/>
                    </w:rPr>
                    <w:t xml:space="preserve">30.6%</w:t>
                  </w:r>
                </w:p>
              </w:tc>
              <w:tc>
                <w:tcPr/>
                <w:p>
                  <w:pPr>
                    <w:pStyle w:val="Compact"/>
                    <w:spacing w:before="8" w:after="8" w:line="240" w:lineRule="auto"/>
                    <w:ind w:firstLine="0" w:left="0" w:right="0"/>
                    <w:jc w:val="left"/>
                    <w:jc w:val="center"/>
                  </w:pPr>
                  <w:r>
                    <w:rPr>
                      <w:rFonts w:ascii="Calibri" w:hAnsi="Calibri"/>
                      <w:sz w:val="15"/>
                    </w:rPr>
                    <w:t xml:space="preserve">unspecified</w:t>
                  </w:r>
                </w:p>
              </w:tc>
              <w:tc>
                <w:tcPr/>
                <w:p>
                  <w:pPr>
                    <w:pStyle w:val="Compact"/>
                    <w:spacing w:before="8" w:after="8" w:line="240" w:lineRule="auto"/>
                    <w:ind w:firstLine="0" w:left="0" w:right="0"/>
                    <w:jc w:val="right"/>
                    <w:jc w:val="center"/>
                  </w:pPr>
                  <w:r>
                    <w:rPr>
                      <w:rFonts w:ascii="Calibri" w:hAnsi="Calibri"/>
                      <w:sz w:val="15"/>
                    </w:rPr>
                    <w:t xml:space="preserve">17.8%</w:t>
                  </w:r>
                </w:p>
              </w:tc>
              <w:tc>
                <w:tcPr/>
                <w:p>
                  <w:pPr>
                    <w:pStyle w:val="Compact"/>
                    <w:spacing w:before="8" w:after="8" w:line="240" w:lineRule="auto"/>
                    <w:ind w:firstLine="0" w:left="0" w:right="0"/>
                    <w:jc w:val="left"/>
                    <w:jc w:val="center"/>
                  </w:pPr>
                  <w:r>
                    <w:rPr>
                      <w:rFonts w:ascii="Calibri" w:hAnsi="Calibri"/>
                      <w:sz w:val="15"/>
                    </w:rPr>
                    <w:t xml:space="preserve">internal process</w:t>
                  </w:r>
                </w:p>
              </w:tc>
              <w:tc>
                <w:tcPr/>
                <w:p>
                  <w:pPr>
                    <w:pStyle w:val="Compact"/>
                    <w:spacing w:before="8" w:after="8" w:line="240" w:lineRule="auto"/>
                    <w:ind w:firstLine="0" w:left="0" w:right="0"/>
                    <w:jc w:val="right"/>
                    <w:jc w:val="center"/>
                  </w:pPr>
                  <w:r>
                    <w:rPr>
                      <w:rFonts w:ascii="Calibri" w:hAnsi="Calibri"/>
                      <w:sz w:val="15"/>
                    </w:rPr>
                    <w:t xml:space="preserve">34.3%</w:t>
                  </w:r>
                </w:p>
              </w:tc>
            </w:tr>
            <w:tr>
              <w:trPr>
                <w:cantSplit/>
              </w:trPr>
              <w:tc>
                <w:tcPr/>
                <w:p>
                  <w:pPr>
                    <w:pStyle w:val="Compact"/>
                    <w:spacing w:before="8" w:after="8" w:line="240" w:lineRule="auto"/>
                    <w:ind w:firstLine="0" w:left="0" w:right="0"/>
                    <w:jc w:val="left"/>
                    <w:jc w:val="center"/>
                  </w:pPr>
                  <w:r>
                    <w:rPr>
                      <w:rFonts w:ascii="Calibri" w:hAnsi="Calibri"/>
                      <w:sz w:val="15"/>
                    </w:rPr>
                    <w:t xml:space="preserve">invest</w:t>
                  </w:r>
                </w:p>
              </w:tc>
              <w:tc>
                <w:tcPr/>
                <w:p>
                  <w:pPr>
                    <w:pStyle w:val="Compact"/>
                    <w:spacing w:before="8" w:after="8" w:line="240" w:lineRule="auto"/>
                    <w:ind w:firstLine="0" w:left="0" w:right="0"/>
                    <w:jc w:val="right"/>
                    <w:jc w:val="center"/>
                  </w:pPr>
                  <w:r>
                    <w:rPr>
                      <w:rFonts w:ascii="Calibri" w:hAnsi="Calibri"/>
                      <w:sz w:val="15"/>
                    </w:rPr>
                    <w:t xml:space="preserve">10.0%</w:t>
                  </w:r>
                </w:p>
              </w:tc>
              <w:tc>
                <w:tcPr/>
                <w:p>
                  <w:pPr>
                    <w:pStyle w:val="Compact"/>
                    <w:spacing w:before="8" w:after="8" w:line="240" w:lineRule="auto"/>
                    <w:ind w:firstLine="0" w:left="0" w:right="0"/>
                    <w:jc w:val="left"/>
                    <w:jc w:val="center"/>
                  </w:pPr>
                  <w:r>
                    <w:rPr>
                      <w:rFonts w:ascii="Calibri" w:hAnsi="Calibri"/>
                      <w:sz w:val="15"/>
                    </w:rPr>
                    <w:t xml:space="preserve">exploring</w:t>
                  </w:r>
                </w:p>
              </w:tc>
              <w:tc>
                <w:tcPr/>
                <w:p>
                  <w:pPr>
                    <w:pStyle w:val="Compact"/>
                    <w:spacing w:before="8" w:after="8" w:line="240" w:lineRule="auto"/>
                    <w:ind w:firstLine="0" w:left="0" w:right="0"/>
                    <w:jc w:val="right"/>
                    <w:jc w:val="center"/>
                  </w:pPr>
                  <w:r>
                    <w:rPr>
                      <w:rFonts w:ascii="Calibri" w:hAnsi="Calibri"/>
                      <w:sz w:val="15"/>
                    </w:rPr>
                    <w:t xml:space="preserve">7.7%</w:t>
                  </w:r>
                </w:p>
              </w:tc>
              <w:tc>
                <w:tcPr/>
                <w:p>
                  <w:pPr>
                    <w:pStyle w:val="Compact"/>
                    <w:spacing w:before="8" w:after="8" w:line="240" w:lineRule="auto"/>
                    <w:ind w:firstLine="0" w:left="0" w:right="0"/>
                    <w:jc w:val="left"/>
                    <w:jc w:val="center"/>
                  </w:pPr>
                  <w:r>
                    <w:rPr>
                      <w:rFonts w:ascii="Calibri" w:hAnsi="Calibri"/>
                      <w:sz w:val="15"/>
                    </w:rPr>
                    <w:t xml:space="preserve">employees</w:t>
                  </w:r>
                </w:p>
              </w:tc>
              <w:tc>
                <w:tcPr/>
                <w:p>
                  <w:pPr>
                    <w:pStyle w:val="Compact"/>
                    <w:spacing w:before="8" w:after="8" w:line="240" w:lineRule="auto"/>
                    <w:ind w:firstLine="0" w:left="0" w:right="0"/>
                    <w:jc w:val="right"/>
                    <w:jc w:val="center"/>
                  </w:pPr>
                  <w:r>
                    <w:rPr>
                      <w:rFonts w:ascii="Calibri" w:hAnsi="Calibri"/>
                      <w:sz w:val="15"/>
                    </w:rPr>
                    <w:t xml:space="preserve">7.1%</w:t>
                  </w:r>
                </w:p>
              </w:tc>
            </w:tr>
            <w:tr>
              <w:trPr>
                <w:cantSplit/>
              </w:trPr>
              <w:tc>
                <w:tcPr/>
                <w:p>
                  <w:pPr>
                    <w:pStyle w:val="Compact"/>
                    <w:spacing w:before="8" w:after="8" w:line="240" w:lineRule="auto"/>
                    <w:ind w:firstLine="0" w:left="0" w:right="0"/>
                    <w:jc w:val="left"/>
                    <w:jc w:val="center"/>
                  </w:pPr>
                  <w:r>
                    <w:rPr>
                      <w:rFonts w:ascii="Calibri" w:hAnsi="Calibri"/>
                      <w:sz w:val="15"/>
                    </w:rPr>
                    <w:t xml:space="preserve">scale</w:t>
                  </w:r>
                </w:p>
              </w:tc>
              <w:tc>
                <w:tcPr/>
                <w:p>
                  <w:pPr>
                    <w:pStyle w:val="Compact"/>
                    <w:spacing w:before="8" w:after="8" w:line="240" w:lineRule="auto"/>
                    <w:ind w:firstLine="0" w:left="0" w:right="0"/>
                    <w:jc w:val="right"/>
                    <w:jc w:val="center"/>
                  </w:pPr>
                  <w:r>
                    <w:rPr>
                      <w:rFonts w:ascii="Calibri" w:hAnsi="Calibri"/>
                      <w:sz w:val="15"/>
                    </w:rPr>
                    <w:t xml:space="preserve">6.8%</w:t>
                  </w:r>
                </w:p>
              </w:tc>
              <w:tc>
                <w:tcPr/>
                <w:p>
                  <w:pPr>
                    <w:pStyle w:val="Compact"/>
                    <w:spacing w:before="8" w:after="8" w:line="240" w:lineRule="auto"/>
                    <w:ind w:firstLine="0" w:left="0" w:right="0"/>
                    <w:jc w:val="left"/>
                    <w:jc w:val="center"/>
                  </w:pPr>
                  <w:r>
                    <w:rPr>
                      <w:rFonts w:ascii="Calibri" w:hAnsi="Calibri"/>
                      <w:sz w:val="15"/>
                    </w:rPr>
                    <w:t xml:space="preserve">scaled</w:t>
                  </w:r>
                </w:p>
              </w:tc>
              <w:tc>
                <w:tcPr/>
                <w:p>
                  <w:pPr>
                    <w:pStyle w:val="Compact"/>
                    <w:spacing w:before="8" w:after="8" w:line="240" w:lineRule="auto"/>
                    <w:ind w:firstLine="0" w:left="0" w:right="0"/>
                    <w:jc w:val="right"/>
                    <w:jc w:val="center"/>
                  </w:pPr>
                  <w:r>
                    <w:rPr>
                      <w:rFonts w:ascii="Calibri" w:hAnsi="Calibri"/>
                      <w:sz w:val="15"/>
                    </w:rPr>
                    <w:t xml:space="preserve">4.1%</w:t>
                  </w:r>
                </w:p>
              </w:tc>
              <w:tc>
                <w:tcPr/>
                <w:p>
                  <w:pPr>
                    <w:pStyle w:val="Compact"/>
                    <w:spacing w:before="8" w:after="8" w:line="240" w:lineRule="auto"/>
                    <w:ind w:firstLine="0" w:left="0" w:right="0"/>
                    <w:jc w:val="left"/>
                    <w:jc w:val="center"/>
                  </w:pPr>
                  <w:r>
                    <w:rPr>
                      <w:rFonts w:ascii="Calibri" w:hAnsi="Calibri"/>
                      <w:sz w:val="15"/>
                    </w:rPr>
                    <w:t xml:space="preserve">unspecified</w:t>
                  </w:r>
                </w:p>
              </w:tc>
              <w:tc>
                <w:tcPr/>
                <w:p>
                  <w:pPr>
                    <w:pStyle w:val="Compact"/>
                    <w:spacing w:before="8" w:after="8" w:line="240" w:lineRule="auto"/>
                    <w:ind w:firstLine="0" w:left="0" w:right="0"/>
                    <w:jc w:val="right"/>
                    <w:jc w:val="center"/>
                  </w:pPr>
                  <w:r>
                    <w:rPr>
                      <w:rFonts w:ascii="Calibri" w:hAnsi="Calibri"/>
                      <w:sz w:val="15"/>
                    </w:rPr>
                    <w:t xml:space="preserve">3.2%</w:t>
                  </w:r>
                </w:p>
              </w:tc>
            </w:tr>
            <w:tr>
              <w:trPr>
                <w:cantSplit/>
              </w:trPr>
              <w:tc>
                <w:tcPr/>
                <w:p>
                  <w:pPr>
                    <w:pStyle w:val="Compact"/>
                    <w:spacing w:before="8" w:after="8" w:line="240" w:lineRule="auto"/>
                    <w:ind w:firstLine="0" w:left="0" w:right="0"/>
                    <w:jc w:val="left"/>
                    <w:jc w:val="center"/>
                  </w:pPr>
                  <w:r>
                    <w:rPr>
                      <w:rFonts w:ascii="Calibri" w:hAnsi="Calibri"/>
                      <w:sz w:val="15"/>
                    </w:rPr>
                    <w:t xml:space="preserve">integrate</w:t>
                  </w:r>
                </w:p>
              </w:tc>
              <w:tc>
                <w:tcPr/>
                <w:p>
                  <w:pPr>
                    <w:pStyle w:val="Compact"/>
                    <w:spacing w:before="8" w:after="8" w:line="240" w:lineRule="auto"/>
                    <w:ind w:firstLine="0" w:left="0" w:right="0"/>
                    <w:jc w:val="right"/>
                    <w:jc w:val="center"/>
                  </w:pPr>
                  <w:r>
                    <w:rPr>
                      <w:rFonts w:ascii="Calibri" w:hAnsi="Calibri"/>
                      <w:sz w:val="15"/>
                    </w:rPr>
                    <w:t xml:space="preserve">6.3%</w:t>
                  </w:r>
                </w:p>
              </w:tc>
              <w:tc>
                <w:tcPr/>
                <w:p>
                  <w:pPr>
                    <w:pStyle w:val="Compact"/>
                    <w:spacing w:before="8" w:after="8" w:line="240" w:lineRule="auto"/>
                    <w:ind w:firstLine="0" w:left="0" w:right="0"/>
                    <w:jc w:val="left"/>
                    <w:jc w:val="center"/>
                  </w:pPr>
                  <w:r>
                    <w:rPr>
                      <w:rFonts w:ascii="Calibri" w:hAnsi="Calibri"/>
                      <w:sz w:val="15"/>
                    </w:rPr>
                    <w:t xml:space="preserve">piloting</w:t>
                  </w:r>
                </w:p>
              </w:tc>
              <w:tc>
                <w:tcPr/>
                <w:p>
                  <w:pPr>
                    <w:pStyle w:val="Compact"/>
                    <w:spacing w:before="8" w:after="8" w:line="240" w:lineRule="auto"/>
                    <w:ind w:firstLine="0" w:left="0" w:right="0"/>
                    <w:jc w:val="right"/>
                    <w:jc w:val="center"/>
                  </w:pPr>
                  <w:r>
                    <w:rPr>
                      <w:rFonts w:ascii="Calibri" w:hAnsi="Calibri"/>
                      <w:sz w:val="15"/>
                    </w:rPr>
                    <w:t xml:space="preserve">2.1%</w:t>
                  </w:r>
                </w:p>
              </w:tc>
              <w:tc>
                <w:tcPr/>
                <w:p>
                  <w:pPr>
                    <w:pStyle w:val="Compact"/>
                    <w:spacing w:before="8" w:after="8" w:line="240" w:lineRule="auto"/>
                    <w:ind w:firstLine="0" w:left="0" w:right="0"/>
                    <w:jc w:val="left"/>
                    <w:jc w:val="center"/>
                  </w:pPr>
                  <w:r>
                    <w:rPr>
                      <w:rFonts w:ascii="Calibri" w:hAnsi="Calibri"/>
                      <w:sz w:val="15"/>
                    </w:rPr>
                    <w:t xml:space="preserve">developers</w:t>
                  </w:r>
                </w:p>
              </w:tc>
              <w:tc>
                <w:tcPr/>
                <w:p>
                  <w:pPr>
                    <w:pStyle w:val="Compact"/>
                    <w:spacing w:before="8" w:after="8" w:line="240" w:lineRule="auto"/>
                    <w:ind w:firstLine="0" w:left="0" w:right="0"/>
                    <w:jc w:val="right"/>
                    <w:jc w:val="center"/>
                  </w:pPr>
                  <w:r>
                    <w:rPr>
                      <w:rFonts w:ascii="Calibri" w:hAnsi="Calibri"/>
                      <w:sz w:val="15"/>
                    </w:rPr>
                    <w:t xml:space="preserve">2.2%</w:t>
                  </w:r>
                </w:p>
              </w:tc>
            </w:tr>
            <w:tr>
              <w:trPr>
                <w:cantSplit/>
              </w:trPr>
              <w:tc>
                <w:tcPr/>
                <w:p>
                  <w:pPr>
                    <w:pStyle w:val="Compact"/>
                    <w:spacing w:before="8" w:after="8" w:line="240" w:lineRule="auto"/>
                    <w:ind w:firstLine="0" w:left="0" w:right="0"/>
                    <w:jc w:val="left"/>
                    <w:jc w:val="center"/>
                  </w:pPr>
                  <w:r>
                    <w:rPr>
                      <w:rFonts w:ascii="Calibri" w:hAnsi="Calibri"/>
                      <w:sz w:val="15"/>
                    </w:rPr>
                    <w:t xml:space="preserve">govern</w:t>
                  </w:r>
                </w:p>
              </w:tc>
              <w:tc>
                <w:tcPr/>
                <w:p>
                  <w:pPr>
                    <w:pStyle w:val="Compact"/>
                    <w:spacing w:before="8" w:after="8" w:line="240" w:lineRule="auto"/>
                    <w:ind w:firstLine="0" w:left="0" w:right="0"/>
                    <w:jc w:val="right"/>
                    <w:jc w:val="center"/>
                  </w:pPr>
                  <w:r>
                    <w:rPr>
                      <w:rFonts w:ascii="Calibri" w:hAnsi="Calibri"/>
                      <w:sz w:val="15"/>
                    </w:rPr>
                    <w:t xml:space="preserve">3.7%</w:t>
                  </w:r>
                </w:p>
              </w:tc>
              <w:tc>
                <w:tcPr/>
                <w:p>
                  <w:pPr>
                    <w:pStyle w:val="Compact"/>
                    <w:spacing w:before="8" w:after="8" w:line="240" w:lineRule="auto"/>
                    <w:ind w:firstLine="0" w:left="0" w:right="0"/>
                    <w:jc w:val="left"/>
                  </w:pPr>
                </w:p>
              </w:tc>
              <w:tc>
                <w:tcPr/>
                <w:p>
                  <w:pPr>
                    <w:pStyle w:val="Compact"/>
                    <w:spacing w:before="8" w:after="8" w:line="240" w:lineRule="auto"/>
                    <w:ind w:firstLine="0" w:left="0" w:right="0"/>
                    <w:jc w:val="left"/>
                  </w:pPr>
                </w:p>
              </w:tc>
              <w:tc>
                <w:tcPr/>
                <w:p>
                  <w:pPr>
                    <w:pStyle w:val="Compact"/>
                    <w:spacing w:before="8" w:after="8" w:line="240" w:lineRule="auto"/>
                    <w:ind w:firstLine="0" w:left="0" w:right="0"/>
                    <w:jc w:val="left"/>
                    <w:jc w:val="center"/>
                  </w:pPr>
                  <w:r>
                    <w:rPr>
                      <w:rFonts w:ascii="Calibri" w:hAnsi="Calibri"/>
                      <w:sz w:val="15"/>
                    </w:rPr>
                    <w:t xml:space="preserve">partners</w:t>
                  </w:r>
                </w:p>
              </w:tc>
              <w:tc>
                <w:tcPr/>
                <w:p>
                  <w:pPr>
                    <w:pStyle w:val="Compact"/>
                    <w:spacing w:before="8" w:after="8" w:line="240" w:lineRule="auto"/>
                    <w:ind w:firstLine="0" w:left="0" w:right="0"/>
                    <w:jc w:val="right"/>
                    <w:jc w:val="center"/>
                  </w:pPr>
                  <w:r>
                    <w:rPr>
                      <w:rFonts w:ascii="Calibri" w:hAnsi="Calibri"/>
                      <w:sz w:val="15"/>
                    </w:rPr>
                    <w:t xml:space="preserve">1.8%</w:t>
                  </w:r>
                </w:p>
              </w:tc>
            </w:tr>
            <w:tr>
              <w:trPr>
                <w:cantSplit/>
              </w:trPr>
              <w:tc>
                <w:tcPr/>
                <w:p>
                  <w:pPr>
                    <w:pStyle w:val="Compact"/>
                    <w:spacing w:before="8" w:after="8" w:line="240" w:lineRule="auto"/>
                    <w:ind w:firstLine="0" w:left="0" w:right="0"/>
                    <w:jc w:val="left"/>
                    <w:jc w:val="center"/>
                  </w:pPr>
                  <w:r>
                    <w:rPr>
                      <w:rFonts w:ascii="Calibri" w:hAnsi="Calibri"/>
                      <w:sz w:val="15"/>
                    </w:rPr>
                    <w:t xml:space="preserve">partner</w:t>
                  </w:r>
                </w:p>
              </w:tc>
              <w:tc>
                <w:tcPr/>
                <w:p>
                  <w:pPr>
                    <w:pStyle w:val="Compact"/>
                    <w:spacing w:before="8" w:after="8" w:line="240" w:lineRule="auto"/>
                    <w:ind w:firstLine="0" w:left="0" w:right="0"/>
                    <w:jc w:val="right"/>
                    <w:jc w:val="center"/>
                  </w:pPr>
                  <w:r>
                    <w:rPr>
                      <w:rFonts w:ascii="Calibri" w:hAnsi="Calibri"/>
                      <w:sz w:val="15"/>
                    </w:rPr>
                    <w:t xml:space="preserve">1.7%</w:t>
                  </w:r>
                </w:p>
              </w:tc>
              <w:tc>
                <w:tcPr/>
                <w:p>
                  <w:pPr>
                    <w:pStyle w:val="Compact"/>
                    <w:spacing w:before="8" w:after="8" w:line="240" w:lineRule="auto"/>
                    <w:ind w:firstLine="0" w:left="0" w:right="0"/>
                    <w:jc w:val="left"/>
                  </w:pPr>
                </w:p>
              </w:tc>
              <w:tc>
                <w:tcPr/>
                <w:p>
                  <w:pPr>
                    <w:pStyle w:val="Compact"/>
                    <w:spacing w:before="8" w:after="8" w:line="240" w:lineRule="auto"/>
                    <w:ind w:firstLine="0" w:left="0" w:right="0"/>
                    <w:jc w:val="left"/>
                  </w:pPr>
                </w:p>
              </w:tc>
              <w:tc>
                <w:tcPr/>
                <w:p>
                  <w:pPr>
                    <w:pStyle w:val="Compact"/>
                    <w:spacing w:before="8" w:after="8" w:line="240" w:lineRule="auto"/>
                    <w:ind w:firstLine="0" w:left="0" w:right="0"/>
                    <w:jc w:val="left"/>
                  </w:pPr>
                </w:p>
              </w:tc>
              <w:tc>
                <w:tcPr/>
                <w:p>
                  <w:pPr>
                    <w:pStyle w:val="Compact"/>
                    <w:spacing w:before="8" w:after="8" w:line="240" w:lineRule="auto"/>
                    <w:ind w:firstLine="0" w:left="0" w:right="0"/>
                    <w:jc w:val="left"/>
                  </w:pPr>
                </w:p>
              </w:tc>
            </w:tr>
            <w:tr>
              <w:trPr>
                <w:cantSplit/>
              </w:trPr>
              <w:tc>
                <w:tcPr/>
                <w:p>
                  <w:pPr>
                    <w:pStyle w:val="Compact"/>
                    <w:spacing w:before="8" w:after="8" w:line="240" w:lineRule="auto"/>
                    <w:ind w:firstLine="0" w:left="0" w:right="0"/>
                    <w:jc w:val="left"/>
                    <w:jc w:val="center"/>
                  </w:pPr>
                  <w:r>
                    <w:rPr>
                      <w:rFonts w:ascii="Calibri" w:hAnsi="Calibri"/>
                      <w:sz w:val="15"/>
                    </w:rPr>
                    <w:t xml:space="preserve">staff</w:t>
                  </w:r>
                </w:p>
              </w:tc>
              <w:tc>
                <w:tcPr/>
                <w:p>
                  <w:pPr>
                    <w:pStyle w:val="Compact"/>
                    <w:spacing w:before="8" w:after="8" w:line="240" w:lineRule="auto"/>
                    <w:ind w:firstLine="0" w:left="0" w:right="0"/>
                    <w:jc w:val="right"/>
                    <w:jc w:val="center"/>
                  </w:pPr>
                  <w:r>
                    <w:rPr>
                      <w:rFonts w:ascii="Calibri" w:hAnsi="Calibri"/>
                      <w:sz w:val="15"/>
                    </w:rPr>
                    <w:t xml:space="preserve">0.9%</w:t>
                  </w:r>
                </w:p>
              </w:tc>
              <w:tc>
                <w:tcPr/>
                <w:p>
                  <w:pPr>
                    <w:pStyle w:val="Compact"/>
                    <w:spacing w:before="8" w:after="8" w:line="240" w:lineRule="auto"/>
                    <w:ind w:firstLine="0" w:left="0" w:right="0"/>
                    <w:jc w:val="left"/>
                  </w:pPr>
                </w:p>
              </w:tc>
              <w:tc>
                <w:tcPr/>
                <w:p>
                  <w:pPr>
                    <w:pStyle w:val="Compact"/>
                    <w:spacing w:before="8" w:after="8" w:line="240" w:lineRule="auto"/>
                    <w:ind w:firstLine="0" w:left="0" w:right="0"/>
                    <w:jc w:val="left"/>
                  </w:pPr>
                </w:p>
              </w:tc>
              <w:tc>
                <w:tcPr/>
                <w:p>
                  <w:pPr>
                    <w:pStyle w:val="Compact"/>
                    <w:spacing w:before="8" w:after="8" w:line="240" w:lineRule="auto"/>
                    <w:ind w:firstLine="0" w:left="0" w:right="0"/>
                    <w:jc w:val="left"/>
                  </w:pPr>
                </w:p>
              </w:tc>
              <w:tc>
                <w:tcPr/>
                <w:p>
                  <w:pPr>
                    <w:pStyle w:val="Compact"/>
                    <w:spacing w:before="8" w:after="8" w:line="240" w:lineRule="auto"/>
                    <w:ind w:firstLine="0" w:left="0" w:right="0"/>
                    <w:jc w:val="left"/>
                  </w:pPr>
                </w:p>
              </w:tc>
            </w:tr>
            <w:tr>
              <w:trPr>
                <w:cantSplit/>
              </w:trPr>
              <w:tc>
                <w:tcPr/>
                <w:p>
                  <w:pPr>
                    <w:pStyle w:val="Compact"/>
                    <w:spacing w:before="8" w:after="8" w:line="240" w:lineRule="auto"/>
                    <w:ind w:firstLine="0" w:left="0" w:right="0"/>
                    <w:jc w:val="left"/>
                    <w:jc w:val="center"/>
                  </w:pPr>
                  <w:r>
                    <w:rPr>
                      <w:rFonts w:ascii="Calibri" w:hAnsi="Calibri"/>
                      <w:sz w:val="15"/>
                    </w:rPr>
                    <w:t xml:space="preserve">measure</w:t>
                  </w:r>
                </w:p>
              </w:tc>
              <w:tc>
                <w:tcPr/>
                <w:p>
                  <w:pPr>
                    <w:pStyle w:val="Compact"/>
                    <w:spacing w:before="8" w:after="8" w:line="240" w:lineRule="auto"/>
                    <w:ind w:firstLine="0" w:left="0" w:right="0"/>
                    <w:jc w:val="right"/>
                    <w:jc w:val="center"/>
                  </w:pPr>
                  <w:r>
                    <w:rPr>
                      <w:rFonts w:ascii="Calibri" w:hAnsi="Calibri"/>
                      <w:sz w:val="15"/>
                    </w:rPr>
                    <w:t xml:space="preserve">0.6%</w:t>
                  </w:r>
                </w:p>
              </w:tc>
              <w:tc>
                <w:tcPr/>
                <w:p>
                  <w:pPr>
                    <w:pStyle w:val="Compact"/>
                    <w:spacing w:before="8" w:after="8" w:line="240" w:lineRule="auto"/>
                    <w:ind w:firstLine="0" w:left="0" w:right="0"/>
                    <w:jc w:val="left"/>
                  </w:pPr>
                </w:p>
              </w:tc>
              <w:tc>
                <w:tcPr/>
                <w:p>
                  <w:pPr>
                    <w:pStyle w:val="Compact"/>
                    <w:spacing w:before="8" w:after="8" w:line="240" w:lineRule="auto"/>
                    <w:ind w:firstLine="0" w:left="0" w:right="0"/>
                    <w:jc w:val="left"/>
                  </w:pPr>
                </w:p>
              </w:tc>
              <w:tc>
                <w:tcPr/>
                <w:p>
                  <w:pPr>
                    <w:pStyle w:val="Compact"/>
                    <w:spacing w:before="8" w:after="8" w:line="240" w:lineRule="auto"/>
                    <w:ind w:firstLine="0" w:left="0" w:right="0"/>
                    <w:jc w:val="left"/>
                  </w:pPr>
                </w:p>
              </w:tc>
              <w:tc>
                <w:tcPr/>
                <w:p>
                  <w:pPr>
                    <w:pStyle w:val="Compact"/>
                    <w:spacing w:before="8" w:after="8" w:line="240" w:lineRule="auto"/>
                    <w:ind w:firstLine="0" w:left="0" w:right="0"/>
                    <w:jc w:val="left"/>
                  </w:pPr>
                </w:p>
              </w:tc>
            </w:tr>
            <w:tr>
              <w:trPr>
                <w:cantSplit/>
              </w:trPr>
              <w:tc>
                <w:tcPr/>
                <w:p>
                  <w:pPr>
                    <w:pStyle w:val="Compact"/>
                    <w:spacing w:before="8" w:after="8" w:line="240" w:lineRule="auto"/>
                    <w:ind w:firstLine="0" w:left="0" w:right="0"/>
                    <w:jc w:val="left"/>
                    <w:jc w:val="center"/>
                  </w:pPr>
                  <w:r>
                    <w:rPr>
                      <w:rFonts w:ascii="Calibri" w:hAnsi="Calibri"/>
                      <w:sz w:val="15"/>
                    </w:rPr>
                    <w:t xml:space="preserve">procure</w:t>
                  </w:r>
                </w:p>
              </w:tc>
              <w:tc>
                <w:tcPr/>
                <w:p>
                  <w:pPr>
                    <w:pStyle w:val="Compact"/>
                    <w:spacing w:before="8" w:after="8" w:line="240" w:lineRule="auto"/>
                    <w:ind w:firstLine="0" w:left="0" w:right="0"/>
                    <w:jc w:val="right"/>
                    <w:jc w:val="center"/>
                  </w:pPr>
                  <w:r>
                    <w:rPr>
                      <w:rFonts w:ascii="Calibri" w:hAnsi="Calibri"/>
                      <w:sz w:val="15"/>
                    </w:rPr>
                    <w:t xml:space="preserve">0.5%</w:t>
                  </w:r>
                </w:p>
              </w:tc>
              <w:tc>
                <w:tcPr/>
                <w:p>
                  <w:pPr>
                    <w:pStyle w:val="Compact"/>
                    <w:spacing w:before="8" w:after="8" w:line="240" w:lineRule="auto"/>
                    <w:ind w:firstLine="0" w:left="0" w:right="0"/>
                    <w:jc w:val="left"/>
                  </w:pPr>
                </w:p>
              </w:tc>
              <w:tc>
                <w:tcPr/>
                <w:p>
                  <w:pPr>
                    <w:pStyle w:val="Compact"/>
                    <w:spacing w:before="8" w:after="8" w:line="240" w:lineRule="auto"/>
                    <w:ind w:firstLine="0" w:left="0" w:right="0"/>
                    <w:jc w:val="left"/>
                  </w:pPr>
                </w:p>
              </w:tc>
              <w:tc>
                <w:tcPr/>
                <w:p>
                  <w:pPr>
                    <w:pStyle w:val="Compact"/>
                    <w:spacing w:before="8" w:after="8" w:line="240" w:lineRule="auto"/>
                    <w:ind w:firstLine="0" w:left="0" w:right="0"/>
                    <w:jc w:val="left"/>
                  </w:pPr>
                </w:p>
              </w:tc>
              <w:tc>
                <w:tcPr/>
                <w:p>
                  <w:pPr>
                    <w:pStyle w:val="Compact"/>
                    <w:spacing w:before="8" w:after="8" w:line="240" w:lineRule="auto"/>
                    <w:ind w:firstLine="0" w:left="0" w:right="0"/>
                    <w:jc w:val="left"/>
                  </w:pPr>
                </w:p>
              </w:tc>
            </w:tr>
            <w:tr>
              <w:trPr>
                <w:cantSplit/>
              </w:trPr>
              <w:tc>
                <w:tcPr/>
                <w:p>
                  <w:pPr>
                    <w:pStyle w:val="Compact"/>
                    <w:spacing w:before="8" w:after="8" w:line="240" w:lineRule="auto"/>
                    <w:ind w:firstLine="0" w:left="0" w:right="0"/>
                    <w:jc w:val="left"/>
                    <w:jc w:val="center"/>
                  </w:pPr>
                  <w:r>
                    <w:rPr>
                      <w:rFonts w:ascii="Calibri" w:hAnsi="Calibri"/>
                      <w:sz w:val="15"/>
                    </w:rPr>
                    <w:t xml:space="preserve">restrict</w:t>
                  </w:r>
                </w:p>
              </w:tc>
              <w:tc>
                <w:tcPr/>
                <w:p>
                  <w:pPr>
                    <w:pStyle w:val="Compact"/>
                    <w:spacing w:before="8" w:after="8" w:line="240" w:lineRule="auto"/>
                    <w:ind w:firstLine="0" w:left="0" w:right="0"/>
                    <w:jc w:val="right"/>
                    <w:jc w:val="center"/>
                  </w:pPr>
                  <w:r>
                    <w:rPr>
                      <w:rFonts w:ascii="Calibri" w:hAnsi="Calibri"/>
                      <w:sz w:val="15"/>
                    </w:rPr>
                    <w:t xml:space="preserve">0.3%</w:t>
                  </w:r>
                </w:p>
              </w:tc>
              <w:tc>
                <w:tcPr/>
                <w:p>
                  <w:pPr>
                    <w:pStyle w:val="Compact"/>
                    <w:spacing w:before="8" w:after="8" w:line="240" w:lineRule="auto"/>
                    <w:ind w:firstLine="0" w:left="0" w:right="0"/>
                    <w:jc w:val="left"/>
                  </w:pPr>
                </w:p>
              </w:tc>
              <w:tc>
                <w:tcPr/>
                <w:p>
                  <w:pPr>
                    <w:pStyle w:val="Compact"/>
                    <w:spacing w:before="8" w:after="8" w:line="240" w:lineRule="auto"/>
                    <w:ind w:firstLine="0" w:left="0" w:right="0"/>
                    <w:jc w:val="left"/>
                  </w:pPr>
                </w:p>
              </w:tc>
              <w:tc>
                <w:tcPr/>
                <w:p>
                  <w:pPr>
                    <w:pStyle w:val="Compact"/>
                    <w:spacing w:before="8" w:after="8" w:line="240" w:lineRule="auto"/>
                    <w:ind w:firstLine="0" w:left="0" w:right="0"/>
                    <w:jc w:val="left"/>
                  </w:pPr>
                </w:p>
              </w:tc>
              <w:tc>
                <w:tcPr/>
                <w:p>
                  <w:pPr>
                    <w:pStyle w:val="Compact"/>
                    <w:spacing w:before="8" w:after="8" w:line="240" w:lineRule="auto"/>
                    <w:ind w:firstLine="0" w:left="0" w:right="0"/>
                    <w:jc w:val="left"/>
                  </w:pPr>
                </w:p>
              </w:tc>
            </w:tr>
          </w:tbl>
          <w:p>
            <w:pPr>
              <w:jc w:val="center"/>
            </w:pPr>
            <w:r>
              <w:t xml:space="preserve"> </w:t>
            </w:r>
          </w:p>
          <w:tbl>
            <w:tblPr>
              <w:tblStyle w:val="Table"/>
              <w:tblW w:type="auto" w:w="0"/>
              <w:jc w:val="center"/>
              <w:tblLook w:firstRow="1" w:lastRow="0" w:firstColumn="0" w:lastColumn="0" w:noHBand="0" w:noVBand="0" w:val="0020"/>
              <w:tblBorders>
                <w:top w:val="single" w:sz="8" w:space="0" w:color="0F172A"/>
                <w:bottom w:val="single" w:sz="8" w:space="0" w:color="0F172A"/>
                <w:left w:val="none"/>
                <w:right w:val="none"/>
                <w:insideH w:val="single" w:sz="4" w:space="0" w:color="E2E8F0"/>
                <w:insideV w:val="none"/>
              </w:tblBorders>
              <w:tblCellMar>
                <w:top w:w="22" w:type="dxa"/>
                <w:bottom w:w="22" w:type="dxa"/>
                <w:left w:w="40" w:type="dxa"/>
                <w:right w:w="40" w:type="dxa"/>
              </w:tblCellMar>
            </w:tblPr>
            <w:tblGrid>
              <w:gridCol w:w="1320"/>
              <w:gridCol w:w="1320"/>
              <w:gridCol w:w="1320"/>
              <w:gridCol w:w="1320"/>
              <w:gridCol w:w="1320"/>
              <w:gridCol w:w="1320"/>
            </w:tblGrid>
            <w:tr>
              <w:trPr>
                <w:tblHeader w:val="on"/>
                <w:cantSplit/>
                <w:tblHeader/>
              </w:trPr>
              <w:tc>
                <w:tcPr>
                  <w:shd w:fill="F1F5F9"/>
                  <w:tcBorders>
                    <w:bottom w:val="single" w:sz="8" w:space="0" w:color="475569"/>
                  </w:tcBorders>
                </w:tcPr>
                <w:p>
                  <w:pPr>
                    <w:pStyle w:val="Compact"/>
                    <w:spacing w:before="8" w:after="8" w:line="240" w:lineRule="auto"/>
                    <w:ind w:firstLine="0" w:left="0" w:right="0"/>
                    <w:jc w:val="left"/>
                    <w:jc w:val="center"/>
                  </w:pPr>
                  <w:r>
                    <w:rPr>
                      <w:rFonts w:ascii="Calibri" w:hAnsi="Calibri"/>
                      <w:b/>
                      <w:color w:val="0F172A"/>
                      <w:sz w:val="15"/>
                    </w:rPr>
                    <w:t xml:space="preserve">AI source</w:t>
                  </w:r>
                </w:p>
              </w:tc>
              <w:tc>
                <w:tcPr>
                  <w:shd w:fill="F1F5F9"/>
                  <w:tcBorders>
                    <w:bottom w:val="single" w:sz="8" w:space="0" w:color="475569"/>
                  </w:tcBorders>
                </w:tcPr>
                <w:p>
                  <w:pPr>
                    <w:pStyle w:val="Compact"/>
                    <w:spacing w:before="8" w:after="8" w:line="240" w:lineRule="auto"/>
                    <w:ind w:firstLine="0" w:left="0" w:right="0"/>
                    <w:jc w:val="right"/>
                    <w:jc w:val="center"/>
                  </w:pPr>
                  <w:r>
                    <w:rPr>
                      <w:rFonts w:ascii="Calibri" w:hAnsi="Calibri"/>
                      <w:b/>
                      <w:color w:val="0F172A"/>
                      <w:sz w:val="15"/>
                    </w:rPr>
                    <w:t xml:space="preserve">%</w:t>
                  </w:r>
                </w:p>
              </w:tc>
              <w:tc>
                <w:tcPr>
                  <w:shd w:fill="F1F5F9"/>
                  <w:tcBorders>
                    <w:bottom w:val="single" w:sz="8" w:space="0" w:color="475569"/>
                  </w:tcBorders>
                </w:tcPr>
                <w:p>
                  <w:pPr>
                    <w:pStyle w:val="Compact"/>
                    <w:spacing w:before="8" w:after="8" w:line="240" w:lineRule="auto"/>
                    <w:ind w:firstLine="0" w:left="0" w:right="0"/>
                    <w:jc w:val="left"/>
                    <w:jc w:val="center"/>
                  </w:pPr>
                  <w:r>
                    <w:rPr>
                      <w:rFonts w:ascii="Calibri" w:hAnsi="Calibri"/>
                      <w:b/>
                      <w:color w:val="0F172A"/>
                      <w:sz w:val="15"/>
                    </w:rPr>
                    <w:t xml:space="preserve">Evidence strength</w:t>
                  </w:r>
                </w:p>
              </w:tc>
              <w:tc>
                <w:tcPr>
                  <w:shd w:fill="F1F5F9"/>
                  <w:tcBorders>
                    <w:bottom w:val="single" w:sz="8" w:space="0" w:color="475569"/>
                  </w:tcBorders>
                </w:tcPr>
                <w:p>
                  <w:pPr>
                    <w:pStyle w:val="Compact"/>
                    <w:spacing w:before="8" w:after="8" w:line="240" w:lineRule="auto"/>
                    <w:ind w:firstLine="0" w:left="0" w:right="0"/>
                    <w:jc w:val="right"/>
                    <w:jc w:val="center"/>
                  </w:pPr>
                  <w:r>
                    <w:rPr>
                      <w:rFonts w:ascii="Calibri" w:hAnsi="Calibri"/>
                      <w:b/>
                      <w:color w:val="0F172A"/>
                      <w:sz w:val="15"/>
                    </w:rPr>
                    <w:t xml:space="preserve">%</w:t>
                  </w:r>
                </w:p>
              </w:tc>
              <w:tc>
                <w:tcPr>
                  <w:shd w:fill="F1F5F9"/>
                  <w:tcBorders>
                    <w:bottom w:val="single" w:sz="8" w:space="0" w:color="475569"/>
                  </w:tcBorders>
                </w:tcPr>
                <w:p>
                  <w:pPr>
                    <w:pStyle w:val="Compact"/>
                    <w:spacing w:before="8" w:after="8" w:line="240" w:lineRule="auto"/>
                    <w:ind w:firstLine="0" w:left="0" w:right="0"/>
                    <w:jc w:val="left"/>
                    <w:jc w:val="center"/>
                  </w:pPr>
                  <w:r>
                    <w:rPr>
                      <w:rFonts w:ascii="Calibri" w:hAnsi="Calibri"/>
                      <w:b/>
                      <w:color w:val="0F172A"/>
                      <w:sz w:val="15"/>
                    </w:rPr>
                    <w:t xml:space="preserve">Business function</w:t>
                  </w:r>
                </w:p>
              </w:tc>
              <w:tc>
                <w:tcPr>
                  <w:shd w:fill="F1F5F9"/>
                  <w:tcBorders>
                    <w:bottom w:val="single" w:sz="8" w:space="0" w:color="475569"/>
                  </w:tcBorders>
                </w:tcPr>
                <w:p>
                  <w:pPr>
                    <w:pStyle w:val="Compact"/>
                    <w:spacing w:before="8" w:after="8" w:line="240" w:lineRule="auto"/>
                    <w:ind w:firstLine="0" w:left="0" w:right="0"/>
                    <w:jc w:val="right"/>
                    <w:jc w:val="center"/>
                  </w:pPr>
                  <w:r>
                    <w:rPr>
                      <w:rFonts w:ascii="Calibri" w:hAnsi="Calibri"/>
                      <w:b/>
                      <w:color w:val="0F172A"/>
                      <w:sz w:val="15"/>
                    </w:rPr>
                    <w:t xml:space="preserve">%</w:t>
                  </w:r>
                </w:p>
              </w:tc>
            </w:tr>
            <w:tr>
              <w:trPr>
                <w:cantSplit/>
              </w:trPr>
              <w:tc>
                <w:tcPr/>
                <w:p>
                  <w:pPr>
                    <w:pStyle w:val="Compact"/>
                    <w:spacing w:before="8" w:after="8" w:line="240" w:lineRule="auto"/>
                    <w:ind w:firstLine="0" w:left="0" w:right="0"/>
                    <w:jc w:val="left"/>
                    <w:jc w:val="center"/>
                  </w:pPr>
                  <w:r>
                    <w:rPr>
                      <w:rFonts w:ascii="Calibri" w:hAnsi="Calibri"/>
                      <w:sz w:val="15"/>
                    </w:rPr>
                    <w:t xml:space="preserve">own</w:t>
                  </w:r>
                </w:p>
              </w:tc>
              <w:tc>
                <w:tcPr/>
                <w:p>
                  <w:pPr>
                    <w:pStyle w:val="Compact"/>
                    <w:spacing w:before="8" w:after="8" w:line="240" w:lineRule="auto"/>
                    <w:ind w:firstLine="0" w:left="0" w:right="0"/>
                    <w:jc w:val="right"/>
                    <w:jc w:val="center"/>
                  </w:pPr>
                  <w:r>
                    <w:rPr>
                      <w:rFonts w:ascii="Calibri" w:hAnsi="Calibri"/>
                      <w:sz w:val="15"/>
                    </w:rPr>
                    <w:t xml:space="preserve">89.1%</w:t>
                  </w:r>
                </w:p>
              </w:tc>
              <w:tc>
                <w:tcPr/>
                <w:p>
                  <w:pPr>
                    <w:pStyle w:val="Compact"/>
                    <w:spacing w:before="8" w:after="8" w:line="240" w:lineRule="auto"/>
                    <w:ind w:firstLine="0" w:left="0" w:right="0"/>
                    <w:jc w:val="left"/>
                    <w:jc w:val="center"/>
                  </w:pPr>
                  <w:r>
                    <w:rPr>
                      <w:rFonts w:ascii="Calibri" w:hAnsi="Calibri"/>
                      <w:sz w:val="15"/>
                    </w:rPr>
                    <w:t xml:space="preserve">named</w:t>
                  </w:r>
                </w:p>
              </w:tc>
              <w:tc>
                <w:tcPr/>
                <w:p>
                  <w:pPr>
                    <w:pStyle w:val="Compact"/>
                    <w:spacing w:before="8" w:after="8" w:line="240" w:lineRule="auto"/>
                    <w:ind w:firstLine="0" w:left="0" w:right="0"/>
                    <w:jc w:val="right"/>
                    <w:jc w:val="center"/>
                  </w:pPr>
                  <w:r>
                    <w:rPr>
                      <w:rFonts w:ascii="Calibri" w:hAnsi="Calibri"/>
                      <w:sz w:val="15"/>
                    </w:rPr>
                    <w:t xml:space="preserve">45.5%</w:t>
                  </w:r>
                </w:p>
              </w:tc>
              <w:tc>
                <w:tcPr/>
                <w:p>
                  <w:pPr>
                    <w:pStyle w:val="Compact"/>
                    <w:spacing w:before="8" w:after="8" w:line="240" w:lineRule="auto"/>
                    <w:ind w:firstLine="0" w:left="0" w:right="0"/>
                    <w:jc w:val="left"/>
                    <w:jc w:val="center"/>
                  </w:pPr>
                  <w:r>
                    <w:rPr>
                      <w:rFonts w:ascii="Calibri" w:hAnsi="Calibri"/>
                      <w:sz w:val="15"/>
                    </w:rPr>
                    <w:t xml:space="preserve">other</w:t>
                  </w:r>
                </w:p>
              </w:tc>
              <w:tc>
                <w:tcPr/>
                <w:p>
                  <w:pPr>
                    <w:pStyle w:val="Compact"/>
                    <w:spacing w:before="8" w:after="8" w:line="240" w:lineRule="auto"/>
                    <w:ind w:firstLine="0" w:left="0" w:right="0"/>
                    <w:jc w:val="right"/>
                    <w:jc w:val="center"/>
                  </w:pPr>
                  <w:r>
                    <w:rPr>
                      <w:rFonts w:ascii="Calibri" w:hAnsi="Calibri"/>
                      <w:sz w:val="15"/>
                    </w:rPr>
                    <w:t xml:space="preserve">35.4%</w:t>
                  </w:r>
                </w:p>
              </w:tc>
            </w:tr>
            <w:tr>
              <w:trPr>
                <w:cantSplit/>
              </w:trPr>
              <w:tc>
                <w:tcPr/>
                <w:p>
                  <w:pPr>
                    <w:pStyle w:val="Compact"/>
                    <w:spacing w:before="8" w:after="8" w:line="240" w:lineRule="auto"/>
                    <w:ind w:firstLine="0" w:left="0" w:right="0"/>
                    <w:jc w:val="left"/>
                    <w:jc w:val="center"/>
                  </w:pPr>
                  <w:r>
                    <w:rPr>
                      <w:rFonts w:ascii="Calibri" w:hAnsi="Calibri"/>
                      <w:sz w:val="15"/>
                    </w:rPr>
                    <w:t xml:space="preserve">third party</w:t>
                  </w:r>
                </w:p>
              </w:tc>
              <w:tc>
                <w:tcPr/>
                <w:p>
                  <w:pPr>
                    <w:pStyle w:val="Compact"/>
                    <w:spacing w:before="8" w:after="8" w:line="240" w:lineRule="auto"/>
                    <w:ind w:firstLine="0" w:left="0" w:right="0"/>
                    <w:jc w:val="right"/>
                    <w:jc w:val="center"/>
                  </w:pPr>
                  <w:r>
                    <w:rPr>
                      <w:rFonts w:ascii="Calibri" w:hAnsi="Calibri"/>
                      <w:sz w:val="15"/>
                    </w:rPr>
                    <w:t xml:space="preserve">3.2%</w:t>
                  </w:r>
                </w:p>
              </w:tc>
              <w:tc>
                <w:tcPr/>
                <w:p>
                  <w:pPr>
                    <w:pStyle w:val="Compact"/>
                    <w:spacing w:before="8" w:after="8" w:line="240" w:lineRule="auto"/>
                    <w:ind w:firstLine="0" w:left="0" w:right="0"/>
                    <w:jc w:val="left"/>
                    <w:jc w:val="center"/>
                  </w:pPr>
                  <w:r>
                    <w:rPr>
                      <w:rFonts w:ascii="Calibri" w:hAnsi="Calibri"/>
                      <w:sz w:val="15"/>
                    </w:rPr>
                    <w:t xml:space="preserve">generic</w:t>
                  </w:r>
                </w:p>
              </w:tc>
              <w:tc>
                <w:tcPr/>
                <w:p>
                  <w:pPr>
                    <w:pStyle w:val="Compact"/>
                    <w:spacing w:before="8" w:after="8" w:line="240" w:lineRule="auto"/>
                    <w:ind w:firstLine="0" w:left="0" w:right="0"/>
                    <w:jc w:val="right"/>
                    <w:jc w:val="center"/>
                  </w:pPr>
                  <w:r>
                    <w:rPr>
                      <w:rFonts w:ascii="Calibri" w:hAnsi="Calibri"/>
                      <w:sz w:val="15"/>
                    </w:rPr>
                    <w:t xml:space="preserve">40.0%</w:t>
                  </w:r>
                </w:p>
              </w:tc>
              <w:tc>
                <w:tcPr/>
                <w:p>
                  <w:pPr>
                    <w:pStyle w:val="Compact"/>
                    <w:spacing w:before="8" w:after="8" w:line="240" w:lineRule="auto"/>
                    <w:ind w:firstLine="0" w:left="0" w:right="0"/>
                    <w:jc w:val="left"/>
                    <w:jc w:val="center"/>
                  </w:pPr>
                  <w:r>
                    <w:rPr>
                      <w:rFonts w:ascii="Calibri" w:hAnsi="Calibri"/>
                      <w:sz w:val="15"/>
                    </w:rPr>
                    <w:t xml:space="preserve">operations and supply chain</w:t>
                  </w:r>
                </w:p>
              </w:tc>
              <w:tc>
                <w:tcPr/>
                <w:p>
                  <w:pPr>
                    <w:pStyle w:val="Compact"/>
                    <w:spacing w:before="8" w:after="8" w:line="240" w:lineRule="auto"/>
                    <w:ind w:firstLine="0" w:left="0" w:right="0"/>
                    <w:jc w:val="right"/>
                    <w:jc w:val="center"/>
                  </w:pPr>
                  <w:r>
                    <w:rPr>
                      <w:rFonts w:ascii="Calibri" w:hAnsi="Calibri"/>
                      <w:sz w:val="15"/>
                    </w:rPr>
                    <w:t xml:space="preserve">12.9%</w:t>
                  </w:r>
                </w:p>
              </w:tc>
            </w:tr>
            <w:tr>
              <w:trPr>
                <w:cantSplit/>
              </w:trPr>
              <w:tc>
                <w:tcPr/>
                <w:p>
                  <w:pPr>
                    <w:pStyle w:val="Compact"/>
                    <w:spacing w:before="8" w:after="8" w:line="240" w:lineRule="auto"/>
                    <w:ind w:firstLine="0" w:left="0" w:right="0"/>
                    <w:jc w:val="left"/>
                    <w:jc w:val="center"/>
                  </w:pPr>
                  <w:r>
                    <w:rPr>
                      <w:rFonts w:ascii="Calibri" w:hAnsi="Calibri"/>
                      <w:sz w:val="15"/>
                    </w:rPr>
                    <w:t xml:space="preserve">co developed</w:t>
                  </w:r>
                </w:p>
              </w:tc>
              <w:tc>
                <w:tcPr/>
                <w:p>
                  <w:pPr>
                    <w:pStyle w:val="Compact"/>
                    <w:spacing w:before="8" w:after="8" w:line="240" w:lineRule="auto"/>
                    <w:ind w:firstLine="0" w:left="0" w:right="0"/>
                    <w:jc w:val="right"/>
                    <w:jc w:val="center"/>
                  </w:pPr>
                  <w:r>
                    <w:rPr>
                      <w:rFonts w:ascii="Calibri" w:hAnsi="Calibri"/>
                      <w:sz w:val="15"/>
                    </w:rPr>
                    <w:t xml:space="preserve">3.1%</w:t>
                  </w:r>
                </w:p>
              </w:tc>
              <w:tc>
                <w:tcPr/>
                <w:p>
                  <w:pPr>
                    <w:pStyle w:val="Compact"/>
                    <w:spacing w:before="8" w:after="8" w:line="240" w:lineRule="auto"/>
                    <w:ind w:firstLine="0" w:left="0" w:right="0"/>
                    <w:jc w:val="left"/>
                    <w:jc w:val="center"/>
                  </w:pPr>
                  <w:r>
                    <w:rPr>
                      <w:rFonts w:ascii="Calibri" w:hAnsi="Calibri"/>
                      <w:sz w:val="15"/>
                    </w:rPr>
                    <w:t xml:space="preserve">metric</w:t>
                  </w:r>
                </w:p>
              </w:tc>
              <w:tc>
                <w:tcPr/>
                <w:p>
                  <w:pPr>
                    <w:pStyle w:val="Compact"/>
                    <w:spacing w:before="8" w:after="8" w:line="240" w:lineRule="auto"/>
                    <w:ind w:firstLine="0" w:left="0" w:right="0"/>
                    <w:jc w:val="right"/>
                    <w:jc w:val="center"/>
                  </w:pPr>
                  <w:r>
                    <w:rPr>
                      <w:rFonts w:ascii="Calibri" w:hAnsi="Calibri"/>
                      <w:sz w:val="15"/>
                    </w:rPr>
                    <w:t xml:space="preserve">13.2%</w:t>
                  </w:r>
                </w:p>
              </w:tc>
              <w:tc>
                <w:tcPr/>
                <w:p>
                  <w:pPr>
                    <w:pStyle w:val="Compact"/>
                    <w:spacing w:before="8" w:after="8" w:line="240" w:lineRule="auto"/>
                    <w:ind w:firstLine="0" w:left="0" w:right="0"/>
                    <w:jc w:val="left"/>
                    <w:jc w:val="center"/>
                  </w:pPr>
                  <w:r>
                    <w:rPr>
                      <w:rFonts w:ascii="Calibri" w:hAnsi="Calibri"/>
                      <w:sz w:val="15"/>
                    </w:rPr>
                    <w:t xml:space="preserve">unspecified</w:t>
                  </w:r>
                </w:p>
              </w:tc>
              <w:tc>
                <w:tcPr/>
                <w:p>
                  <w:pPr>
                    <w:pStyle w:val="Compact"/>
                    <w:spacing w:before="8" w:after="8" w:line="240" w:lineRule="auto"/>
                    <w:ind w:firstLine="0" w:left="0" w:right="0"/>
                    <w:jc w:val="right"/>
                    <w:jc w:val="center"/>
                  </w:pPr>
                  <w:r>
                    <w:rPr>
                      <w:rFonts w:ascii="Calibri" w:hAnsi="Calibri"/>
                      <w:sz w:val="15"/>
                    </w:rPr>
                    <w:t xml:space="preserve">12.2%</w:t>
                  </w:r>
                </w:p>
              </w:tc>
            </w:tr>
            <w:tr>
              <w:trPr>
                <w:cantSplit/>
              </w:trPr>
              <w:tc>
                <w:tcPr/>
                <w:p>
                  <w:pPr>
                    <w:pStyle w:val="Compact"/>
                    <w:spacing w:before="8" w:after="8" w:line="240" w:lineRule="auto"/>
                    <w:ind w:firstLine="0" w:left="0" w:right="0"/>
                    <w:jc w:val="left"/>
                    <w:jc w:val="center"/>
                  </w:pPr>
                  <w:r>
                    <w:rPr>
                      <w:rFonts w:ascii="Calibri" w:hAnsi="Calibri"/>
                      <w:sz w:val="15"/>
                    </w:rPr>
                    <w:t xml:space="preserve">mixed</w:t>
                  </w:r>
                </w:p>
              </w:tc>
              <w:tc>
                <w:tcPr/>
                <w:p>
                  <w:pPr>
                    <w:pStyle w:val="Compact"/>
                    <w:spacing w:before="8" w:after="8" w:line="240" w:lineRule="auto"/>
                    <w:ind w:firstLine="0" w:left="0" w:right="0"/>
                    <w:jc w:val="right"/>
                    <w:jc w:val="center"/>
                  </w:pPr>
                  <w:r>
                    <w:rPr>
                      <w:rFonts w:ascii="Calibri" w:hAnsi="Calibri"/>
                      <w:sz w:val="15"/>
                    </w:rPr>
                    <w:t xml:space="preserve">2.8%</w:t>
                  </w:r>
                </w:p>
              </w:tc>
              <w:tc>
                <w:tcPr/>
                <w:p>
                  <w:pPr>
                    <w:pStyle w:val="Compact"/>
                    <w:spacing w:before="8" w:after="8" w:line="240" w:lineRule="auto"/>
                    <w:ind w:firstLine="0" w:left="0" w:right="0"/>
                    <w:jc w:val="left"/>
                    <w:jc w:val="center"/>
                  </w:pPr>
                  <w:r>
                    <w:rPr>
                      <w:rFonts w:ascii="Calibri" w:hAnsi="Calibri"/>
                      <w:sz w:val="15"/>
                    </w:rPr>
                    <w:t xml:space="preserve">vendor</w:t>
                  </w:r>
                </w:p>
              </w:tc>
              <w:tc>
                <w:tcPr/>
                <w:p>
                  <w:pPr>
                    <w:pStyle w:val="Compact"/>
                    <w:spacing w:before="8" w:after="8" w:line="240" w:lineRule="auto"/>
                    <w:ind w:firstLine="0" w:left="0" w:right="0"/>
                    <w:jc w:val="right"/>
                    <w:jc w:val="center"/>
                  </w:pPr>
                  <w:r>
                    <w:rPr>
                      <w:rFonts w:ascii="Calibri" w:hAnsi="Calibri"/>
                      <w:sz w:val="15"/>
                    </w:rPr>
                    <w:t xml:space="preserve">1.2%</w:t>
                  </w:r>
                </w:p>
              </w:tc>
              <w:tc>
                <w:tcPr/>
                <w:p>
                  <w:pPr>
                    <w:pStyle w:val="Compact"/>
                    <w:spacing w:before="8" w:after="8" w:line="240" w:lineRule="auto"/>
                    <w:ind w:firstLine="0" w:left="0" w:right="0"/>
                    <w:jc w:val="left"/>
                    <w:jc w:val="center"/>
                  </w:pPr>
                  <w:r>
                    <w:rPr>
                      <w:rFonts w:ascii="Calibri" w:hAnsi="Calibri"/>
                      <w:sz w:val="15"/>
                    </w:rPr>
                    <w:t xml:space="preserve">product feature</w:t>
                  </w:r>
                </w:p>
              </w:tc>
              <w:tc>
                <w:tcPr/>
                <w:p>
                  <w:pPr>
                    <w:pStyle w:val="Compact"/>
                    <w:spacing w:before="8" w:after="8" w:line="240" w:lineRule="auto"/>
                    <w:ind w:firstLine="0" w:left="0" w:right="0"/>
                    <w:jc w:val="right"/>
                    <w:jc w:val="center"/>
                  </w:pPr>
                  <w:r>
                    <w:rPr>
                      <w:rFonts w:ascii="Calibri" w:hAnsi="Calibri"/>
                      <w:sz w:val="15"/>
                    </w:rPr>
                    <w:t xml:space="preserve">5.9%</w:t>
                  </w:r>
                </w:p>
              </w:tc>
            </w:tr>
            <w:tr>
              <w:trPr>
                <w:cantSplit/>
              </w:trPr>
              <w:tc>
                <w:tcPr/>
                <w:p>
                  <w:pPr>
                    <w:pStyle w:val="Compact"/>
                    <w:spacing w:before="8" w:after="8" w:line="240" w:lineRule="auto"/>
                    <w:ind w:firstLine="0" w:left="0" w:right="0"/>
                    <w:jc w:val="left"/>
                    <w:jc w:val="center"/>
                  </w:pPr>
                  <w:r>
                    <w:rPr>
                      <w:rFonts w:ascii="Calibri" w:hAnsi="Calibri"/>
                      <w:sz w:val="15"/>
                    </w:rPr>
                    <w:t xml:space="preserve">acquired</w:t>
                  </w:r>
                </w:p>
              </w:tc>
              <w:tc>
                <w:tcPr/>
                <w:p>
                  <w:pPr>
                    <w:pStyle w:val="Compact"/>
                    <w:spacing w:before="8" w:after="8" w:line="240" w:lineRule="auto"/>
                    <w:ind w:firstLine="0" w:left="0" w:right="0"/>
                    <w:jc w:val="right"/>
                    <w:jc w:val="center"/>
                  </w:pPr>
                  <w:r>
                    <w:rPr>
                      <w:rFonts w:ascii="Calibri" w:hAnsi="Calibri"/>
                      <w:sz w:val="15"/>
                    </w:rPr>
                    <w:t xml:space="preserve">1.0%</w:t>
                  </w:r>
                </w:p>
              </w:tc>
              <w:tc>
                <w:tcPr/>
                <w:p>
                  <w:pPr>
                    <w:pStyle w:val="Compact"/>
                    <w:spacing w:before="8" w:after="8" w:line="240" w:lineRule="auto"/>
                    <w:ind w:firstLine="0" w:left="0" w:right="0"/>
                    <w:jc w:val="left"/>
                  </w:pPr>
                </w:p>
              </w:tc>
              <w:tc>
                <w:tcPr/>
                <w:p>
                  <w:pPr>
                    <w:pStyle w:val="Compact"/>
                    <w:spacing w:before="8" w:after="8" w:line="240" w:lineRule="auto"/>
                    <w:ind w:firstLine="0" w:left="0" w:right="0"/>
                    <w:jc w:val="left"/>
                  </w:pPr>
                </w:p>
              </w:tc>
              <w:tc>
                <w:tcPr/>
                <w:p>
                  <w:pPr>
                    <w:pStyle w:val="Compact"/>
                    <w:spacing w:before="8" w:after="8" w:line="240" w:lineRule="auto"/>
                    <w:ind w:firstLine="0" w:left="0" w:right="0"/>
                    <w:jc w:val="left"/>
                    <w:jc w:val="center"/>
                  </w:pPr>
                  <w:r>
                    <w:rPr>
                      <w:rFonts w:ascii="Calibri" w:hAnsi="Calibri"/>
                      <w:sz w:val="15"/>
                    </w:rPr>
                    <w:t xml:space="preserve">data and analytics</w:t>
                  </w:r>
                </w:p>
              </w:tc>
              <w:tc>
                <w:tcPr/>
                <w:p>
                  <w:pPr>
                    <w:pStyle w:val="Compact"/>
                    <w:spacing w:before="8" w:after="8" w:line="240" w:lineRule="auto"/>
                    <w:ind w:firstLine="0" w:left="0" w:right="0"/>
                    <w:jc w:val="right"/>
                    <w:jc w:val="center"/>
                  </w:pPr>
                  <w:r>
                    <w:rPr>
                      <w:rFonts w:ascii="Calibri" w:hAnsi="Calibri"/>
                      <w:sz w:val="15"/>
                    </w:rPr>
                    <w:t xml:space="preserve">4.4%</w:t>
                  </w:r>
                </w:p>
              </w:tc>
            </w:tr>
            <w:tr>
              <w:trPr>
                <w:cantSplit/>
              </w:trPr>
              <w:tc>
                <w:tcPr/>
                <w:p>
                  <w:pPr>
                    <w:pStyle w:val="Compact"/>
                    <w:spacing w:before="8" w:after="8" w:line="240" w:lineRule="auto"/>
                    <w:ind w:firstLine="0" w:left="0" w:right="0"/>
                    <w:jc w:val="left"/>
                    <w:jc w:val="center"/>
                  </w:pPr>
                  <w:r>
                    <w:rPr>
                      <w:rFonts w:ascii="Calibri" w:hAnsi="Calibri"/>
                      <w:sz w:val="15"/>
                    </w:rPr>
                    <w:t xml:space="preserve">unspecified</w:t>
                  </w:r>
                </w:p>
              </w:tc>
              <w:tc>
                <w:tcPr/>
                <w:p>
                  <w:pPr>
                    <w:pStyle w:val="Compact"/>
                    <w:spacing w:before="8" w:after="8" w:line="240" w:lineRule="auto"/>
                    <w:ind w:firstLine="0" w:left="0" w:right="0"/>
                    <w:jc w:val="right"/>
                    <w:jc w:val="center"/>
                  </w:pPr>
                  <w:r>
                    <w:rPr>
                      <w:rFonts w:ascii="Calibri" w:hAnsi="Calibri"/>
                      <w:sz w:val="15"/>
                    </w:rPr>
                    <w:t xml:space="preserve">0.7%</w:t>
                  </w:r>
                </w:p>
              </w:tc>
              <w:tc>
                <w:tcPr/>
                <w:p>
                  <w:pPr>
                    <w:pStyle w:val="Compact"/>
                    <w:spacing w:before="8" w:after="8" w:line="240" w:lineRule="auto"/>
                    <w:ind w:firstLine="0" w:left="0" w:right="0"/>
                    <w:jc w:val="left"/>
                  </w:pPr>
                </w:p>
              </w:tc>
              <w:tc>
                <w:tcPr/>
                <w:p>
                  <w:pPr>
                    <w:pStyle w:val="Compact"/>
                    <w:spacing w:before="8" w:after="8" w:line="240" w:lineRule="auto"/>
                    <w:ind w:firstLine="0" w:left="0" w:right="0"/>
                    <w:jc w:val="left"/>
                  </w:pPr>
                </w:p>
              </w:tc>
              <w:tc>
                <w:tcPr/>
                <w:p>
                  <w:pPr>
                    <w:pStyle w:val="Compact"/>
                    <w:spacing w:before="8" w:after="8" w:line="240" w:lineRule="auto"/>
                    <w:ind w:firstLine="0" w:left="0" w:right="0"/>
                    <w:jc w:val="left"/>
                    <w:jc w:val="center"/>
                  </w:pPr>
                  <w:r>
                    <w:rPr>
                      <w:rFonts w:ascii="Calibri" w:hAnsi="Calibri"/>
                      <w:sz w:val="15"/>
                    </w:rPr>
                    <w:t xml:space="preserve">software development</w:t>
                  </w:r>
                </w:p>
              </w:tc>
              <w:tc>
                <w:tcPr/>
                <w:p>
                  <w:pPr>
                    <w:pStyle w:val="Compact"/>
                    <w:spacing w:before="8" w:after="8" w:line="240" w:lineRule="auto"/>
                    <w:ind w:firstLine="0" w:left="0" w:right="0"/>
                    <w:jc w:val="right"/>
                    <w:jc w:val="center"/>
                  </w:pPr>
                  <w:r>
                    <w:rPr>
                      <w:rFonts w:ascii="Calibri" w:hAnsi="Calibri"/>
                      <w:sz w:val="15"/>
                    </w:rPr>
                    <w:t xml:space="preserve">4.0%</w:t>
                  </w:r>
                </w:p>
              </w:tc>
            </w:tr>
            <w:tr>
              <w:trPr>
                <w:cantSplit/>
              </w:trPr>
              <w:tc>
                <w:tcPr/>
                <w:p>
                  <w:pPr>
                    <w:pStyle w:val="Compact"/>
                    <w:spacing w:before="8" w:after="8" w:line="240" w:lineRule="auto"/>
                    <w:ind w:firstLine="0" w:left="0" w:right="0"/>
                    <w:jc w:val="left"/>
                    <w:jc w:val="center"/>
                  </w:pPr>
                  <w:r>
                    <w:rPr>
                      <w:rFonts w:ascii="Calibri" w:hAnsi="Calibri"/>
                      <w:sz w:val="15"/>
                    </w:rPr>
                    <w:t xml:space="preserve">open source</w:t>
                  </w:r>
                </w:p>
              </w:tc>
              <w:tc>
                <w:tcPr/>
                <w:p>
                  <w:pPr>
                    <w:pStyle w:val="Compact"/>
                    <w:spacing w:before="8" w:after="8" w:line="240" w:lineRule="auto"/>
                    <w:ind w:firstLine="0" w:left="0" w:right="0"/>
                    <w:jc w:val="right"/>
                    <w:jc w:val="center"/>
                  </w:pPr>
                  <w:r>
                    <w:rPr>
                      <w:rFonts w:ascii="Calibri" w:hAnsi="Calibri"/>
                      <w:sz w:val="15"/>
                    </w:rPr>
                    <w:t xml:space="preserve">0.1%</w:t>
                  </w:r>
                </w:p>
              </w:tc>
              <w:tc>
                <w:tcPr/>
                <w:p>
                  <w:pPr>
                    <w:pStyle w:val="Compact"/>
                    <w:spacing w:before="8" w:after="8" w:line="240" w:lineRule="auto"/>
                    <w:ind w:firstLine="0" w:left="0" w:right="0"/>
                    <w:jc w:val="left"/>
                  </w:pPr>
                </w:p>
              </w:tc>
              <w:tc>
                <w:tcPr/>
                <w:p>
                  <w:pPr>
                    <w:pStyle w:val="Compact"/>
                    <w:spacing w:before="8" w:after="8" w:line="240" w:lineRule="auto"/>
                    <w:ind w:firstLine="0" w:left="0" w:right="0"/>
                    <w:jc w:val="left"/>
                  </w:pPr>
                </w:p>
              </w:tc>
              <w:tc>
                <w:tcPr/>
                <w:p>
                  <w:pPr>
                    <w:pStyle w:val="Compact"/>
                    <w:spacing w:before="8" w:after="8" w:line="240" w:lineRule="auto"/>
                    <w:ind w:firstLine="0" w:left="0" w:right="0"/>
                    <w:jc w:val="left"/>
                    <w:jc w:val="center"/>
                  </w:pPr>
                  <w:r>
                    <w:rPr>
                      <w:rFonts w:ascii="Calibri" w:hAnsi="Calibri"/>
                      <w:sz w:val="15"/>
                    </w:rPr>
                    <w:t xml:space="preserve">marketing and sales</w:t>
                  </w:r>
                </w:p>
              </w:tc>
              <w:tc>
                <w:tcPr/>
                <w:p>
                  <w:pPr>
                    <w:pStyle w:val="Compact"/>
                    <w:spacing w:before="8" w:after="8" w:line="240" w:lineRule="auto"/>
                    <w:ind w:firstLine="0" w:left="0" w:right="0"/>
                    <w:jc w:val="right"/>
                    <w:jc w:val="center"/>
                  </w:pPr>
                  <w:r>
                    <w:rPr>
                      <w:rFonts w:ascii="Calibri" w:hAnsi="Calibri"/>
                      <w:sz w:val="15"/>
                    </w:rPr>
                    <w:t xml:space="preserve">3.8%</w:t>
                  </w:r>
                </w:p>
              </w:tc>
            </w:tr>
            <w:tr>
              <w:trPr>
                <w:cantSplit/>
              </w:trPr>
              <w:tc>
                <w:tcPr/>
                <w:p>
                  <w:pPr>
                    <w:pStyle w:val="Compact"/>
                    <w:spacing w:before="8" w:after="8" w:line="240" w:lineRule="auto"/>
                    <w:ind w:firstLine="0" w:left="0" w:right="0"/>
                    <w:jc w:val="left"/>
                  </w:pPr>
                </w:p>
              </w:tc>
              <w:tc>
                <w:tcPr/>
                <w:p>
                  <w:pPr>
                    <w:pStyle w:val="Compact"/>
                    <w:spacing w:before="8" w:after="8" w:line="240" w:lineRule="auto"/>
                    <w:ind w:firstLine="0" w:left="0" w:right="0"/>
                    <w:jc w:val="left"/>
                  </w:pPr>
                </w:p>
              </w:tc>
              <w:tc>
                <w:tcPr/>
                <w:p>
                  <w:pPr>
                    <w:pStyle w:val="Compact"/>
                    <w:spacing w:before="8" w:after="8" w:line="240" w:lineRule="auto"/>
                    <w:ind w:firstLine="0" w:left="0" w:right="0"/>
                    <w:jc w:val="left"/>
                  </w:pPr>
                </w:p>
              </w:tc>
              <w:tc>
                <w:tcPr/>
                <w:p>
                  <w:pPr>
                    <w:pStyle w:val="Compact"/>
                    <w:spacing w:before="8" w:after="8" w:line="240" w:lineRule="auto"/>
                    <w:ind w:firstLine="0" w:left="0" w:right="0"/>
                    <w:jc w:val="left"/>
                  </w:pPr>
                </w:p>
              </w:tc>
              <w:tc>
                <w:tcPr/>
                <w:p>
                  <w:pPr>
                    <w:pStyle w:val="Compact"/>
                    <w:spacing w:before="8" w:after="8" w:line="240" w:lineRule="auto"/>
                    <w:ind w:firstLine="0" w:left="0" w:right="0"/>
                    <w:jc w:val="left"/>
                    <w:jc w:val="center"/>
                  </w:pPr>
                  <w:r>
                    <w:rPr>
                      <w:rFonts w:ascii="Calibri" w:hAnsi="Calibri"/>
                      <w:sz w:val="15"/>
                    </w:rPr>
                    <w:t xml:space="preserve">fraud and risk</w:t>
                  </w:r>
                </w:p>
              </w:tc>
              <w:tc>
                <w:tcPr/>
                <w:p>
                  <w:pPr>
                    <w:pStyle w:val="Compact"/>
                    <w:spacing w:before="8" w:after="8" w:line="240" w:lineRule="auto"/>
                    <w:ind w:firstLine="0" w:left="0" w:right="0"/>
                    <w:jc w:val="right"/>
                    <w:jc w:val="center"/>
                  </w:pPr>
                  <w:r>
                    <w:rPr>
                      <w:rFonts w:ascii="Calibri" w:hAnsi="Calibri"/>
                      <w:sz w:val="15"/>
                    </w:rPr>
                    <w:t xml:space="preserve">3.5%</w:t>
                  </w:r>
                </w:p>
              </w:tc>
            </w:tr>
            <w:tr>
              <w:trPr>
                <w:cantSplit/>
              </w:trPr>
              <w:tc>
                <w:tcPr/>
                <w:p>
                  <w:pPr>
                    <w:pStyle w:val="Compact"/>
                    <w:spacing w:before="8" w:after="8" w:line="240" w:lineRule="auto"/>
                    <w:ind w:firstLine="0" w:left="0" w:right="0"/>
                    <w:jc w:val="left"/>
                  </w:pPr>
                </w:p>
              </w:tc>
              <w:tc>
                <w:tcPr/>
                <w:p>
                  <w:pPr>
                    <w:pStyle w:val="Compact"/>
                    <w:spacing w:before="8" w:after="8" w:line="240" w:lineRule="auto"/>
                    <w:ind w:firstLine="0" w:left="0" w:right="0"/>
                    <w:jc w:val="left"/>
                  </w:pPr>
                </w:p>
              </w:tc>
              <w:tc>
                <w:tcPr/>
                <w:p>
                  <w:pPr>
                    <w:pStyle w:val="Compact"/>
                    <w:spacing w:before="8" w:after="8" w:line="240" w:lineRule="auto"/>
                    <w:ind w:firstLine="0" w:left="0" w:right="0"/>
                    <w:jc w:val="left"/>
                  </w:pPr>
                </w:p>
              </w:tc>
              <w:tc>
                <w:tcPr/>
                <w:p>
                  <w:pPr>
                    <w:pStyle w:val="Compact"/>
                    <w:spacing w:before="8" w:after="8" w:line="240" w:lineRule="auto"/>
                    <w:ind w:firstLine="0" w:left="0" w:right="0"/>
                    <w:jc w:val="left"/>
                  </w:pPr>
                </w:p>
              </w:tc>
              <w:tc>
                <w:tcPr/>
                <w:p>
                  <w:pPr>
                    <w:pStyle w:val="Compact"/>
                    <w:spacing w:before="8" w:after="8" w:line="240" w:lineRule="auto"/>
                    <w:ind w:firstLine="0" w:left="0" w:right="0"/>
                    <w:jc w:val="left"/>
                    <w:jc w:val="center"/>
                  </w:pPr>
                  <w:r>
                    <w:rPr>
                      <w:rFonts w:ascii="Calibri" w:hAnsi="Calibri"/>
                      <w:sz w:val="15"/>
                    </w:rPr>
                    <w:t xml:space="preserve">it and cybersecurity</w:t>
                  </w:r>
                </w:p>
              </w:tc>
              <w:tc>
                <w:tcPr/>
                <w:p>
                  <w:pPr>
                    <w:pStyle w:val="Compact"/>
                    <w:spacing w:before="8" w:after="8" w:line="240" w:lineRule="auto"/>
                    <w:ind w:firstLine="0" w:left="0" w:right="0"/>
                    <w:jc w:val="right"/>
                    <w:jc w:val="center"/>
                  </w:pPr>
                  <w:r>
                    <w:rPr>
                      <w:rFonts w:ascii="Calibri" w:hAnsi="Calibri"/>
                      <w:sz w:val="15"/>
                    </w:rPr>
                    <w:t xml:space="preserve">3.2%</w:t>
                  </w:r>
                </w:p>
              </w:tc>
            </w:tr>
            <w:tr>
              <w:trPr>
                <w:cantSplit/>
              </w:trPr>
              <w:tc>
                <w:tcPr/>
                <w:p>
                  <w:pPr>
                    <w:pStyle w:val="Compact"/>
                    <w:spacing w:before="8" w:after="8" w:line="240" w:lineRule="auto"/>
                    <w:ind w:firstLine="0" w:left="0" w:right="0"/>
                    <w:jc w:val="left"/>
                  </w:pPr>
                </w:p>
              </w:tc>
              <w:tc>
                <w:tcPr/>
                <w:p>
                  <w:pPr>
                    <w:pStyle w:val="Compact"/>
                    <w:spacing w:before="8" w:after="8" w:line="240" w:lineRule="auto"/>
                    <w:ind w:firstLine="0" w:left="0" w:right="0"/>
                    <w:jc w:val="left"/>
                  </w:pPr>
                </w:p>
              </w:tc>
              <w:tc>
                <w:tcPr/>
                <w:p>
                  <w:pPr>
                    <w:pStyle w:val="Compact"/>
                    <w:spacing w:before="8" w:after="8" w:line="240" w:lineRule="auto"/>
                    <w:ind w:firstLine="0" w:left="0" w:right="0"/>
                    <w:jc w:val="left"/>
                  </w:pPr>
                </w:p>
              </w:tc>
              <w:tc>
                <w:tcPr/>
                <w:p>
                  <w:pPr>
                    <w:pStyle w:val="Compact"/>
                    <w:spacing w:before="8" w:after="8" w:line="240" w:lineRule="auto"/>
                    <w:ind w:firstLine="0" w:left="0" w:right="0"/>
                    <w:jc w:val="left"/>
                  </w:pPr>
                </w:p>
              </w:tc>
              <w:tc>
                <w:tcPr/>
                <w:p>
                  <w:pPr>
                    <w:pStyle w:val="Compact"/>
                    <w:spacing w:before="8" w:after="8" w:line="240" w:lineRule="auto"/>
                    <w:ind w:firstLine="0" w:left="0" w:right="0"/>
                    <w:jc w:val="left"/>
                    <w:jc w:val="center"/>
                  </w:pPr>
                  <w:r>
                    <w:rPr>
                      <w:rFonts w:ascii="Calibri" w:hAnsi="Calibri"/>
                      <w:sz w:val="15"/>
                    </w:rPr>
                    <w:t xml:space="preserve">content and media</w:t>
                  </w:r>
                </w:p>
              </w:tc>
              <w:tc>
                <w:tcPr/>
                <w:p>
                  <w:pPr>
                    <w:pStyle w:val="Compact"/>
                    <w:spacing w:before="8" w:after="8" w:line="240" w:lineRule="auto"/>
                    <w:ind w:firstLine="0" w:left="0" w:right="0"/>
                    <w:jc w:val="right"/>
                    <w:jc w:val="center"/>
                  </w:pPr>
                  <w:r>
                    <w:rPr>
                      <w:rFonts w:ascii="Calibri" w:hAnsi="Calibri"/>
                      <w:sz w:val="15"/>
                    </w:rPr>
                    <w:t xml:space="preserve">2.7%</w:t>
                  </w:r>
                </w:p>
              </w:tc>
            </w:tr>
            <w:tr>
              <w:trPr>
                <w:cantSplit/>
              </w:trPr>
              <w:tc>
                <w:tcPr/>
                <w:p>
                  <w:pPr>
                    <w:pStyle w:val="Compact"/>
                    <w:spacing w:before="8" w:after="8" w:line="240" w:lineRule="auto"/>
                    <w:ind w:firstLine="0" w:left="0" w:right="0"/>
                    <w:jc w:val="left"/>
                  </w:pPr>
                </w:p>
              </w:tc>
              <w:tc>
                <w:tcPr/>
                <w:p>
                  <w:pPr>
                    <w:pStyle w:val="Compact"/>
                    <w:spacing w:before="8" w:after="8" w:line="240" w:lineRule="auto"/>
                    <w:ind w:firstLine="0" w:left="0" w:right="0"/>
                    <w:jc w:val="left"/>
                  </w:pPr>
                </w:p>
              </w:tc>
              <w:tc>
                <w:tcPr/>
                <w:p>
                  <w:pPr>
                    <w:pStyle w:val="Compact"/>
                    <w:spacing w:before="8" w:after="8" w:line="240" w:lineRule="auto"/>
                    <w:ind w:firstLine="0" w:left="0" w:right="0"/>
                    <w:jc w:val="left"/>
                  </w:pPr>
                </w:p>
              </w:tc>
              <w:tc>
                <w:tcPr/>
                <w:p>
                  <w:pPr>
                    <w:pStyle w:val="Compact"/>
                    <w:spacing w:before="8" w:after="8" w:line="240" w:lineRule="auto"/>
                    <w:ind w:firstLine="0" w:left="0" w:right="0"/>
                    <w:jc w:val="left"/>
                  </w:pPr>
                </w:p>
              </w:tc>
              <w:tc>
                <w:tcPr/>
                <w:p>
                  <w:pPr>
                    <w:pStyle w:val="Compact"/>
                    <w:spacing w:before="8" w:after="8" w:line="240" w:lineRule="auto"/>
                    <w:ind w:firstLine="0" w:left="0" w:right="0"/>
                    <w:jc w:val="left"/>
                    <w:jc w:val="center"/>
                  </w:pPr>
                  <w:r>
                    <w:rPr>
                      <w:rFonts w:ascii="Calibri" w:hAnsi="Calibri"/>
                      <w:sz w:val="15"/>
                    </w:rPr>
                    <w:t xml:space="preserve">research and product development</w:t>
                  </w:r>
                </w:p>
              </w:tc>
              <w:tc>
                <w:tcPr/>
                <w:p>
                  <w:pPr>
                    <w:pStyle w:val="Compact"/>
                    <w:spacing w:before="8" w:after="8" w:line="240" w:lineRule="auto"/>
                    <w:ind w:firstLine="0" w:left="0" w:right="0"/>
                    <w:jc w:val="right"/>
                    <w:jc w:val="center"/>
                  </w:pPr>
                  <w:r>
                    <w:rPr>
                      <w:rFonts w:ascii="Calibri" w:hAnsi="Calibri"/>
                      <w:sz w:val="15"/>
                    </w:rPr>
                    <w:t xml:space="preserve">2.5%</w:t>
                  </w:r>
                </w:p>
              </w:tc>
            </w:tr>
            <w:tr>
              <w:trPr>
                <w:cantSplit/>
              </w:trPr>
              <w:tc>
                <w:tcPr/>
                <w:p>
                  <w:pPr>
                    <w:pStyle w:val="Compact"/>
                    <w:spacing w:before="8" w:after="8" w:line="240" w:lineRule="auto"/>
                    <w:ind w:firstLine="0" w:left="0" w:right="0"/>
                    <w:jc w:val="left"/>
                  </w:pPr>
                </w:p>
              </w:tc>
              <w:tc>
                <w:tcPr/>
                <w:p>
                  <w:pPr>
                    <w:pStyle w:val="Compact"/>
                    <w:spacing w:before="8" w:after="8" w:line="240" w:lineRule="auto"/>
                    <w:ind w:firstLine="0" w:left="0" w:right="0"/>
                    <w:jc w:val="left"/>
                  </w:pPr>
                </w:p>
              </w:tc>
              <w:tc>
                <w:tcPr/>
                <w:p>
                  <w:pPr>
                    <w:pStyle w:val="Compact"/>
                    <w:spacing w:before="8" w:after="8" w:line="240" w:lineRule="auto"/>
                    <w:ind w:firstLine="0" w:left="0" w:right="0"/>
                    <w:jc w:val="left"/>
                  </w:pPr>
                </w:p>
              </w:tc>
              <w:tc>
                <w:tcPr/>
                <w:p>
                  <w:pPr>
                    <w:pStyle w:val="Compact"/>
                    <w:spacing w:before="8" w:after="8" w:line="240" w:lineRule="auto"/>
                    <w:ind w:firstLine="0" w:left="0" w:right="0"/>
                    <w:jc w:val="left"/>
                  </w:pPr>
                </w:p>
              </w:tc>
              <w:tc>
                <w:tcPr/>
                <w:p>
                  <w:pPr>
                    <w:pStyle w:val="Compact"/>
                    <w:spacing w:before="8" w:after="8" w:line="240" w:lineRule="auto"/>
                    <w:ind w:firstLine="0" w:left="0" w:right="0"/>
                    <w:jc w:val="left"/>
                    <w:jc w:val="center"/>
                  </w:pPr>
                  <w:r>
                    <w:rPr>
                      <w:rFonts w:ascii="Calibri" w:hAnsi="Calibri"/>
                      <w:sz w:val="15"/>
                    </w:rPr>
                    <w:t xml:space="preserve">ai compute and models</w:t>
                  </w:r>
                </w:p>
              </w:tc>
              <w:tc>
                <w:tcPr/>
                <w:p>
                  <w:pPr>
                    <w:pStyle w:val="Compact"/>
                    <w:spacing w:before="8" w:after="8" w:line="240" w:lineRule="auto"/>
                    <w:ind w:firstLine="0" w:left="0" w:right="0"/>
                    <w:jc w:val="right"/>
                    <w:jc w:val="center"/>
                  </w:pPr>
                  <w:r>
                    <w:rPr>
                      <w:rFonts w:ascii="Calibri" w:hAnsi="Calibri"/>
                      <w:sz w:val="15"/>
                    </w:rPr>
                    <w:t xml:space="preserve">2.1%</w:t>
                  </w:r>
                </w:p>
              </w:tc>
            </w:tr>
            <w:tr>
              <w:trPr>
                <w:cantSplit/>
              </w:trPr>
              <w:tc>
                <w:tcPr/>
                <w:p>
                  <w:pPr>
                    <w:pStyle w:val="Compact"/>
                    <w:spacing w:before="8" w:after="8" w:line="240" w:lineRule="auto"/>
                    <w:ind w:firstLine="0" w:left="0" w:right="0"/>
                    <w:jc w:val="left"/>
                  </w:pPr>
                </w:p>
              </w:tc>
              <w:tc>
                <w:tcPr/>
                <w:p>
                  <w:pPr>
                    <w:pStyle w:val="Compact"/>
                    <w:spacing w:before="8" w:after="8" w:line="240" w:lineRule="auto"/>
                    <w:ind w:firstLine="0" w:left="0" w:right="0"/>
                    <w:jc w:val="left"/>
                  </w:pPr>
                </w:p>
              </w:tc>
              <w:tc>
                <w:tcPr/>
                <w:p>
                  <w:pPr>
                    <w:pStyle w:val="Compact"/>
                    <w:spacing w:before="8" w:after="8" w:line="240" w:lineRule="auto"/>
                    <w:ind w:firstLine="0" w:left="0" w:right="0"/>
                    <w:jc w:val="left"/>
                  </w:pPr>
                </w:p>
              </w:tc>
              <w:tc>
                <w:tcPr/>
                <w:p>
                  <w:pPr>
                    <w:pStyle w:val="Compact"/>
                    <w:spacing w:before="8" w:after="8" w:line="240" w:lineRule="auto"/>
                    <w:ind w:firstLine="0" w:left="0" w:right="0"/>
                    <w:jc w:val="left"/>
                  </w:pPr>
                </w:p>
              </w:tc>
              <w:tc>
                <w:tcPr/>
                <w:p>
                  <w:pPr>
                    <w:pStyle w:val="Compact"/>
                    <w:spacing w:before="8" w:after="8" w:line="240" w:lineRule="auto"/>
                    <w:ind w:firstLine="0" w:left="0" w:right="0"/>
                    <w:jc w:val="left"/>
                    <w:jc w:val="center"/>
                  </w:pPr>
                  <w:r>
                    <w:rPr>
                      <w:rFonts w:ascii="Calibri" w:hAnsi="Calibri"/>
                      <w:sz w:val="15"/>
                    </w:rPr>
                    <w:t xml:space="preserve">governance</w:t>
                  </w:r>
                </w:p>
              </w:tc>
              <w:tc>
                <w:tcPr/>
                <w:p>
                  <w:pPr>
                    <w:pStyle w:val="Compact"/>
                    <w:spacing w:before="8" w:after="8" w:line="240" w:lineRule="auto"/>
                    <w:ind w:firstLine="0" w:left="0" w:right="0"/>
                    <w:jc w:val="right"/>
                    <w:jc w:val="center"/>
                  </w:pPr>
                  <w:r>
                    <w:rPr>
                      <w:rFonts w:ascii="Calibri" w:hAnsi="Calibri"/>
                      <w:sz w:val="15"/>
                    </w:rPr>
                    <w:t xml:space="preserve">1.5%</w:t>
                  </w:r>
                </w:p>
              </w:tc>
            </w:tr>
            <w:tr>
              <w:trPr>
                <w:cantSplit/>
              </w:trPr>
              <w:tc>
                <w:tcPr/>
                <w:p>
                  <w:pPr>
                    <w:pStyle w:val="Compact"/>
                    <w:spacing w:before="8" w:after="8" w:line="240" w:lineRule="auto"/>
                    <w:ind w:firstLine="0" w:left="0" w:right="0"/>
                    <w:jc w:val="left"/>
                  </w:pPr>
                </w:p>
              </w:tc>
              <w:tc>
                <w:tcPr/>
                <w:p>
                  <w:pPr>
                    <w:pStyle w:val="Compact"/>
                    <w:spacing w:before="8" w:after="8" w:line="240" w:lineRule="auto"/>
                    <w:ind w:firstLine="0" w:left="0" w:right="0"/>
                    <w:jc w:val="left"/>
                  </w:pPr>
                </w:p>
              </w:tc>
              <w:tc>
                <w:tcPr/>
                <w:p>
                  <w:pPr>
                    <w:pStyle w:val="Compact"/>
                    <w:spacing w:before="8" w:after="8" w:line="240" w:lineRule="auto"/>
                    <w:ind w:firstLine="0" w:left="0" w:right="0"/>
                    <w:jc w:val="left"/>
                  </w:pPr>
                </w:p>
              </w:tc>
              <w:tc>
                <w:tcPr/>
                <w:p>
                  <w:pPr>
                    <w:pStyle w:val="Compact"/>
                    <w:spacing w:before="8" w:after="8" w:line="240" w:lineRule="auto"/>
                    <w:ind w:firstLine="0" w:left="0" w:right="0"/>
                    <w:jc w:val="left"/>
                  </w:pPr>
                </w:p>
              </w:tc>
              <w:tc>
                <w:tcPr/>
                <w:p>
                  <w:pPr>
                    <w:pStyle w:val="Compact"/>
                    <w:spacing w:before="8" w:after="8" w:line="240" w:lineRule="auto"/>
                    <w:ind w:firstLine="0" w:left="0" w:right="0"/>
                    <w:jc w:val="left"/>
                    <w:jc w:val="center"/>
                  </w:pPr>
                  <w:r>
                    <w:rPr>
                      <w:rFonts w:ascii="Calibri" w:hAnsi="Calibri"/>
                      <w:sz w:val="15"/>
                    </w:rPr>
                    <w:t xml:space="preserve">financial services operations</w:t>
                  </w:r>
                </w:p>
              </w:tc>
              <w:tc>
                <w:tcPr/>
                <w:p>
                  <w:pPr>
                    <w:pStyle w:val="Compact"/>
                    <w:spacing w:before="8" w:after="8" w:line="240" w:lineRule="auto"/>
                    <w:ind w:firstLine="0" w:left="0" w:right="0"/>
                    <w:jc w:val="right"/>
                    <w:jc w:val="center"/>
                  </w:pPr>
                  <w:r>
                    <w:rPr>
                      <w:rFonts w:ascii="Calibri" w:hAnsi="Calibri"/>
                      <w:sz w:val="15"/>
                    </w:rPr>
                    <w:t xml:space="preserve">1.5%</w:t>
                  </w:r>
                </w:p>
              </w:tc>
            </w:tr>
            <w:tr>
              <w:trPr>
                <w:cantSplit/>
              </w:trPr>
              <w:tc>
                <w:tcPr/>
                <w:p>
                  <w:pPr>
                    <w:pStyle w:val="Compact"/>
                    <w:spacing w:before="8" w:after="8" w:line="240" w:lineRule="auto"/>
                    <w:ind w:firstLine="0" w:left="0" w:right="0"/>
                    <w:jc w:val="left"/>
                  </w:pPr>
                </w:p>
              </w:tc>
              <w:tc>
                <w:tcPr/>
                <w:p>
                  <w:pPr>
                    <w:pStyle w:val="Compact"/>
                    <w:spacing w:before="8" w:after="8" w:line="240" w:lineRule="auto"/>
                    <w:ind w:firstLine="0" w:left="0" w:right="0"/>
                    <w:jc w:val="left"/>
                  </w:pPr>
                </w:p>
              </w:tc>
              <w:tc>
                <w:tcPr/>
                <w:p>
                  <w:pPr>
                    <w:pStyle w:val="Compact"/>
                    <w:spacing w:before="8" w:after="8" w:line="240" w:lineRule="auto"/>
                    <w:ind w:firstLine="0" w:left="0" w:right="0"/>
                    <w:jc w:val="left"/>
                  </w:pPr>
                </w:p>
              </w:tc>
              <w:tc>
                <w:tcPr/>
                <w:p>
                  <w:pPr>
                    <w:pStyle w:val="Compact"/>
                    <w:spacing w:before="8" w:after="8" w:line="240" w:lineRule="auto"/>
                    <w:ind w:firstLine="0" w:left="0" w:right="0"/>
                    <w:jc w:val="left"/>
                  </w:pPr>
                </w:p>
              </w:tc>
              <w:tc>
                <w:tcPr/>
                <w:p>
                  <w:pPr>
                    <w:pStyle w:val="Compact"/>
                    <w:spacing w:before="8" w:after="8" w:line="240" w:lineRule="auto"/>
                    <w:ind w:firstLine="0" w:left="0" w:right="0"/>
                    <w:jc w:val="left"/>
                    <w:jc w:val="center"/>
                  </w:pPr>
                  <w:r>
                    <w:rPr>
                      <w:rFonts w:ascii="Calibri" w:hAnsi="Calibri"/>
                      <w:sz w:val="15"/>
                    </w:rPr>
                    <w:t xml:space="preserve">hr and talent</w:t>
                  </w:r>
                </w:p>
              </w:tc>
              <w:tc>
                <w:tcPr/>
                <w:p>
                  <w:pPr>
                    <w:pStyle w:val="Compact"/>
                    <w:spacing w:before="8" w:after="8" w:line="240" w:lineRule="auto"/>
                    <w:ind w:firstLine="0" w:left="0" w:right="0"/>
                    <w:jc w:val="right"/>
                    <w:jc w:val="center"/>
                  </w:pPr>
                  <w:r>
                    <w:rPr>
                      <w:rFonts w:ascii="Calibri" w:hAnsi="Calibri"/>
                      <w:sz w:val="15"/>
                    </w:rPr>
                    <w:t xml:space="preserve">1.4%</w:t>
                  </w:r>
                </w:p>
              </w:tc>
            </w:tr>
            <w:tr>
              <w:trPr>
                <w:cantSplit/>
              </w:trPr>
              <w:tc>
                <w:tcPr/>
                <w:p>
                  <w:pPr>
                    <w:pStyle w:val="Compact"/>
                    <w:spacing w:before="8" w:after="8" w:line="240" w:lineRule="auto"/>
                    <w:ind w:firstLine="0" w:left="0" w:right="0"/>
                    <w:jc w:val="left"/>
                  </w:pPr>
                </w:p>
              </w:tc>
              <w:tc>
                <w:tcPr/>
                <w:p>
                  <w:pPr>
                    <w:pStyle w:val="Compact"/>
                    <w:spacing w:before="8" w:after="8" w:line="240" w:lineRule="auto"/>
                    <w:ind w:firstLine="0" w:left="0" w:right="0"/>
                    <w:jc w:val="left"/>
                  </w:pPr>
                </w:p>
              </w:tc>
              <w:tc>
                <w:tcPr/>
                <w:p>
                  <w:pPr>
                    <w:pStyle w:val="Compact"/>
                    <w:spacing w:before="8" w:after="8" w:line="240" w:lineRule="auto"/>
                    <w:ind w:firstLine="0" w:left="0" w:right="0"/>
                    <w:jc w:val="left"/>
                  </w:pPr>
                </w:p>
              </w:tc>
              <w:tc>
                <w:tcPr/>
                <w:p>
                  <w:pPr>
                    <w:pStyle w:val="Compact"/>
                    <w:spacing w:before="8" w:after="8" w:line="240" w:lineRule="auto"/>
                    <w:ind w:firstLine="0" w:left="0" w:right="0"/>
                    <w:jc w:val="left"/>
                  </w:pPr>
                </w:p>
              </w:tc>
              <w:tc>
                <w:tcPr/>
                <w:p>
                  <w:pPr>
                    <w:pStyle w:val="Compact"/>
                    <w:spacing w:before="8" w:after="8" w:line="240" w:lineRule="auto"/>
                    <w:ind w:firstLine="0" w:left="0" w:right="0"/>
                    <w:jc w:val="left"/>
                    <w:jc w:val="center"/>
                  </w:pPr>
                  <w:r>
                    <w:rPr>
                      <w:rFonts w:ascii="Calibri" w:hAnsi="Calibri"/>
                      <w:sz w:val="15"/>
                    </w:rPr>
                    <w:t xml:space="preserve">customer service</w:t>
                  </w:r>
                </w:p>
              </w:tc>
              <w:tc>
                <w:tcPr/>
                <w:p>
                  <w:pPr>
                    <w:pStyle w:val="Compact"/>
                    <w:spacing w:before="8" w:after="8" w:line="240" w:lineRule="auto"/>
                    <w:ind w:firstLine="0" w:left="0" w:right="0"/>
                    <w:jc w:val="right"/>
                    <w:jc w:val="center"/>
                  </w:pPr>
                  <w:r>
                    <w:rPr>
                      <w:rFonts w:ascii="Calibri" w:hAnsi="Calibri"/>
                      <w:sz w:val="15"/>
                    </w:rPr>
                    <w:t xml:space="preserve">1.4%</w:t>
                  </w:r>
                </w:p>
              </w:tc>
            </w:tr>
            <w:tr>
              <w:trPr>
                <w:cantSplit/>
              </w:trPr>
              <w:tc>
                <w:tcPr/>
                <w:p>
                  <w:pPr>
                    <w:pStyle w:val="Compact"/>
                    <w:spacing w:before="8" w:after="8" w:line="240" w:lineRule="auto"/>
                    <w:ind w:firstLine="0" w:left="0" w:right="0"/>
                    <w:jc w:val="left"/>
                  </w:pPr>
                </w:p>
              </w:tc>
              <w:tc>
                <w:tcPr/>
                <w:p>
                  <w:pPr>
                    <w:pStyle w:val="Compact"/>
                    <w:spacing w:before="8" w:after="8" w:line="240" w:lineRule="auto"/>
                    <w:ind w:firstLine="0" w:left="0" w:right="0"/>
                    <w:jc w:val="left"/>
                  </w:pPr>
                </w:p>
              </w:tc>
              <w:tc>
                <w:tcPr/>
                <w:p>
                  <w:pPr>
                    <w:pStyle w:val="Compact"/>
                    <w:spacing w:before="8" w:after="8" w:line="240" w:lineRule="auto"/>
                    <w:ind w:firstLine="0" w:left="0" w:right="0"/>
                    <w:jc w:val="left"/>
                  </w:pPr>
                </w:p>
              </w:tc>
              <w:tc>
                <w:tcPr/>
                <w:p>
                  <w:pPr>
                    <w:pStyle w:val="Compact"/>
                    <w:spacing w:before="8" w:after="8" w:line="240" w:lineRule="auto"/>
                    <w:ind w:firstLine="0" w:left="0" w:right="0"/>
                    <w:jc w:val="left"/>
                  </w:pPr>
                </w:p>
              </w:tc>
              <w:tc>
                <w:tcPr/>
                <w:p>
                  <w:pPr>
                    <w:pStyle w:val="Compact"/>
                    <w:spacing w:before="8" w:after="8" w:line="240" w:lineRule="auto"/>
                    <w:ind w:firstLine="0" w:left="0" w:right="0"/>
                    <w:jc w:val="left"/>
                    <w:jc w:val="center"/>
                  </w:pPr>
                  <w:r>
                    <w:rPr>
                      <w:rFonts w:ascii="Calibri" w:hAnsi="Calibri"/>
                      <w:sz w:val="15"/>
                    </w:rPr>
                    <w:t xml:space="preserve">finance legal and admin</w:t>
                  </w:r>
                </w:p>
              </w:tc>
              <w:tc>
                <w:tcPr/>
                <w:p>
                  <w:pPr>
                    <w:pStyle w:val="Compact"/>
                    <w:spacing w:before="8" w:after="8" w:line="240" w:lineRule="auto"/>
                    <w:ind w:firstLine="0" w:left="0" w:right="0"/>
                    <w:jc w:val="right"/>
                    <w:jc w:val="center"/>
                  </w:pPr>
                  <w:r>
                    <w:rPr>
                      <w:rFonts w:ascii="Calibri" w:hAnsi="Calibri"/>
                      <w:sz w:val="15"/>
                    </w:rPr>
                    <w:t xml:space="preserve">1.0%</w:t>
                  </w:r>
                </w:p>
              </w:tc>
            </w:tr>
            <w:tr>
              <w:trPr>
                <w:cantSplit/>
              </w:trPr>
              <w:tc>
                <w:tcPr/>
                <w:p>
                  <w:pPr>
                    <w:pStyle w:val="Compact"/>
                    <w:spacing w:before="8" w:after="8" w:line="240" w:lineRule="auto"/>
                    <w:ind w:firstLine="0" w:left="0" w:right="0"/>
                    <w:jc w:val="left"/>
                  </w:pPr>
                </w:p>
              </w:tc>
              <w:tc>
                <w:tcPr/>
                <w:p>
                  <w:pPr>
                    <w:pStyle w:val="Compact"/>
                    <w:spacing w:before="8" w:after="8" w:line="240" w:lineRule="auto"/>
                    <w:ind w:firstLine="0" w:left="0" w:right="0"/>
                    <w:jc w:val="left"/>
                  </w:pPr>
                </w:p>
              </w:tc>
              <w:tc>
                <w:tcPr/>
                <w:p>
                  <w:pPr>
                    <w:pStyle w:val="Compact"/>
                    <w:spacing w:before="8" w:after="8" w:line="240" w:lineRule="auto"/>
                    <w:ind w:firstLine="0" w:left="0" w:right="0"/>
                    <w:jc w:val="left"/>
                  </w:pPr>
                </w:p>
              </w:tc>
              <w:tc>
                <w:tcPr/>
                <w:p>
                  <w:pPr>
                    <w:pStyle w:val="Compact"/>
                    <w:spacing w:before="8" w:after="8" w:line="240" w:lineRule="auto"/>
                    <w:ind w:firstLine="0" w:left="0" w:right="0"/>
                    <w:jc w:val="left"/>
                  </w:pPr>
                </w:p>
              </w:tc>
              <w:tc>
                <w:tcPr/>
                <w:p>
                  <w:pPr>
                    <w:pStyle w:val="Compact"/>
                    <w:spacing w:before="8" w:after="8" w:line="240" w:lineRule="auto"/>
                    <w:ind w:firstLine="0" w:left="0" w:right="0"/>
                    <w:jc w:val="left"/>
                    <w:jc w:val="center"/>
                  </w:pPr>
                  <w:r>
                    <w:rPr>
                      <w:rFonts w:ascii="Calibri" w:hAnsi="Calibri"/>
                      <w:sz w:val="15"/>
                    </w:rPr>
                    <w:t xml:space="preserve">healthcare delivery</w:t>
                  </w:r>
                </w:p>
              </w:tc>
              <w:tc>
                <w:tcPr/>
                <w:p>
                  <w:pPr>
                    <w:pStyle w:val="Compact"/>
                    <w:spacing w:before="8" w:after="8" w:line="240" w:lineRule="auto"/>
                    <w:ind w:firstLine="0" w:left="0" w:right="0"/>
                    <w:jc w:val="right"/>
                    <w:jc w:val="center"/>
                  </w:pPr>
                  <w:r>
                    <w:rPr>
                      <w:rFonts w:ascii="Calibri" w:hAnsi="Calibri"/>
                      <w:sz w:val="15"/>
                    </w:rPr>
                    <w:t xml:space="preserve">0.7%</w:t>
                  </w:r>
                </w:p>
              </w:tc>
            </w:tr>
          </w:tbl>
          <w:bookmarkEnd w:id="201"/>
          <w:p/>
        </w:tc>
      </w:tr>
    </w:tbl>
    <w:bookmarkEnd w:id="202"/>
    <w:bookmarkStart w:id="205" w:name="appendix-b5"/>
    <w:p>
      <w:pPr>
        <w:pStyle w:val="Ttulo3"/>
      </w:pPr>
      <w:r>
        <w:t xml:space="preserve">B.5 Disclosed activity counts conditioned on disclosure volume</w:t>
      </w:r>
    </w:p>
    <w:p>
      <w:pPr>
        <w:pStyle w:val="FirstParagraph"/>
      </w:pPr>
      <w:r>
        <w:t xml:space="preserve">Frames and activities come from the same corporate text, so the difference in disclosed activity across archetypes could simply reflect that some firms write more. Disclosed AI activity counts are therefore regressed on the archetypes, controlling for total AI disclosure volume (</w:t>
      </w:r>
      <m:oMath>
        <m:r>
          <m:rPr>
            <m:sty m:val="p"/>
          </m:rPr>
          <w:rPr>
            <w:sz w:val="22"/>
          </w:rPr>
          <m:t>log</m:t>
        </m:r>
        <m:d>
          <m:dPr>
            <m:begChr m:val="("/>
            <m:sepChr m:val=""/>
            <m:endChr m:val=")"/>
            <m:grow/>
          </m:dPr>
          <m:e>
            <m:r>
              <w:rPr>
                <w:sz w:val="22"/>
              </w:rPr>
              <m:t>1</m:t>
            </m:r>
            <m:r>
              <m:rPr>
                <m:sty m:val="p"/>
              </m:rPr>
              <w:rPr>
                <w:sz w:val="22"/>
              </w:rPr>
              <m:t>+</m:t>
            </m:r>
            <m:r>
              <m:rPr>
                <m:nor/>
                <m:sty m:val="p"/>
              </m:rPr>
              <w:rPr>
                <w:sz w:val="22"/>
              </w:rPr>
              <m:t>AI frames</m:t>
            </m:r>
          </m:e>
        </m:d>
      </m:oMath>
      <w:r>
        <w:t xml:space="preserve">), in a negative binomial regression:</w:t>
      </w:r>
    </w:p>
    <w:p>
      <w:pPr>
        <w:pStyle w:val="Textoindependiente"/>
      </w:pPr>
      <m:oMathPara>
        <m:oMathParaPr>
          <m:jc m:val="center"/>
        </m:oMathParaPr>
        <m:oMath>
          <m:r>
            <m:rPr>
              <m:sty m:val="p"/>
            </m:rPr>
            <w:rPr>
              <w:sz w:val="22"/>
            </w:rPr>
            <m:t>log</m:t>
          </m:r>
          <m:r>
            <m:rPr>
              <m:sty m:val="p"/>
              <m:scr m:val="double-struck"/>
            </m:rPr>
            <w:rPr>
              <w:sz w:val="22"/>
            </w:rPr>
            <m:t>E</m:t>
          </m:r>
          <m:d>
            <m:dPr>
              <m:begChr m:val="["/>
              <m:sepChr m:val=""/>
              <m:endChr m:val="]"/>
              <m:grow/>
            </m:dPr>
            <m:e>
              <m:sSub>
                <m:e>
                  <m:r>
                    <m:rPr>
                      <m:nor/>
                      <m:sty m:val="p"/>
                    </m:rPr>
                    <w:rPr>
                      <w:sz w:val="22"/>
                    </w:rPr>
                    <m:t>AI Activities</m:t>
                  </m:r>
                </m:e>
                <m:sub>
                  <m:r>
                    <w:rPr>
                      <w:sz w:val="22"/>
                    </w:rPr>
                    <m:t>i</m:t>
                  </m:r>
                </m:sub>
              </m:sSub>
            </m:e>
          </m:d>
          <m:r>
            <m:rPr>
              <m:sty m:val="p"/>
            </m:rPr>
            <w:rPr>
              <w:sz w:val="22"/>
            </w:rPr>
            <m:t>=</m:t>
          </m:r>
          <m:r>
            <w:rPr>
              <w:sz w:val="22"/>
            </w:rPr>
            <m:t>α</m:t>
          </m:r>
          <m:r>
            <m:rPr>
              <m:sty m:val="p"/>
            </m:rPr>
            <w:rPr>
              <w:sz w:val="22"/>
            </w:rPr>
            <m:t>+</m:t>
          </m:r>
          <m:sSub>
            <m:e>
              <m:r>
                <w:rPr>
                  <w:sz w:val="22"/>
                </w:rPr>
                <m:t>β</m:t>
              </m:r>
            </m:e>
            <m:sub>
              <m:r>
                <w:rPr>
                  <w:sz w:val="22"/>
                </w:rPr>
                <m:t>1</m:t>
              </m:r>
            </m:sub>
          </m:sSub>
          <m:sSub>
            <m:e>
              <m:r>
                <m:rPr>
                  <m:nor/>
                  <m:sty m:val="p"/>
                </m:rPr>
                <w:rPr>
                  <w:sz w:val="22"/>
                </w:rPr>
                <m:t>VocalSubstantives</m:t>
              </m:r>
            </m:e>
            <m:sub>
              <m:r>
                <w:rPr>
                  <w:sz w:val="22"/>
                </w:rPr>
                <m:t>i</m:t>
              </m:r>
            </m:sub>
          </m:sSub>
          <m:r>
            <m:rPr>
              <m:sty m:val="p"/>
            </m:rPr>
            <w:rPr>
              <w:sz w:val="22"/>
            </w:rPr>
            <m:t>+</m:t>
          </m:r>
          <m:sSub>
            <m:e>
              <m:r>
                <w:rPr>
                  <w:sz w:val="22"/>
                </w:rPr>
                <m:t>β</m:t>
              </m:r>
            </m:e>
            <m:sub>
              <m:r>
                <w:rPr>
                  <w:sz w:val="22"/>
                </w:rPr>
                <m:t>2</m:t>
              </m:r>
            </m:sub>
          </m:sSub>
          <m:sSub>
            <m:e>
              <m:r>
                <m:rPr>
                  <m:nor/>
                  <m:sty m:val="p"/>
                </m:rPr>
                <w:rPr>
                  <w:sz w:val="22"/>
                </w:rPr>
                <m:t>GovernanceLed</m:t>
              </m:r>
            </m:e>
            <m:sub>
              <m:r>
                <w:rPr>
                  <w:sz w:val="22"/>
                </w:rPr>
                <m:t>i</m:t>
              </m:r>
            </m:sub>
          </m:sSub>
          <m:r>
            <m:rPr>
              <m:sty m:val="p"/>
            </m:rPr>
            <w:rPr>
              <w:sz w:val="22"/>
            </w:rPr>
            <m:t>+</m:t>
          </m:r>
          <m:r>
            <w:rPr>
              <w:sz w:val="22"/>
            </w:rPr>
            <m:t>γ</m:t>
          </m:r>
          <m:r>
            <m:rPr>
              <m:sty m:val="p"/>
            </m:rPr>
            <w:rPr>
              <w:sz w:val="22"/>
            </w:rPr>
            <m:t>log</m:t>
          </m:r>
          <m:d>
            <m:dPr>
              <m:begChr m:val="("/>
              <m:sepChr m:val=""/>
              <m:endChr m:val=")"/>
              <m:grow/>
            </m:dPr>
            <m:e>
              <m:r>
                <w:rPr>
                  <w:sz w:val="22"/>
                </w:rPr>
                <m:t>1</m:t>
              </m:r>
              <m:r>
                <m:rPr>
                  <m:sty m:val="p"/>
                </m:rPr>
                <w:rPr>
                  <w:sz w:val="22"/>
                </w:rPr>
                <m:t>+</m:t>
              </m:r>
              <m:sSub>
                <m:e>
                  <m:r>
                    <m:rPr>
                      <m:nor/>
                      <m:sty m:val="p"/>
                    </m:rPr>
                    <w:rPr>
                      <w:sz w:val="22"/>
                    </w:rPr>
                    <m:t>Frames</m:t>
                  </m:r>
                </m:e>
                <m:sub>
                  <m:r>
                    <w:rPr>
                      <w:sz w:val="22"/>
                    </w:rPr>
                    <m:t>i</m:t>
                  </m:r>
                </m:sub>
              </m:sSub>
            </m:e>
          </m:d>
        </m:oMath>
      </m:oMathPara>
    </w:p>
    <w:bookmarkStart w:id="206" w:name="tbl-4-1b-volume-adjusted"/>
    <w:p>
      <w:pPr>
        <w:keepNext/>
        <w:pStyle w:val="ImageCaption"/>
        <w:jc w:val="left"/>
        <w:spacing w:before="200"/>
        <w:ind w:firstLine="0" w:left="0" w:right="0"/>
      </w:pPr>
      <w:r>
        <w:t xml:space="preserve">Table 40:</w:t>
      </w:r>
      <w:r>
        <w:t xml:space="preserve"> </w:t>
      </w:r>
      <w:r>
        <w:rPr>
          <w:rStyle w:val="CaptionText"/>
        </w:rPr>
        <w:t xml:space="preserve">Disclosed AI activity count by archetype, before and after conditioning on total AI disclosure volume.</w:t>
      </w:r>
    </w:p>
    <w:tbl>
      <w:tblPr>
        <w:tblStyle w:val="Table"/>
        <w:tblW w:type="auto" w:w="0"/>
        <w:jc w:val="center"/>
        <w:tblLook w:firstRow="1" w:lastRow="0" w:firstColumn="0" w:lastColumn="0" w:noHBand="0" w:noVBand="0" w:val="0020"/>
        <w:tblBorders>
          <w:top w:val="single" w:sz="8" w:space="0" w:color="0F172A"/>
          <w:bottom w:val="single" w:sz="8" w:space="0" w:color="0F172A"/>
          <w:left w:val="none"/>
          <w:right w:val="none"/>
          <w:insideH w:val="single" w:sz="4" w:space="0" w:color="E2E8F0"/>
          <w:insideV w:val="none"/>
        </w:tblBorders>
        <w:tblCellMar>
          <w:top w:w="22" w:type="dxa"/>
          <w:bottom w:w="22" w:type="dxa"/>
          <w:left w:w="40" w:type="dxa"/>
          <w:right w:w="40" w:type="dxa"/>
        </w:tblCellMar>
      </w:tblPr>
      <w:tblGrid>
        <w:gridCol w:w="1131"/>
        <w:gridCol w:w="1131"/>
        <w:gridCol w:w="1131"/>
        <w:gridCol w:w="1131"/>
        <w:gridCol w:w="1131"/>
        <w:gridCol w:w="1131"/>
        <w:gridCol w:w="1131"/>
      </w:tblGrid>
      <w:tr>
        <w:trPr>
          <w:tblHeader w:val="on"/>
          <w:cantSplit/>
          <w:tblHeader/>
        </w:trPr>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5"/>
              </w:rPr>
              <w:t xml:space="preserve">Archetype vs. Defensive Disclosers</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5"/>
              </w:rPr>
              <w:t xml:space="preserve">Raw ratio</w:t>
            </w:r>
          </w:p>
        </w:tc>
        <w:tc>
          <w:tcPr>
            <w:shd w:fill="F1F5F9"/>
            <w:tcBorders>
              <w:bottom w:val="single" w:sz="8" w:space="0" w:color="475569"/>
            </w:tcBorders>
          </w:tcPr>
          <w:p>
            <w:pPr>
              <w:pStyle w:val="Compact"/>
              <w:keepNext/>
              <w:spacing w:before="8" w:after="8" w:line="240" w:lineRule="auto"/>
              <w:ind w:firstLine="0" w:left="0" w:right="0"/>
              <w:jc w:val="right"/>
              <w:jc w:val="center"/>
            </w:pPr>
            <w:r>
              <w:rPr>
                <w:rFonts w:ascii="Calibri" w:hAnsi="Calibri"/>
                <w:b/>
                <w:color w:val="0F172A"/>
                <w:sz w:val="15"/>
              </w:rPr>
              <w:t xml:space="preserve">95% CI</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5"/>
              </w:rPr>
              <w:t xml:space="preserve">p</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5"/>
              </w:rPr>
              <w:t xml:space="preserve">Volume-adj. ratio</w:t>
            </w:r>
          </w:p>
        </w:tc>
        <w:tc>
          <w:tcPr>
            <w:shd w:fill="F1F5F9"/>
            <w:tcBorders>
              <w:bottom w:val="single" w:sz="8" w:space="0" w:color="475569"/>
            </w:tcBorders>
          </w:tcPr>
          <w:p>
            <w:pPr>
              <w:pStyle w:val="Compact"/>
              <w:keepNext/>
              <w:spacing w:before="8" w:after="8" w:line="240" w:lineRule="auto"/>
              <w:ind w:firstLine="0" w:left="0" w:right="0"/>
              <w:jc w:val="right"/>
              <w:jc w:val="center"/>
            </w:pPr>
            <w:r>
              <w:rPr>
                <w:rFonts w:ascii="Calibri" w:hAnsi="Calibri"/>
                <w:b/>
                <w:color w:val="0F172A"/>
                <w:sz w:val="15"/>
              </w:rPr>
              <w:t xml:space="preserve">95% CI</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5"/>
              </w:rPr>
              <w:t xml:space="preserve">p</w:t>
            </w:r>
          </w:p>
        </w:tc>
      </w:tr>
      <w:tr>
        <w:trPr>
          <w:cantSplit/>
        </w:trPr>
        <w:tc>
          <w:tcPr/>
          <w:p>
            <w:pPr>
              <w:pStyle w:val="Compact"/>
              <w:keepNext/>
              <w:spacing w:before="8" w:after="8" w:line="240" w:lineRule="auto"/>
              <w:ind w:firstLine="0" w:left="0" w:right="0"/>
              <w:jc w:val="left"/>
              <w:jc w:val="center"/>
            </w:pPr>
            <w:r>
              <w:rPr>
                <w:rFonts w:ascii="Calibri" w:hAnsi="Calibri"/>
                <w:sz w:val="15"/>
              </w:rPr>
              <w:t xml:space="preserve">Governance-Led Disclosers</w:t>
            </w:r>
          </w:p>
        </w:tc>
        <w:tc>
          <w:tcPr/>
          <w:p>
            <w:pPr>
              <w:pStyle w:val="Compact"/>
              <w:keepNext/>
              <w:spacing w:before="8" w:after="8" w:line="240" w:lineRule="auto"/>
              <w:ind w:firstLine="0" w:left="0" w:right="0"/>
              <w:jc w:val="left"/>
              <w:jc w:val="center"/>
            </w:pPr>
            <w:r>
              <w:rPr>
                <w:rFonts w:ascii="Calibri" w:hAnsi="Calibri"/>
                <w:sz w:val="15"/>
              </w:rPr>
              <w:t xml:space="preserve">1.51x</w:t>
            </w:r>
          </w:p>
        </w:tc>
        <w:tc>
          <w:tcPr/>
          <w:p>
            <w:pPr>
              <w:pStyle w:val="Compact"/>
              <w:keepNext/>
              <w:spacing w:before="8" w:after="8" w:line="240" w:lineRule="auto"/>
              <w:ind w:firstLine="0" w:left="0" w:right="0"/>
              <w:jc w:val="right"/>
              <w:jc w:val="center"/>
            </w:pPr>
            <w:r>
              <w:rPr>
                <w:rFonts w:ascii="Calibri" w:hAnsi="Calibri"/>
                <w:sz w:val="15"/>
              </w:rPr>
              <w:t xml:space="preserve">[1.17, 1.95]</w:t>
            </w:r>
          </w:p>
        </w:tc>
        <w:tc>
          <w:tcPr/>
          <w:p>
            <w:pPr>
              <w:pStyle w:val="Compact"/>
              <w:keepNext/>
              <w:spacing w:before="8" w:after="8" w:line="240" w:lineRule="auto"/>
              <w:ind w:firstLine="0" w:left="0" w:right="0"/>
              <w:jc w:val="right"/>
              <w:jc w:val="center"/>
            </w:pPr>
            <w:r>
              <w:rPr>
                <w:rFonts w:ascii="Calibri" w:hAnsi="Calibri"/>
                <w:sz w:val="15"/>
              </w:rPr>
              <w:t xml:space="preserve">0.002</w:t>
            </w:r>
          </w:p>
        </w:tc>
        <w:tc>
          <w:tcPr/>
          <w:p>
            <w:pPr>
              <w:pStyle w:val="Compact"/>
              <w:keepNext/>
              <w:spacing w:before="8" w:after="8" w:line="240" w:lineRule="auto"/>
              <w:ind w:firstLine="0" w:left="0" w:right="0"/>
              <w:jc w:val="left"/>
              <w:jc w:val="center"/>
            </w:pPr>
            <w:r>
              <w:rPr>
                <w:rFonts w:ascii="Calibri" w:hAnsi="Calibri"/>
                <w:sz w:val="15"/>
              </w:rPr>
              <w:t xml:space="preserve">1.52x</w:t>
            </w:r>
          </w:p>
        </w:tc>
        <w:tc>
          <w:tcPr/>
          <w:p>
            <w:pPr>
              <w:pStyle w:val="Compact"/>
              <w:keepNext/>
              <w:spacing w:before="8" w:after="8" w:line="240" w:lineRule="auto"/>
              <w:ind w:firstLine="0" w:left="0" w:right="0"/>
              <w:jc w:val="right"/>
              <w:jc w:val="center"/>
            </w:pPr>
            <w:r>
              <w:rPr>
                <w:rFonts w:ascii="Calibri" w:hAnsi="Calibri"/>
                <w:sz w:val="15"/>
              </w:rPr>
              <w:t xml:space="preserve">[1.28, 1.81]</w:t>
            </w:r>
          </w:p>
        </w:tc>
        <w:tc>
          <w:tcPr/>
          <w:p>
            <w:pPr>
              <w:pStyle w:val="Compact"/>
              <w:keepNext/>
              <w:spacing w:before="8" w:after="8" w:line="240" w:lineRule="auto"/>
              <w:ind w:firstLine="0" w:left="0" w:right="0"/>
              <w:jc w:val="left"/>
              <w:jc w:val="center"/>
            </w:pPr>
            <w:r>
              <w:rPr>
                <w:rFonts w:ascii="Calibri" w:hAnsi="Calibri"/>
                <w:sz w:val="15"/>
              </w:rPr>
              <w:t xml:space="preserve">&lt;0.001</w:t>
            </w:r>
          </w:p>
        </w:tc>
      </w:tr>
      <w:tr>
        <w:trPr>
          <w:cantSplit/>
        </w:trPr>
        <w:tc>
          <w:tcPr/>
          <w:p>
            <w:pPr>
              <w:pStyle w:val="Compact"/>
              <w:keepNext/>
              <w:spacing w:before="8" w:after="8" w:line="240" w:lineRule="auto"/>
              <w:ind w:firstLine="0" w:left="0" w:right="0"/>
              <w:jc w:val="left"/>
              <w:jc w:val="center"/>
            </w:pPr>
            <w:r>
              <w:rPr>
                <w:rFonts w:ascii="Calibri" w:hAnsi="Calibri"/>
                <w:sz w:val="15"/>
              </w:rPr>
              <w:t xml:space="preserve">Vocal Substantives</w:t>
            </w:r>
          </w:p>
        </w:tc>
        <w:tc>
          <w:tcPr/>
          <w:p>
            <w:pPr>
              <w:pStyle w:val="Compact"/>
              <w:keepNext/>
              <w:spacing w:before="8" w:after="8" w:line="240" w:lineRule="auto"/>
              <w:ind w:firstLine="0" w:left="0" w:right="0"/>
              <w:jc w:val="left"/>
              <w:jc w:val="center"/>
            </w:pPr>
            <w:r>
              <w:rPr>
                <w:rFonts w:ascii="Calibri" w:hAnsi="Calibri"/>
                <w:sz w:val="15"/>
              </w:rPr>
              <w:t xml:space="preserve">7.89x</w:t>
            </w:r>
          </w:p>
        </w:tc>
        <w:tc>
          <w:tcPr/>
          <w:p>
            <w:pPr>
              <w:pStyle w:val="Compact"/>
              <w:keepNext/>
              <w:spacing w:before="8" w:after="8" w:line="240" w:lineRule="auto"/>
              <w:ind w:firstLine="0" w:left="0" w:right="0"/>
              <w:jc w:val="right"/>
              <w:jc w:val="center"/>
            </w:pPr>
            <w:r>
              <w:rPr>
                <w:rFonts w:ascii="Calibri" w:hAnsi="Calibri"/>
                <w:sz w:val="15"/>
              </w:rPr>
              <w:t xml:space="preserve">[5.79, 10.75]</w:t>
            </w:r>
          </w:p>
        </w:tc>
        <w:tc>
          <w:tcPr/>
          <w:p>
            <w:pPr>
              <w:pStyle w:val="Compact"/>
              <w:keepNext/>
              <w:spacing w:before="8" w:after="8" w:line="240" w:lineRule="auto"/>
              <w:ind w:firstLine="0" w:left="0" w:right="0"/>
              <w:jc w:val="left"/>
              <w:jc w:val="center"/>
            </w:pPr>
            <w:r>
              <w:rPr>
                <w:rFonts w:ascii="Calibri" w:hAnsi="Calibri"/>
                <w:sz w:val="15"/>
              </w:rPr>
              <w:t xml:space="preserve">&lt;0.001</w:t>
            </w:r>
          </w:p>
        </w:tc>
        <w:tc>
          <w:tcPr/>
          <w:p>
            <w:pPr>
              <w:pStyle w:val="Compact"/>
              <w:keepNext/>
              <w:spacing w:before="8" w:after="8" w:line="240" w:lineRule="auto"/>
              <w:ind w:firstLine="0" w:left="0" w:right="0"/>
              <w:jc w:val="left"/>
              <w:jc w:val="center"/>
            </w:pPr>
            <w:r>
              <w:rPr>
                <w:rFonts w:ascii="Calibri" w:hAnsi="Calibri"/>
                <w:sz w:val="15"/>
              </w:rPr>
              <w:t xml:space="preserve">2.02x</w:t>
            </w:r>
          </w:p>
        </w:tc>
        <w:tc>
          <w:tcPr/>
          <w:p>
            <w:pPr>
              <w:pStyle w:val="Compact"/>
              <w:keepNext/>
              <w:spacing w:before="8" w:after="8" w:line="240" w:lineRule="auto"/>
              <w:ind w:firstLine="0" w:left="0" w:right="0"/>
              <w:jc w:val="right"/>
              <w:jc w:val="center"/>
            </w:pPr>
            <w:r>
              <w:rPr>
                <w:rFonts w:ascii="Calibri" w:hAnsi="Calibri"/>
                <w:sz w:val="15"/>
              </w:rPr>
              <w:t xml:space="preserve">[1.67, 2.44]</w:t>
            </w:r>
          </w:p>
        </w:tc>
        <w:tc>
          <w:tcPr/>
          <w:p>
            <w:pPr>
              <w:pStyle w:val="Compact"/>
              <w:keepNext/>
              <w:spacing w:before="8" w:after="8" w:line="240" w:lineRule="auto"/>
              <w:ind w:firstLine="0" w:left="0" w:right="0"/>
              <w:jc w:val="left"/>
              <w:jc w:val="center"/>
            </w:pPr>
            <w:r>
              <w:rPr>
                <w:rFonts w:ascii="Calibri" w:hAnsi="Calibri"/>
                <w:sz w:val="15"/>
              </w:rPr>
              <w:t xml:space="preserve">&lt;0.001</w:t>
            </w:r>
          </w:p>
        </w:tc>
      </w:tr>
      <w:tr>
        <w:trPr>
          <w:cantSplit/>
        </w:trPr>
        <w:tc>
          <w:tcPr/>
          <w:p>
            <w:pPr>
              <w:pStyle w:val="Compact"/>
              <w:spacing w:before="8" w:after="8" w:line="240" w:lineRule="auto"/>
              <w:ind w:firstLine="0" w:left="0" w:right="0"/>
              <w:jc w:val="left"/>
              <w:jc w:val="center"/>
            </w:pPr>
            <w:r>
              <w:rPr>
                <w:rFonts w:ascii="Calibri" w:hAnsi="Calibri"/>
                <w:sz w:val="15"/>
              </w:rPr>
              <w:t xml:space="preserve">log(1 + AI frames)</w:t>
            </w:r>
          </w:p>
        </w:tc>
        <w:tc>
          <w:tcPr/>
          <w:p>
            <w:pPr>
              <w:pStyle w:val="Compact"/>
              <w:spacing w:before="8" w:after="8" w:line="240" w:lineRule="auto"/>
              <w:ind w:firstLine="0" w:left="0" w:right="0"/>
              <w:jc w:val="left"/>
              <w:jc w:val="center"/>
            </w:pPr>
            <w:r>
              <w:rPr>
                <w:rFonts w:ascii="Calibri" w:hAnsi="Calibri"/>
                <w:sz w:val="15"/>
              </w:rPr>
              <w:t xml:space="preserve">-</w:t>
            </w:r>
          </w:p>
        </w:tc>
        <w:tc>
          <w:tcPr/>
          <w:p>
            <w:pPr>
              <w:pStyle w:val="Compact"/>
              <w:spacing w:before="8" w:after="8" w:line="240" w:lineRule="auto"/>
              <w:ind w:firstLine="0" w:left="0" w:right="0"/>
              <w:jc w:val="left"/>
              <w:jc w:val="center"/>
            </w:pPr>
            <w:r>
              <w:rPr>
                <w:rFonts w:ascii="Calibri" w:hAnsi="Calibri"/>
                <w:sz w:val="15"/>
              </w:rPr>
              <w:t xml:space="preserve">-</w:t>
            </w:r>
          </w:p>
        </w:tc>
        <w:tc>
          <w:tcPr/>
          <w:p>
            <w:pPr>
              <w:pStyle w:val="Compact"/>
              <w:spacing w:before="8" w:after="8" w:line="240" w:lineRule="auto"/>
              <w:ind w:firstLine="0" w:left="0" w:right="0"/>
              <w:jc w:val="left"/>
              <w:jc w:val="center"/>
            </w:pPr>
            <w:r>
              <w:rPr>
                <w:rFonts w:ascii="Calibri" w:hAnsi="Calibri"/>
                <w:sz w:val="15"/>
              </w:rPr>
              <w:t xml:space="preserve">-</w:t>
            </w:r>
          </w:p>
        </w:tc>
        <w:tc>
          <w:tcPr/>
          <w:p>
            <w:pPr>
              <w:pStyle w:val="Compact"/>
              <w:spacing w:before="8" w:after="8" w:line="240" w:lineRule="auto"/>
              <w:ind w:firstLine="0" w:left="0" w:right="0"/>
              <w:jc w:val="left"/>
              <w:jc w:val="center"/>
            </w:pPr>
            <w:r>
              <w:rPr>
                <w:rFonts w:ascii="Calibri" w:hAnsi="Calibri"/>
                <w:sz w:val="15"/>
              </w:rPr>
              <w:t xml:space="preserve">+1.03 (coef.)</w:t>
            </w:r>
          </w:p>
        </w:tc>
        <w:tc>
          <w:tcPr/>
          <w:p>
            <w:pPr>
              <w:pStyle w:val="Compact"/>
              <w:spacing w:before="8" w:after="8" w:line="240" w:lineRule="auto"/>
              <w:ind w:firstLine="0" w:left="0" w:right="0"/>
              <w:jc w:val="left"/>
              <w:jc w:val="center"/>
            </w:pPr>
            <w:r>
              <w:rPr>
                <w:rFonts w:ascii="Calibri" w:hAnsi="Calibri"/>
                <w:sz w:val="15"/>
              </w:rPr>
              <w:t xml:space="preserve">-</w:t>
            </w:r>
          </w:p>
        </w:tc>
        <w:tc>
          <w:tcPr/>
          <w:p>
            <w:pPr>
              <w:pStyle w:val="Compact"/>
              <w:spacing w:before="8" w:after="8" w:line="240" w:lineRule="auto"/>
              <w:ind w:firstLine="0" w:left="0" w:right="0"/>
              <w:jc w:val="left"/>
              <w:jc w:val="center"/>
            </w:pPr>
            <w:r>
              <w:rPr>
                <w:rFonts w:ascii="Calibri" w:hAnsi="Calibri"/>
                <w:sz w:val="15"/>
              </w:rPr>
              <w:t xml:space="preserve">&lt;0.001</w:t>
            </w:r>
          </w:p>
        </w:tc>
      </w:tr>
    </w:tbl>
    <w:bookmarkEnd w:id="203"/>
    <w:p>
      <w:pPr>
        <w:pStyle w:val="FigureNote"/>
        <w:ind w:firstLine="0" w:left="0" w:right="0"/>
        <w:spacing w:before="0" w:after="120"/>
      </w:pPr>
      <w:r>
        <w:rPr>
          <w:i/>
          <w:iCs/>
        </w:rPr>
        <w:t xml:space="preserve">Notes:</w:t>
      </w:r>
      <w:r>
        <w:t xml:space="preserve"> </w:t>
      </w:r>
      <w:r>
        <w:t xml:space="preserve">Volume control is log frame count. Reference category: Defensive Disclosers.</w:t>
      </w:r>
    </w:p>
    <w:p>
      <w:pPr>
        <w:pStyle w:val="Textoindependiente"/>
      </w:pPr>
      <w:r>
        <w:t xml:space="preserve">A statistically significant difference survives the volume control (</w:t>
      </w:r>
      <w:hyperlink w:anchor="tbl-4-1b-volume-adjusted">
        <w:r>
          <w:rPr>
            <w:rStyle w:val="Hipervnculo"/>
          </w:rPr>
          <w:t xml:space="preserve">Table 40</w:t>
        </w:r>
      </w:hyperlink>
      <w:r>
        <w:t xml:space="preserve">): at identical narrative volume, Vocal Substantives and Governance-Led Disclosers still report more operational AI activities than Defensive Disclosers. Total disclosure volume does explain a large share of the raw variation, since the log frame count alone gives a pseudo-</w:t>
      </w:r>
      <m:oMath>
        <m:sSup>
          <m:e>
            <m:r>
              <w:rPr>
                <w:sz w:val="22"/>
              </w:rPr>
              <m:t>R</m:t>
            </m:r>
          </m:e>
          <m:sup>
            <m:r>
              <w:rPr>
                <w:sz w:val="22"/>
              </w:rPr>
              <m:t>2</m:t>
            </m:r>
          </m:sup>
        </m:sSup>
      </m:oMath>
      <w:r>
        <w:t xml:space="preserve"> </w:t>
      </w:r>
      <w:r>
        <w:t xml:space="preserve">of 0.71, but posture is still not the same thing as verbosity: it corresponds to different rates of disclosed technological deployment.</w:t>
      </w:r>
    </w:p>
    <w:bookmarkEnd w:id="204"/>
    <w:bookmarkStart w:id="207" w:name="appendix-b6"/>
    <w:p>
      <w:pPr>
        <w:pStyle w:val="Ttulo3"/>
      </w:pPr>
      <w:r>
        <w:t xml:space="preserve">B.6 External AI technology ecosystem</w:t>
      </w:r>
    </w:p>
    <w:p>
      <w:pPr>
        <w:pStyle w:val="FirstParagraph"/>
      </w:pPr>
      <w:r>
        <w:t xml:space="preserve">The lexicon behind this measure lives in an AI vendor ecosystem configuration file in the repository: one entry per provider family, mapped to the ecosystem it belongs to, its country and its role in the AI stack. Matching excludes country and demonym words, so a paragraph discussing the Chinese market without naming a Chinese provider contributes nothing, and excludes a filer’s own products, since the measure is the reach of external suppliers rather than of a firm’s own brand. An ambiguous name, such as an ordinary word, a personal name or a multi-vendor product, is admitted only with a corroborating term in the same paragraph, so</w:t>
      </w:r>
      <w:r>
        <w:t xml:space="preserve"> </w:t>
      </w:r>
      <w:r>
        <w:t xml:space="preserve">“copilot”</w:t>
      </w:r>
      <w:r>
        <w:t xml:space="preserve"> </w:t>
      </w:r>
      <w:r>
        <w:t xml:space="preserve">needs Microsoft or GitHub,</w:t>
      </w:r>
      <w:r>
        <w:t xml:space="preserve"> </w:t>
      </w:r>
      <w:r>
        <w:t xml:space="preserve">“arm”</w:t>
      </w:r>
      <w:r>
        <w:t xml:space="preserve"> </w:t>
      </w:r>
      <w:r>
        <w:t xml:space="preserve">needs an Arm-qualified term, and</w:t>
      </w:r>
      <w:r>
        <w:t xml:space="preserve"> </w:t>
      </w:r>
      <w:r>
        <w:t xml:space="preserve">“claude”</w:t>
      </w:r>
      <w:r>
        <w:t xml:space="preserve"> </w:t>
      </w:r>
      <w:r>
        <w:t xml:space="preserve">needs Anthropic or a model name.</w:t>
      </w:r>
    </w:p>
    <w:p>
      <w:pPr>
        <w:pStyle w:val="Textoindependiente"/>
      </w:pPr>
      <w:r>
        <w:t xml:space="preserve">Each family is counted once per document, so repetition cannot inflate a supplier’s reach, and ecosystems may overlap: a document naming both NVIDIA and DeepSeek counts for the United States and for China. Every provider family named by at least one S&amp;P 500 firm inside its AI disclosure appears in</w:t>
      </w:r>
      <w:r>
        <w:t xml:space="preserve"> </w:t>
      </w:r>
      <w:hyperlink w:anchor="tbl-c3-vendor-ecosystem">
        <w:r>
          <w:rPr>
            <w:rStyle w:val="Hipervnculo"/>
          </w:rPr>
          <w:t xml:space="preserve">Table 41</w:t>
        </w:r>
      </w:hyperlink>
      <w:r>
        <w:t xml:space="preserve">, with the literal names it was matched on. The fifteen most-cited families carry the concentration shown in</w:t>
      </w:r>
      <w:r>
        <w:t xml:space="preserve"> </w:t>
      </w:r>
      <w:hyperlink w:anchor="fig-vendor-providers">
        <w:r>
          <w:rPr>
            <w:rStyle w:val="Hipervnculo"/>
          </w:rPr>
          <w:t xml:space="preserve">Figure 17</w:t>
        </w:r>
      </w:hyperlink>
      <w:r>
        <w:t xml:space="preserve">; the remainder shows how thin the tail is, and how little of it sits outside the United States.</w:t>
      </w:r>
    </w:p>
    <w:bookmarkStart w:id="208" w:name="tbl-c3-vendor-ecosystem"/>
    <w:p>
      <w:pPr>
        <w:keepNext/>
        <w:pStyle w:val="ImageCaption"/>
        <w:jc w:val="left"/>
        <w:spacing w:before="200"/>
        <w:ind w:firstLine="0" w:left="0" w:right="0"/>
      </w:pPr>
      <w:r>
        <w:t xml:space="preserve">Table 41:</w:t>
      </w:r>
      <w:r>
        <w:t xml:space="preserve"> </w:t>
      </w:r>
      <w:r>
        <w:rPr>
          <w:rStyle w:val="CaptionText"/>
        </w:rPr>
        <w:t xml:space="preserve">Full external AI technology ecosystem cited by S&amp;P 500 corporations.</w:t>
      </w:r>
    </w:p>
    <w:tbl>
      <w:tblPr>
        <w:tblStyle w:val="Table"/>
        <w:tblW w:type="auto" w:w="0"/>
        <w:jc w:val="center"/>
        <w:tblLook w:firstRow="1" w:lastRow="0" w:firstColumn="0" w:lastColumn="0" w:noHBand="0" w:noVBand="0" w:val="0020"/>
        <w:tblBorders>
          <w:top w:val="single" w:sz="8" w:space="0" w:color="0F172A"/>
          <w:bottom w:val="single" w:sz="8" w:space="0" w:color="0F172A"/>
          <w:left w:val="none"/>
          <w:right w:val="none"/>
          <w:insideH w:val="single" w:sz="4" w:space="0" w:color="E2E8F0"/>
          <w:insideV w:val="none"/>
        </w:tblBorders>
        <w:tblCellMar>
          <w:top w:w="22" w:type="dxa"/>
          <w:bottom w:w="22" w:type="dxa"/>
          <w:left w:w="40" w:type="dxa"/>
          <w:right w:w="40" w:type="dxa"/>
        </w:tblCellMar>
      </w:tblPr>
      <w:tblGrid>
        <w:gridCol w:w="1584"/>
        <w:gridCol w:w="1584"/>
        <w:gridCol w:w="1584"/>
        <w:gridCol w:w="1584"/>
        <w:gridCol w:w="1584"/>
      </w:tblGrid>
      <w:tr>
        <w:trPr>
          <w:tblHeader w:val="on"/>
          <w:cantSplit/>
          <w:tblHeader/>
        </w:trPr>
        <w:tc>
          <w:tcPr>
            <w:shd w:fill="F1F5F9"/>
            <w:tcBorders>
              <w:bottom w:val="single" w:sz="8" w:space="0" w:color="475569"/>
            </w:tcBorders>
          </w:tcPr>
          <w:p>
            <w:pPr>
              <w:pStyle w:val="Compact"/>
              <w:spacing w:before="8" w:after="8" w:line="240" w:lineRule="auto"/>
              <w:ind w:firstLine="0" w:left="0" w:right="0"/>
              <w:jc w:val="left"/>
              <w:jc w:val="center"/>
            </w:pPr>
            <w:r>
              <w:rPr>
                <w:rFonts w:ascii="Calibri" w:hAnsi="Calibri"/>
                <w:b/>
                <w:color w:val="0F172A"/>
                <w:sz w:val="15"/>
              </w:rPr>
              <w:t xml:space="preserve">Provider family</w:t>
            </w:r>
          </w:p>
        </w:tc>
        <w:tc>
          <w:tcPr>
            <w:shd w:fill="F1F5F9"/>
            <w:tcBorders>
              <w:bottom w:val="single" w:sz="8" w:space="0" w:color="475569"/>
            </w:tcBorders>
          </w:tcPr>
          <w:p>
            <w:pPr>
              <w:pStyle w:val="Compact"/>
              <w:spacing w:before="8" w:after="8" w:line="240" w:lineRule="auto"/>
              <w:ind w:firstLine="0" w:left="0" w:right="0"/>
              <w:jc w:val="left"/>
              <w:jc w:val="center"/>
            </w:pPr>
            <w:r>
              <w:rPr>
                <w:rFonts w:ascii="Calibri" w:hAnsi="Calibri"/>
                <w:b/>
                <w:color w:val="0F172A"/>
                <w:sz w:val="15"/>
              </w:rPr>
              <w:t xml:space="preserve">Country</w:t>
            </w:r>
          </w:p>
        </w:tc>
        <w:tc>
          <w:tcPr>
            <w:shd w:fill="F1F5F9"/>
            <w:tcBorders>
              <w:bottom w:val="single" w:sz="8" w:space="0" w:color="475569"/>
            </w:tcBorders>
          </w:tcPr>
          <w:p>
            <w:pPr>
              <w:pStyle w:val="Compact"/>
              <w:spacing w:before="8" w:after="8" w:line="240" w:lineRule="auto"/>
              <w:ind w:firstLine="0" w:left="0" w:right="0"/>
              <w:jc w:val="left"/>
              <w:jc w:val="center"/>
            </w:pPr>
            <w:r>
              <w:rPr>
                <w:rFonts w:ascii="Calibri" w:hAnsi="Calibri"/>
                <w:b/>
                <w:color w:val="0F172A"/>
                <w:sz w:val="15"/>
              </w:rPr>
              <w:t xml:space="preserve">Role</w:t>
            </w:r>
          </w:p>
        </w:tc>
        <w:tc>
          <w:tcPr>
            <w:shd w:fill="F1F5F9"/>
            <w:tcBorders>
              <w:bottom w:val="single" w:sz="8" w:space="0" w:color="475569"/>
            </w:tcBorders>
          </w:tcPr>
          <w:p>
            <w:pPr>
              <w:pStyle w:val="Compact"/>
              <w:spacing w:before="8" w:after="8" w:line="240" w:lineRule="auto"/>
              <w:ind w:firstLine="0" w:left="0" w:right="0"/>
              <w:jc w:val="right"/>
              <w:jc w:val="center"/>
            </w:pPr>
            <w:r>
              <w:rPr>
                <w:rFonts w:ascii="Calibri" w:hAnsi="Calibri"/>
                <w:b/>
                <w:color w:val="0F172A"/>
                <w:sz w:val="15"/>
              </w:rPr>
              <w:t xml:space="preserve">% of firms citing</w:t>
            </w:r>
          </w:p>
        </w:tc>
        <w:tc>
          <w:tcPr>
            <w:shd w:fill="F1F5F9"/>
            <w:tcBorders>
              <w:bottom w:val="single" w:sz="8" w:space="0" w:color="475569"/>
            </w:tcBorders>
          </w:tcPr>
          <w:p>
            <w:pPr>
              <w:pStyle w:val="Compact"/>
              <w:spacing w:before="8" w:after="8" w:line="240" w:lineRule="auto"/>
              <w:ind w:firstLine="0" w:left="0" w:right="0"/>
              <w:jc w:val="left"/>
              <w:jc w:val="center"/>
            </w:pPr>
            <w:r>
              <w:rPr>
                <w:rFonts w:ascii="Calibri" w:hAnsi="Calibri"/>
                <w:b/>
                <w:color w:val="0F172A"/>
                <w:sz w:val="15"/>
              </w:rPr>
              <w:t xml:space="preserve">Literal names matched</w:t>
            </w:r>
          </w:p>
        </w:tc>
      </w:tr>
      <w:tr>
        <w:trPr>
          <w:cantSplit/>
        </w:trPr>
        <w:tc>
          <w:tcPr/>
          <w:p>
            <w:pPr>
              <w:pStyle w:val="Compact"/>
              <w:spacing w:before="8" w:after="8" w:line="240" w:lineRule="auto"/>
              <w:ind w:firstLine="0" w:left="0" w:right="0"/>
              <w:jc w:val="left"/>
              <w:jc w:val="center"/>
            </w:pPr>
            <w:r>
              <w:rPr>
                <w:rFonts w:ascii="Calibri" w:hAnsi="Calibri"/>
                <w:sz w:val="15"/>
              </w:rPr>
              <w:t xml:space="preserve">Google</w:t>
            </w:r>
          </w:p>
        </w:tc>
        <w:tc>
          <w:tcPr/>
          <w:p>
            <w:pPr>
              <w:pStyle w:val="Compact"/>
              <w:spacing w:before="8" w:after="8" w:line="240" w:lineRule="auto"/>
              <w:ind w:firstLine="0" w:left="0" w:right="0"/>
              <w:jc w:val="left"/>
              <w:jc w:val="center"/>
            </w:pPr>
            <w:r>
              <w:rPr>
                <w:rFonts w:ascii="Calibri" w:hAnsi="Calibri"/>
                <w:sz w:val="15"/>
              </w:rPr>
              <w:t xml:space="preserve">United States</w:t>
            </w:r>
          </w:p>
        </w:tc>
        <w:tc>
          <w:tcPr/>
          <w:p>
            <w:pPr>
              <w:pStyle w:val="Compact"/>
              <w:spacing w:before="8" w:after="8" w:line="240" w:lineRule="auto"/>
              <w:ind w:firstLine="0" w:left="0" w:right="0"/>
              <w:jc w:val="left"/>
              <w:jc w:val="center"/>
            </w:pPr>
            <w:r>
              <w:rPr>
                <w:rFonts w:ascii="Calibri" w:hAnsi="Calibri"/>
                <w:sz w:val="15"/>
              </w:rPr>
              <w:t xml:space="preserve">Cloud infrastructure</w:t>
            </w:r>
          </w:p>
        </w:tc>
        <w:tc>
          <w:tcPr/>
          <w:p>
            <w:pPr>
              <w:pStyle w:val="Compact"/>
              <w:spacing w:before="8" w:after="8" w:line="240" w:lineRule="auto"/>
              <w:ind w:firstLine="0" w:left="0" w:right="0"/>
              <w:jc w:val="right"/>
              <w:jc w:val="center"/>
            </w:pPr>
            <w:r>
              <w:rPr>
                <w:rFonts w:ascii="Calibri" w:hAnsi="Calibri"/>
                <w:sz w:val="15"/>
              </w:rPr>
              <w:t xml:space="preserve">32.5%</w:t>
            </w:r>
          </w:p>
        </w:tc>
        <w:tc>
          <w:tcPr/>
          <w:p>
            <w:pPr>
              <w:pStyle w:val="Compact"/>
              <w:spacing w:before="8" w:after="8" w:line="240" w:lineRule="auto"/>
              <w:ind w:firstLine="0" w:left="0" w:right="0"/>
              <w:jc w:val="left"/>
              <w:jc w:val="center"/>
            </w:pPr>
            <w:r>
              <w:rPr>
                <w:rFonts w:ascii="Calibri" w:hAnsi="Calibri"/>
                <w:sz w:val="15"/>
              </w:rPr>
              <w:t xml:space="preserve">google, google cloud, alphabet, gemini, vertex, google gemini</w:t>
            </w:r>
          </w:p>
        </w:tc>
      </w:tr>
      <w:tr>
        <w:trPr>
          <w:cantSplit/>
        </w:trPr>
        <w:tc>
          <w:tcPr/>
          <w:p>
            <w:pPr>
              <w:pStyle w:val="Compact"/>
              <w:spacing w:before="8" w:after="8" w:line="240" w:lineRule="auto"/>
              <w:ind w:firstLine="0" w:left="0" w:right="0"/>
              <w:jc w:val="left"/>
              <w:jc w:val="center"/>
            </w:pPr>
            <w:r>
              <w:rPr>
                <w:rFonts w:ascii="Calibri" w:hAnsi="Calibri"/>
                <w:sz w:val="15"/>
              </w:rPr>
              <w:t xml:space="preserve">Microsoft</w:t>
            </w:r>
          </w:p>
        </w:tc>
        <w:tc>
          <w:tcPr/>
          <w:p>
            <w:pPr>
              <w:pStyle w:val="Compact"/>
              <w:spacing w:before="8" w:after="8" w:line="240" w:lineRule="auto"/>
              <w:ind w:firstLine="0" w:left="0" w:right="0"/>
              <w:jc w:val="left"/>
              <w:jc w:val="center"/>
            </w:pPr>
            <w:r>
              <w:rPr>
                <w:rFonts w:ascii="Calibri" w:hAnsi="Calibri"/>
                <w:sz w:val="15"/>
              </w:rPr>
              <w:t xml:space="preserve">United States</w:t>
            </w:r>
          </w:p>
        </w:tc>
        <w:tc>
          <w:tcPr/>
          <w:p>
            <w:pPr>
              <w:pStyle w:val="Compact"/>
              <w:spacing w:before="8" w:after="8" w:line="240" w:lineRule="auto"/>
              <w:ind w:firstLine="0" w:left="0" w:right="0"/>
              <w:jc w:val="left"/>
              <w:jc w:val="center"/>
            </w:pPr>
            <w:r>
              <w:rPr>
                <w:rFonts w:ascii="Calibri" w:hAnsi="Calibri"/>
                <w:sz w:val="15"/>
              </w:rPr>
              <w:t xml:space="preserve">Cloud infrastructure</w:t>
            </w:r>
          </w:p>
        </w:tc>
        <w:tc>
          <w:tcPr/>
          <w:p>
            <w:pPr>
              <w:pStyle w:val="Compact"/>
              <w:spacing w:before="8" w:after="8" w:line="240" w:lineRule="auto"/>
              <w:ind w:firstLine="0" w:left="0" w:right="0"/>
              <w:jc w:val="right"/>
              <w:jc w:val="center"/>
            </w:pPr>
            <w:r>
              <w:rPr>
                <w:rFonts w:ascii="Calibri" w:hAnsi="Calibri"/>
                <w:sz w:val="15"/>
              </w:rPr>
              <w:t xml:space="preserve">28.2%</w:t>
            </w:r>
          </w:p>
        </w:tc>
        <w:tc>
          <w:tcPr/>
          <w:p>
            <w:pPr>
              <w:pStyle w:val="Compact"/>
              <w:spacing w:before="8" w:after="8" w:line="240" w:lineRule="auto"/>
              <w:ind w:firstLine="0" w:left="0" w:right="0"/>
              <w:jc w:val="left"/>
              <w:jc w:val="center"/>
            </w:pPr>
            <w:r>
              <w:rPr>
                <w:rFonts w:ascii="Calibri" w:hAnsi="Calibri"/>
                <w:sz w:val="15"/>
              </w:rPr>
              <w:t xml:space="preserve">microsoft, azure, copilot, github, microsoft copilot, nuance</w:t>
            </w:r>
          </w:p>
        </w:tc>
      </w:tr>
      <w:tr>
        <w:trPr>
          <w:cantSplit/>
        </w:trPr>
        <w:tc>
          <w:tcPr/>
          <w:p>
            <w:pPr>
              <w:pStyle w:val="Compact"/>
              <w:spacing w:before="8" w:after="8" w:line="240" w:lineRule="auto"/>
              <w:ind w:firstLine="0" w:left="0" w:right="0"/>
              <w:jc w:val="left"/>
              <w:jc w:val="center"/>
            </w:pPr>
            <w:r>
              <w:rPr>
                <w:rFonts w:ascii="Calibri" w:hAnsi="Calibri"/>
                <w:sz w:val="15"/>
              </w:rPr>
              <w:t xml:space="preserve">Amazon</w:t>
            </w:r>
          </w:p>
        </w:tc>
        <w:tc>
          <w:tcPr/>
          <w:p>
            <w:pPr>
              <w:pStyle w:val="Compact"/>
              <w:spacing w:before="8" w:after="8" w:line="240" w:lineRule="auto"/>
              <w:ind w:firstLine="0" w:left="0" w:right="0"/>
              <w:jc w:val="left"/>
              <w:jc w:val="center"/>
            </w:pPr>
            <w:r>
              <w:rPr>
                <w:rFonts w:ascii="Calibri" w:hAnsi="Calibri"/>
                <w:sz w:val="15"/>
              </w:rPr>
              <w:t xml:space="preserve">United States</w:t>
            </w:r>
          </w:p>
        </w:tc>
        <w:tc>
          <w:tcPr/>
          <w:p>
            <w:pPr>
              <w:pStyle w:val="Compact"/>
              <w:spacing w:before="8" w:after="8" w:line="240" w:lineRule="auto"/>
              <w:ind w:firstLine="0" w:left="0" w:right="0"/>
              <w:jc w:val="left"/>
              <w:jc w:val="center"/>
            </w:pPr>
            <w:r>
              <w:rPr>
                <w:rFonts w:ascii="Calibri" w:hAnsi="Calibri"/>
                <w:sz w:val="15"/>
              </w:rPr>
              <w:t xml:space="preserve">Cloud infrastructure</w:t>
            </w:r>
          </w:p>
        </w:tc>
        <w:tc>
          <w:tcPr/>
          <w:p>
            <w:pPr>
              <w:pStyle w:val="Compact"/>
              <w:spacing w:before="8" w:after="8" w:line="240" w:lineRule="auto"/>
              <w:ind w:firstLine="0" w:left="0" w:right="0"/>
              <w:jc w:val="right"/>
              <w:jc w:val="center"/>
            </w:pPr>
            <w:r>
              <w:rPr>
                <w:rFonts w:ascii="Calibri" w:hAnsi="Calibri"/>
                <w:sz w:val="15"/>
              </w:rPr>
              <w:t xml:space="preserve">26.5%</w:t>
            </w:r>
          </w:p>
        </w:tc>
        <w:tc>
          <w:tcPr/>
          <w:p>
            <w:pPr>
              <w:pStyle w:val="Compact"/>
              <w:spacing w:before="8" w:after="8" w:line="240" w:lineRule="auto"/>
              <w:ind w:firstLine="0" w:left="0" w:right="0"/>
              <w:jc w:val="left"/>
              <w:jc w:val="center"/>
            </w:pPr>
            <w:r>
              <w:rPr>
                <w:rFonts w:ascii="Calibri" w:hAnsi="Calibri"/>
                <w:sz w:val="15"/>
              </w:rPr>
              <w:t xml:space="preserve">amazon, aws, amazon web services, bedrock, alexa, amazon bedrock</w:t>
            </w:r>
          </w:p>
        </w:tc>
      </w:tr>
      <w:tr>
        <w:trPr>
          <w:cantSplit/>
        </w:trPr>
        <w:tc>
          <w:tcPr/>
          <w:p>
            <w:pPr>
              <w:pStyle w:val="Compact"/>
              <w:spacing w:before="8" w:after="8" w:line="240" w:lineRule="auto"/>
              <w:ind w:firstLine="0" w:left="0" w:right="0"/>
              <w:jc w:val="left"/>
              <w:jc w:val="center"/>
            </w:pPr>
            <w:r>
              <w:rPr>
                <w:rFonts w:ascii="Calibri" w:hAnsi="Calibri"/>
                <w:sz w:val="15"/>
              </w:rPr>
              <w:t xml:space="preserve">OpenAI</w:t>
            </w:r>
          </w:p>
        </w:tc>
        <w:tc>
          <w:tcPr/>
          <w:p>
            <w:pPr>
              <w:pStyle w:val="Compact"/>
              <w:spacing w:before="8" w:after="8" w:line="240" w:lineRule="auto"/>
              <w:ind w:firstLine="0" w:left="0" w:right="0"/>
              <w:jc w:val="left"/>
              <w:jc w:val="center"/>
            </w:pPr>
            <w:r>
              <w:rPr>
                <w:rFonts w:ascii="Calibri" w:hAnsi="Calibri"/>
                <w:sz w:val="15"/>
              </w:rPr>
              <w:t xml:space="preserve">United States</w:t>
            </w:r>
          </w:p>
        </w:tc>
        <w:tc>
          <w:tcPr/>
          <w:p>
            <w:pPr>
              <w:pStyle w:val="Compact"/>
              <w:spacing w:before="8" w:after="8" w:line="240" w:lineRule="auto"/>
              <w:ind w:firstLine="0" w:left="0" w:right="0"/>
              <w:jc w:val="left"/>
              <w:jc w:val="center"/>
            </w:pPr>
            <w:r>
              <w:rPr>
                <w:rFonts w:ascii="Calibri" w:hAnsi="Calibri"/>
                <w:sz w:val="15"/>
              </w:rPr>
              <w:t xml:space="preserve">Model developer</w:t>
            </w:r>
          </w:p>
        </w:tc>
        <w:tc>
          <w:tcPr/>
          <w:p>
            <w:pPr>
              <w:pStyle w:val="Compact"/>
              <w:spacing w:before="8" w:after="8" w:line="240" w:lineRule="auto"/>
              <w:ind w:firstLine="0" w:left="0" w:right="0"/>
              <w:jc w:val="right"/>
              <w:jc w:val="center"/>
            </w:pPr>
            <w:r>
              <w:rPr>
                <w:rFonts w:ascii="Calibri" w:hAnsi="Calibri"/>
                <w:sz w:val="15"/>
              </w:rPr>
              <w:t xml:space="preserve">25.3%</w:t>
            </w:r>
          </w:p>
        </w:tc>
        <w:tc>
          <w:tcPr/>
          <w:p>
            <w:pPr>
              <w:pStyle w:val="Compact"/>
              <w:spacing w:before="8" w:after="8" w:line="240" w:lineRule="auto"/>
              <w:ind w:firstLine="0" w:left="0" w:right="0"/>
              <w:jc w:val="left"/>
              <w:jc w:val="center"/>
            </w:pPr>
            <w:r>
              <w:rPr>
                <w:rFonts w:ascii="Calibri" w:hAnsi="Calibri"/>
                <w:sz w:val="15"/>
              </w:rPr>
              <w:t xml:space="preserve">openai, chatgpt, open ai, gpt-4, chat gpt, sam altman</w:t>
            </w:r>
          </w:p>
        </w:tc>
      </w:tr>
      <w:tr>
        <w:trPr>
          <w:cantSplit/>
        </w:trPr>
        <w:tc>
          <w:tcPr/>
          <w:p>
            <w:pPr>
              <w:pStyle w:val="Compact"/>
              <w:spacing w:before="8" w:after="8" w:line="240" w:lineRule="auto"/>
              <w:ind w:firstLine="0" w:left="0" w:right="0"/>
              <w:jc w:val="left"/>
              <w:jc w:val="center"/>
            </w:pPr>
            <w:r>
              <w:rPr>
                <w:rFonts w:ascii="Calibri" w:hAnsi="Calibri"/>
                <w:sz w:val="15"/>
              </w:rPr>
              <w:t xml:space="preserve">NVIDIA</w:t>
            </w:r>
          </w:p>
        </w:tc>
        <w:tc>
          <w:tcPr/>
          <w:p>
            <w:pPr>
              <w:pStyle w:val="Compact"/>
              <w:spacing w:before="8" w:after="8" w:line="240" w:lineRule="auto"/>
              <w:ind w:firstLine="0" w:left="0" w:right="0"/>
              <w:jc w:val="left"/>
              <w:jc w:val="center"/>
            </w:pPr>
            <w:r>
              <w:rPr>
                <w:rFonts w:ascii="Calibri" w:hAnsi="Calibri"/>
                <w:sz w:val="15"/>
              </w:rPr>
              <w:t xml:space="preserve">United States</w:t>
            </w:r>
          </w:p>
        </w:tc>
        <w:tc>
          <w:tcPr/>
          <w:p>
            <w:pPr>
              <w:pStyle w:val="Compact"/>
              <w:spacing w:before="8" w:after="8" w:line="240" w:lineRule="auto"/>
              <w:ind w:firstLine="0" w:left="0" w:right="0"/>
              <w:jc w:val="left"/>
              <w:jc w:val="center"/>
            </w:pPr>
            <w:r>
              <w:rPr>
                <w:rFonts w:ascii="Calibri" w:hAnsi="Calibri"/>
                <w:sz w:val="15"/>
              </w:rPr>
              <w:t xml:space="preserve">Semiconductor</w:t>
            </w:r>
          </w:p>
        </w:tc>
        <w:tc>
          <w:tcPr/>
          <w:p>
            <w:pPr>
              <w:pStyle w:val="Compact"/>
              <w:spacing w:before="8" w:after="8" w:line="240" w:lineRule="auto"/>
              <w:ind w:firstLine="0" w:left="0" w:right="0"/>
              <w:jc w:val="right"/>
              <w:jc w:val="center"/>
            </w:pPr>
            <w:r>
              <w:rPr>
                <w:rFonts w:ascii="Calibri" w:hAnsi="Calibri"/>
                <w:sz w:val="15"/>
              </w:rPr>
              <w:t xml:space="preserve">15.5%</w:t>
            </w:r>
          </w:p>
        </w:tc>
        <w:tc>
          <w:tcPr/>
          <w:p>
            <w:pPr>
              <w:pStyle w:val="Compact"/>
              <w:spacing w:before="8" w:after="8" w:line="240" w:lineRule="auto"/>
              <w:ind w:firstLine="0" w:left="0" w:right="0"/>
              <w:jc w:val="left"/>
              <w:jc w:val="center"/>
            </w:pPr>
            <w:r>
              <w:rPr>
                <w:rFonts w:ascii="Calibri" w:hAnsi="Calibri"/>
                <w:sz w:val="15"/>
              </w:rPr>
              <w:t xml:space="preserve">nvidia, blackwell, h100, dgx, hopper, nvidia ai</w:t>
            </w:r>
          </w:p>
        </w:tc>
      </w:tr>
      <w:tr>
        <w:trPr>
          <w:cantSplit/>
        </w:trPr>
        <w:tc>
          <w:tcPr/>
          <w:p>
            <w:pPr>
              <w:pStyle w:val="Compact"/>
              <w:spacing w:before="8" w:after="8" w:line="240" w:lineRule="auto"/>
              <w:ind w:firstLine="0" w:left="0" w:right="0"/>
              <w:jc w:val="left"/>
              <w:jc w:val="center"/>
            </w:pPr>
            <w:r>
              <w:rPr>
                <w:rFonts w:ascii="Calibri" w:hAnsi="Calibri"/>
                <w:sz w:val="15"/>
              </w:rPr>
              <w:t xml:space="preserve">IBM</w:t>
            </w:r>
          </w:p>
        </w:tc>
        <w:tc>
          <w:tcPr/>
          <w:p>
            <w:pPr>
              <w:pStyle w:val="Compact"/>
              <w:spacing w:before="8" w:after="8" w:line="240" w:lineRule="auto"/>
              <w:ind w:firstLine="0" w:left="0" w:right="0"/>
              <w:jc w:val="left"/>
              <w:jc w:val="center"/>
            </w:pPr>
            <w:r>
              <w:rPr>
                <w:rFonts w:ascii="Calibri" w:hAnsi="Calibri"/>
                <w:sz w:val="15"/>
              </w:rPr>
              <w:t xml:space="preserve">United States</w:t>
            </w:r>
          </w:p>
        </w:tc>
        <w:tc>
          <w:tcPr/>
          <w:p>
            <w:pPr>
              <w:pStyle w:val="Compact"/>
              <w:spacing w:before="8" w:after="8" w:line="240" w:lineRule="auto"/>
              <w:ind w:firstLine="0" w:left="0" w:right="0"/>
              <w:jc w:val="left"/>
              <w:jc w:val="center"/>
            </w:pPr>
            <w:r>
              <w:rPr>
                <w:rFonts w:ascii="Calibri" w:hAnsi="Calibri"/>
                <w:sz w:val="15"/>
              </w:rPr>
              <w:t xml:space="preserve">Enterprise software</w:t>
            </w:r>
          </w:p>
        </w:tc>
        <w:tc>
          <w:tcPr/>
          <w:p>
            <w:pPr>
              <w:pStyle w:val="Compact"/>
              <w:spacing w:before="8" w:after="8" w:line="240" w:lineRule="auto"/>
              <w:ind w:firstLine="0" w:left="0" w:right="0"/>
              <w:jc w:val="right"/>
              <w:jc w:val="center"/>
            </w:pPr>
            <w:r>
              <w:rPr>
                <w:rFonts w:ascii="Calibri" w:hAnsi="Calibri"/>
                <w:sz w:val="15"/>
              </w:rPr>
              <w:t xml:space="preserve">14.3%</w:t>
            </w:r>
          </w:p>
        </w:tc>
        <w:tc>
          <w:tcPr/>
          <w:p>
            <w:pPr>
              <w:pStyle w:val="Compact"/>
              <w:spacing w:before="8" w:after="8" w:line="240" w:lineRule="auto"/>
              <w:ind w:firstLine="0" w:left="0" w:right="0"/>
              <w:jc w:val="left"/>
              <w:jc w:val="center"/>
            </w:pPr>
            <w:r>
              <w:rPr>
                <w:rFonts w:ascii="Calibri" w:hAnsi="Calibri"/>
                <w:sz w:val="15"/>
              </w:rPr>
              <w:t xml:space="preserve">ibm, international business machines, watson, red hat, granite, watson x</w:t>
            </w:r>
          </w:p>
        </w:tc>
      </w:tr>
      <w:tr>
        <w:trPr>
          <w:cantSplit/>
        </w:trPr>
        <w:tc>
          <w:tcPr/>
          <w:p>
            <w:pPr>
              <w:pStyle w:val="Compact"/>
              <w:spacing w:before="8" w:after="8" w:line="240" w:lineRule="auto"/>
              <w:ind w:firstLine="0" w:left="0" w:right="0"/>
              <w:jc w:val="left"/>
              <w:jc w:val="center"/>
            </w:pPr>
            <w:r>
              <w:rPr>
                <w:rFonts w:ascii="Calibri" w:hAnsi="Calibri"/>
                <w:sz w:val="15"/>
              </w:rPr>
              <w:t xml:space="preserve">Intel</w:t>
            </w:r>
          </w:p>
        </w:tc>
        <w:tc>
          <w:tcPr/>
          <w:p>
            <w:pPr>
              <w:pStyle w:val="Compact"/>
              <w:spacing w:before="8" w:after="8" w:line="240" w:lineRule="auto"/>
              <w:ind w:firstLine="0" w:left="0" w:right="0"/>
              <w:jc w:val="left"/>
              <w:jc w:val="center"/>
            </w:pPr>
            <w:r>
              <w:rPr>
                <w:rFonts w:ascii="Calibri" w:hAnsi="Calibri"/>
                <w:sz w:val="15"/>
              </w:rPr>
              <w:t xml:space="preserve">United States</w:t>
            </w:r>
          </w:p>
        </w:tc>
        <w:tc>
          <w:tcPr/>
          <w:p>
            <w:pPr>
              <w:pStyle w:val="Compact"/>
              <w:spacing w:before="8" w:after="8" w:line="240" w:lineRule="auto"/>
              <w:ind w:firstLine="0" w:left="0" w:right="0"/>
              <w:jc w:val="left"/>
              <w:jc w:val="center"/>
            </w:pPr>
            <w:r>
              <w:rPr>
                <w:rFonts w:ascii="Calibri" w:hAnsi="Calibri"/>
                <w:sz w:val="15"/>
              </w:rPr>
              <w:t xml:space="preserve">Semiconductor</w:t>
            </w:r>
          </w:p>
        </w:tc>
        <w:tc>
          <w:tcPr/>
          <w:p>
            <w:pPr>
              <w:pStyle w:val="Compact"/>
              <w:spacing w:before="8" w:after="8" w:line="240" w:lineRule="auto"/>
              <w:ind w:firstLine="0" w:left="0" w:right="0"/>
              <w:jc w:val="right"/>
              <w:jc w:val="center"/>
            </w:pPr>
            <w:r>
              <w:rPr>
                <w:rFonts w:ascii="Calibri" w:hAnsi="Calibri"/>
                <w:sz w:val="15"/>
              </w:rPr>
              <w:t xml:space="preserve">11.2%</w:t>
            </w:r>
          </w:p>
        </w:tc>
        <w:tc>
          <w:tcPr/>
          <w:p>
            <w:pPr>
              <w:pStyle w:val="Compact"/>
              <w:spacing w:before="8" w:after="8" w:line="240" w:lineRule="auto"/>
              <w:ind w:firstLine="0" w:left="0" w:right="0"/>
              <w:jc w:val="left"/>
              <w:jc w:val="center"/>
            </w:pPr>
            <w:r>
              <w:rPr>
                <w:rFonts w:ascii="Calibri" w:hAnsi="Calibri"/>
                <w:sz w:val="15"/>
              </w:rPr>
              <w:t xml:space="preserve">intel, habana</w:t>
            </w:r>
          </w:p>
        </w:tc>
      </w:tr>
      <w:tr>
        <w:trPr>
          <w:cantSplit/>
        </w:trPr>
        <w:tc>
          <w:tcPr/>
          <w:p>
            <w:pPr>
              <w:pStyle w:val="Compact"/>
              <w:spacing w:before="8" w:after="8" w:line="240" w:lineRule="auto"/>
              <w:ind w:firstLine="0" w:left="0" w:right="0"/>
              <w:jc w:val="left"/>
              <w:jc w:val="center"/>
            </w:pPr>
            <w:r>
              <w:rPr>
                <w:rFonts w:ascii="Calibri" w:hAnsi="Calibri"/>
                <w:sz w:val="15"/>
              </w:rPr>
              <w:t xml:space="preserve">Anthropic</w:t>
            </w:r>
          </w:p>
        </w:tc>
        <w:tc>
          <w:tcPr/>
          <w:p>
            <w:pPr>
              <w:pStyle w:val="Compact"/>
              <w:spacing w:before="8" w:after="8" w:line="240" w:lineRule="auto"/>
              <w:ind w:firstLine="0" w:left="0" w:right="0"/>
              <w:jc w:val="left"/>
              <w:jc w:val="center"/>
            </w:pPr>
            <w:r>
              <w:rPr>
                <w:rFonts w:ascii="Calibri" w:hAnsi="Calibri"/>
                <w:sz w:val="15"/>
              </w:rPr>
              <w:t xml:space="preserve">United States</w:t>
            </w:r>
          </w:p>
        </w:tc>
        <w:tc>
          <w:tcPr/>
          <w:p>
            <w:pPr>
              <w:pStyle w:val="Compact"/>
              <w:spacing w:before="8" w:after="8" w:line="240" w:lineRule="auto"/>
              <w:ind w:firstLine="0" w:left="0" w:right="0"/>
              <w:jc w:val="left"/>
              <w:jc w:val="center"/>
            </w:pPr>
            <w:r>
              <w:rPr>
                <w:rFonts w:ascii="Calibri" w:hAnsi="Calibri"/>
                <w:sz w:val="15"/>
              </w:rPr>
              <w:t xml:space="preserve">Model developer</w:t>
            </w:r>
          </w:p>
        </w:tc>
        <w:tc>
          <w:tcPr/>
          <w:p>
            <w:pPr>
              <w:pStyle w:val="Compact"/>
              <w:spacing w:before="8" w:after="8" w:line="240" w:lineRule="auto"/>
              <w:ind w:firstLine="0" w:left="0" w:right="0"/>
              <w:jc w:val="right"/>
              <w:jc w:val="center"/>
            </w:pPr>
            <w:r>
              <w:rPr>
                <w:rFonts w:ascii="Calibri" w:hAnsi="Calibri"/>
                <w:sz w:val="15"/>
              </w:rPr>
              <w:t xml:space="preserve">11.0%</w:t>
            </w:r>
          </w:p>
        </w:tc>
        <w:tc>
          <w:tcPr/>
          <w:p>
            <w:pPr>
              <w:pStyle w:val="Compact"/>
              <w:spacing w:before="8" w:after="8" w:line="240" w:lineRule="auto"/>
              <w:ind w:firstLine="0" w:left="0" w:right="0"/>
              <w:jc w:val="left"/>
              <w:jc w:val="center"/>
            </w:pPr>
            <w:r>
              <w:rPr>
                <w:rFonts w:ascii="Calibri" w:hAnsi="Calibri"/>
                <w:sz w:val="15"/>
              </w:rPr>
              <w:t xml:space="preserve">anthropic, claude</w:t>
            </w:r>
          </w:p>
        </w:tc>
      </w:tr>
      <w:tr>
        <w:trPr>
          <w:cantSplit/>
        </w:trPr>
        <w:tc>
          <w:tcPr/>
          <w:p>
            <w:pPr>
              <w:pStyle w:val="Compact"/>
              <w:spacing w:before="8" w:after="8" w:line="240" w:lineRule="auto"/>
              <w:ind w:firstLine="0" w:left="0" w:right="0"/>
              <w:jc w:val="left"/>
              <w:jc w:val="center"/>
            </w:pPr>
            <w:r>
              <w:rPr>
                <w:rFonts w:ascii="Calibri" w:hAnsi="Calibri"/>
                <w:sz w:val="15"/>
              </w:rPr>
              <w:t xml:space="preserve">Salesforce</w:t>
            </w:r>
          </w:p>
        </w:tc>
        <w:tc>
          <w:tcPr/>
          <w:p>
            <w:pPr>
              <w:pStyle w:val="Compact"/>
              <w:spacing w:before="8" w:after="8" w:line="240" w:lineRule="auto"/>
              <w:ind w:firstLine="0" w:left="0" w:right="0"/>
              <w:jc w:val="left"/>
              <w:jc w:val="center"/>
            </w:pPr>
            <w:r>
              <w:rPr>
                <w:rFonts w:ascii="Calibri" w:hAnsi="Calibri"/>
                <w:sz w:val="15"/>
              </w:rPr>
              <w:t xml:space="preserve">United States</w:t>
            </w:r>
          </w:p>
        </w:tc>
        <w:tc>
          <w:tcPr/>
          <w:p>
            <w:pPr>
              <w:pStyle w:val="Compact"/>
              <w:spacing w:before="8" w:after="8" w:line="240" w:lineRule="auto"/>
              <w:ind w:firstLine="0" w:left="0" w:right="0"/>
              <w:jc w:val="left"/>
              <w:jc w:val="center"/>
            </w:pPr>
            <w:r>
              <w:rPr>
                <w:rFonts w:ascii="Calibri" w:hAnsi="Calibri"/>
                <w:sz w:val="15"/>
              </w:rPr>
              <w:t xml:space="preserve">Enterprise software</w:t>
            </w:r>
          </w:p>
        </w:tc>
        <w:tc>
          <w:tcPr/>
          <w:p>
            <w:pPr>
              <w:pStyle w:val="Compact"/>
              <w:spacing w:before="8" w:after="8" w:line="240" w:lineRule="auto"/>
              <w:ind w:firstLine="0" w:left="0" w:right="0"/>
              <w:jc w:val="right"/>
              <w:jc w:val="center"/>
            </w:pPr>
            <w:r>
              <w:rPr>
                <w:rFonts w:ascii="Calibri" w:hAnsi="Calibri"/>
                <w:sz w:val="15"/>
              </w:rPr>
              <w:t xml:space="preserve">11.0%</w:t>
            </w:r>
          </w:p>
        </w:tc>
        <w:tc>
          <w:tcPr/>
          <w:p>
            <w:pPr>
              <w:pStyle w:val="Compact"/>
              <w:spacing w:before="8" w:after="8" w:line="240" w:lineRule="auto"/>
              <w:ind w:firstLine="0" w:left="0" w:right="0"/>
              <w:jc w:val="left"/>
              <w:jc w:val="center"/>
            </w:pPr>
            <w:r>
              <w:rPr>
                <w:rFonts w:ascii="Calibri" w:hAnsi="Calibri"/>
                <w:sz w:val="15"/>
              </w:rPr>
              <w:t xml:space="preserve">salesforce, agentforce, mulesoft</w:t>
            </w:r>
          </w:p>
        </w:tc>
      </w:tr>
      <w:tr>
        <w:trPr>
          <w:cantSplit/>
        </w:trPr>
        <w:tc>
          <w:tcPr/>
          <w:p>
            <w:pPr>
              <w:pStyle w:val="Compact"/>
              <w:spacing w:before="8" w:after="8" w:line="240" w:lineRule="auto"/>
              <w:ind w:firstLine="0" w:left="0" w:right="0"/>
              <w:jc w:val="left"/>
              <w:jc w:val="center"/>
            </w:pPr>
            <w:r>
              <w:rPr>
                <w:rFonts w:ascii="Calibri" w:hAnsi="Calibri"/>
                <w:sz w:val="15"/>
              </w:rPr>
              <w:t xml:space="preserve">Oracle</w:t>
            </w:r>
          </w:p>
        </w:tc>
        <w:tc>
          <w:tcPr/>
          <w:p>
            <w:pPr>
              <w:pStyle w:val="Compact"/>
              <w:spacing w:before="8" w:after="8" w:line="240" w:lineRule="auto"/>
              <w:ind w:firstLine="0" w:left="0" w:right="0"/>
              <w:jc w:val="left"/>
              <w:jc w:val="center"/>
            </w:pPr>
            <w:r>
              <w:rPr>
                <w:rFonts w:ascii="Calibri" w:hAnsi="Calibri"/>
                <w:sz w:val="15"/>
              </w:rPr>
              <w:t xml:space="preserve">United States</w:t>
            </w:r>
          </w:p>
        </w:tc>
        <w:tc>
          <w:tcPr/>
          <w:p>
            <w:pPr>
              <w:pStyle w:val="Compact"/>
              <w:spacing w:before="8" w:after="8" w:line="240" w:lineRule="auto"/>
              <w:ind w:firstLine="0" w:left="0" w:right="0"/>
              <w:jc w:val="left"/>
              <w:jc w:val="center"/>
            </w:pPr>
            <w:r>
              <w:rPr>
                <w:rFonts w:ascii="Calibri" w:hAnsi="Calibri"/>
                <w:sz w:val="15"/>
              </w:rPr>
              <w:t xml:space="preserve">Cloud infrastructure</w:t>
            </w:r>
          </w:p>
        </w:tc>
        <w:tc>
          <w:tcPr/>
          <w:p>
            <w:pPr>
              <w:pStyle w:val="Compact"/>
              <w:spacing w:before="8" w:after="8" w:line="240" w:lineRule="auto"/>
              <w:ind w:firstLine="0" w:left="0" w:right="0"/>
              <w:jc w:val="right"/>
              <w:jc w:val="center"/>
            </w:pPr>
            <w:r>
              <w:rPr>
                <w:rFonts w:ascii="Calibri" w:hAnsi="Calibri"/>
                <w:sz w:val="15"/>
              </w:rPr>
              <w:t xml:space="preserve">8.3%</w:t>
            </w:r>
          </w:p>
        </w:tc>
        <w:tc>
          <w:tcPr/>
          <w:p>
            <w:pPr>
              <w:pStyle w:val="Compact"/>
              <w:spacing w:before="8" w:after="8" w:line="240" w:lineRule="auto"/>
              <w:ind w:firstLine="0" w:left="0" w:right="0"/>
              <w:jc w:val="left"/>
              <w:jc w:val="center"/>
            </w:pPr>
            <w:r>
              <w:rPr>
                <w:rFonts w:ascii="Calibri" w:hAnsi="Calibri"/>
                <w:sz w:val="15"/>
              </w:rPr>
              <w:t xml:space="preserve">oracle, oci, oracle cloud infrastructure</w:t>
            </w:r>
          </w:p>
        </w:tc>
      </w:tr>
      <w:tr>
        <w:trPr>
          <w:cantSplit/>
        </w:trPr>
        <w:tc>
          <w:tcPr/>
          <w:p>
            <w:pPr>
              <w:pStyle w:val="Compact"/>
              <w:spacing w:before="8" w:after="8" w:line="240" w:lineRule="auto"/>
              <w:ind w:firstLine="0" w:left="0" w:right="0"/>
              <w:jc w:val="left"/>
              <w:jc w:val="center"/>
            </w:pPr>
            <w:r>
              <w:rPr>
                <w:rFonts w:ascii="Calibri" w:hAnsi="Calibri"/>
                <w:sz w:val="15"/>
              </w:rPr>
              <w:t xml:space="preserve">DeepSeek</w:t>
            </w:r>
          </w:p>
        </w:tc>
        <w:tc>
          <w:tcPr/>
          <w:p>
            <w:pPr>
              <w:pStyle w:val="Compact"/>
              <w:spacing w:before="8" w:after="8" w:line="240" w:lineRule="auto"/>
              <w:ind w:firstLine="0" w:left="0" w:right="0"/>
              <w:jc w:val="left"/>
              <w:jc w:val="center"/>
            </w:pPr>
            <w:r>
              <w:rPr>
                <w:rFonts w:ascii="Calibri" w:hAnsi="Calibri"/>
                <w:sz w:val="15"/>
              </w:rPr>
              <w:t xml:space="preserve">China</w:t>
            </w:r>
          </w:p>
        </w:tc>
        <w:tc>
          <w:tcPr/>
          <w:p>
            <w:pPr>
              <w:pStyle w:val="Compact"/>
              <w:spacing w:before="8" w:after="8" w:line="240" w:lineRule="auto"/>
              <w:ind w:firstLine="0" w:left="0" w:right="0"/>
              <w:jc w:val="left"/>
              <w:jc w:val="center"/>
            </w:pPr>
            <w:r>
              <w:rPr>
                <w:rFonts w:ascii="Calibri" w:hAnsi="Calibri"/>
                <w:sz w:val="15"/>
              </w:rPr>
              <w:t xml:space="preserve">Model developer</w:t>
            </w:r>
          </w:p>
        </w:tc>
        <w:tc>
          <w:tcPr/>
          <w:p>
            <w:pPr>
              <w:pStyle w:val="Compact"/>
              <w:spacing w:before="8" w:after="8" w:line="240" w:lineRule="auto"/>
              <w:ind w:firstLine="0" w:left="0" w:right="0"/>
              <w:jc w:val="right"/>
              <w:jc w:val="center"/>
            </w:pPr>
            <w:r>
              <w:rPr>
                <w:rFonts w:ascii="Calibri" w:hAnsi="Calibri"/>
                <w:sz w:val="15"/>
              </w:rPr>
              <w:t xml:space="preserve">8.3%</w:t>
            </w:r>
          </w:p>
        </w:tc>
        <w:tc>
          <w:tcPr/>
          <w:p>
            <w:pPr>
              <w:pStyle w:val="Compact"/>
              <w:spacing w:before="8" w:after="8" w:line="240" w:lineRule="auto"/>
              <w:ind w:firstLine="0" w:left="0" w:right="0"/>
              <w:jc w:val="left"/>
              <w:jc w:val="center"/>
            </w:pPr>
            <w:r>
              <w:rPr>
                <w:rFonts w:ascii="Calibri" w:hAnsi="Calibri"/>
                <w:sz w:val="15"/>
              </w:rPr>
              <w:t xml:space="preserve">deepseek, deep seek, deepseek-r1, deepseek r1, deepseek v3</w:t>
            </w:r>
          </w:p>
        </w:tc>
      </w:tr>
      <w:tr>
        <w:trPr>
          <w:cantSplit/>
        </w:trPr>
        <w:tc>
          <w:tcPr/>
          <w:p>
            <w:pPr>
              <w:pStyle w:val="Compact"/>
              <w:spacing w:before="8" w:after="8" w:line="240" w:lineRule="auto"/>
              <w:ind w:firstLine="0" w:left="0" w:right="0"/>
              <w:jc w:val="left"/>
              <w:jc w:val="center"/>
            </w:pPr>
            <w:r>
              <w:rPr>
                <w:rFonts w:ascii="Calibri" w:hAnsi="Calibri"/>
                <w:sz w:val="15"/>
              </w:rPr>
              <w:t xml:space="preserve">Broadcom</w:t>
            </w:r>
          </w:p>
        </w:tc>
        <w:tc>
          <w:tcPr/>
          <w:p>
            <w:pPr>
              <w:pStyle w:val="Compact"/>
              <w:spacing w:before="8" w:after="8" w:line="240" w:lineRule="auto"/>
              <w:ind w:firstLine="0" w:left="0" w:right="0"/>
              <w:jc w:val="left"/>
              <w:jc w:val="center"/>
            </w:pPr>
            <w:r>
              <w:rPr>
                <w:rFonts w:ascii="Calibri" w:hAnsi="Calibri"/>
                <w:sz w:val="15"/>
              </w:rPr>
              <w:t xml:space="preserve">United States</w:t>
            </w:r>
          </w:p>
        </w:tc>
        <w:tc>
          <w:tcPr/>
          <w:p>
            <w:pPr>
              <w:pStyle w:val="Compact"/>
              <w:spacing w:before="8" w:after="8" w:line="240" w:lineRule="auto"/>
              <w:ind w:firstLine="0" w:left="0" w:right="0"/>
              <w:jc w:val="left"/>
              <w:jc w:val="center"/>
            </w:pPr>
            <w:r>
              <w:rPr>
                <w:rFonts w:ascii="Calibri" w:hAnsi="Calibri"/>
                <w:sz w:val="15"/>
              </w:rPr>
              <w:t xml:space="preserve">Semiconductor</w:t>
            </w:r>
          </w:p>
        </w:tc>
        <w:tc>
          <w:tcPr/>
          <w:p>
            <w:pPr>
              <w:pStyle w:val="Compact"/>
              <w:spacing w:before="8" w:after="8" w:line="240" w:lineRule="auto"/>
              <w:ind w:firstLine="0" w:left="0" w:right="0"/>
              <w:jc w:val="right"/>
              <w:jc w:val="center"/>
            </w:pPr>
            <w:r>
              <w:rPr>
                <w:rFonts w:ascii="Calibri" w:hAnsi="Calibri"/>
                <w:sz w:val="15"/>
              </w:rPr>
              <w:t xml:space="preserve">7.9%</w:t>
            </w:r>
          </w:p>
        </w:tc>
        <w:tc>
          <w:tcPr/>
          <w:p>
            <w:pPr>
              <w:pStyle w:val="Compact"/>
              <w:spacing w:before="8" w:after="8" w:line="240" w:lineRule="auto"/>
              <w:ind w:firstLine="0" w:left="0" w:right="0"/>
              <w:jc w:val="left"/>
              <w:jc w:val="center"/>
            </w:pPr>
            <w:r>
              <w:rPr>
                <w:rFonts w:ascii="Calibri" w:hAnsi="Calibri"/>
                <w:sz w:val="15"/>
              </w:rPr>
              <w:t xml:space="preserve">vmware, broadcom, tomahawk, jericho</w:t>
            </w:r>
          </w:p>
        </w:tc>
      </w:tr>
      <w:tr>
        <w:trPr>
          <w:cantSplit/>
        </w:trPr>
        <w:tc>
          <w:tcPr/>
          <w:p>
            <w:pPr>
              <w:pStyle w:val="Compact"/>
              <w:spacing w:before="8" w:after="8" w:line="240" w:lineRule="auto"/>
              <w:ind w:firstLine="0" w:left="0" w:right="0"/>
              <w:jc w:val="left"/>
              <w:jc w:val="center"/>
            </w:pPr>
            <w:r>
              <w:rPr>
                <w:rFonts w:ascii="Calibri" w:hAnsi="Calibri"/>
                <w:sz w:val="15"/>
              </w:rPr>
              <w:t xml:space="preserve">AMD</w:t>
            </w:r>
          </w:p>
        </w:tc>
        <w:tc>
          <w:tcPr/>
          <w:p>
            <w:pPr>
              <w:pStyle w:val="Compact"/>
              <w:spacing w:before="8" w:after="8" w:line="240" w:lineRule="auto"/>
              <w:ind w:firstLine="0" w:left="0" w:right="0"/>
              <w:jc w:val="left"/>
              <w:jc w:val="center"/>
            </w:pPr>
            <w:r>
              <w:rPr>
                <w:rFonts w:ascii="Calibri" w:hAnsi="Calibri"/>
                <w:sz w:val="15"/>
              </w:rPr>
              <w:t xml:space="preserve">United States</w:t>
            </w:r>
          </w:p>
        </w:tc>
        <w:tc>
          <w:tcPr/>
          <w:p>
            <w:pPr>
              <w:pStyle w:val="Compact"/>
              <w:spacing w:before="8" w:after="8" w:line="240" w:lineRule="auto"/>
              <w:ind w:firstLine="0" w:left="0" w:right="0"/>
              <w:jc w:val="left"/>
              <w:jc w:val="center"/>
            </w:pPr>
            <w:r>
              <w:rPr>
                <w:rFonts w:ascii="Calibri" w:hAnsi="Calibri"/>
                <w:sz w:val="15"/>
              </w:rPr>
              <w:t xml:space="preserve">Semiconductor</w:t>
            </w:r>
          </w:p>
        </w:tc>
        <w:tc>
          <w:tcPr/>
          <w:p>
            <w:pPr>
              <w:pStyle w:val="Compact"/>
              <w:spacing w:before="8" w:after="8" w:line="240" w:lineRule="auto"/>
              <w:ind w:firstLine="0" w:left="0" w:right="0"/>
              <w:jc w:val="right"/>
              <w:jc w:val="center"/>
            </w:pPr>
            <w:r>
              <w:rPr>
                <w:rFonts w:ascii="Calibri" w:hAnsi="Calibri"/>
                <w:sz w:val="15"/>
              </w:rPr>
              <w:t xml:space="preserve">7.7%</w:t>
            </w:r>
          </w:p>
        </w:tc>
        <w:tc>
          <w:tcPr/>
          <w:p>
            <w:pPr>
              <w:pStyle w:val="Compact"/>
              <w:spacing w:before="8" w:after="8" w:line="240" w:lineRule="auto"/>
              <w:ind w:firstLine="0" w:left="0" w:right="0"/>
              <w:jc w:val="left"/>
              <w:jc w:val="center"/>
            </w:pPr>
            <w:r>
              <w:rPr>
                <w:rFonts w:ascii="Calibri" w:hAnsi="Calibri"/>
                <w:sz w:val="15"/>
              </w:rPr>
              <w:t xml:space="preserve">amd, advanced micro devices, instinct, epyc, mi300, mi355</w:t>
            </w:r>
          </w:p>
        </w:tc>
      </w:tr>
      <w:tr>
        <w:trPr>
          <w:cantSplit/>
        </w:trPr>
        <w:tc>
          <w:tcPr/>
          <w:p>
            <w:pPr>
              <w:pStyle w:val="Compact"/>
              <w:spacing w:before="8" w:after="8" w:line="240" w:lineRule="auto"/>
              <w:ind w:firstLine="0" w:left="0" w:right="0"/>
              <w:jc w:val="left"/>
              <w:jc w:val="center"/>
            </w:pPr>
            <w:r>
              <w:rPr>
                <w:rFonts w:ascii="Calibri" w:hAnsi="Calibri"/>
                <w:sz w:val="15"/>
              </w:rPr>
              <w:t xml:space="preserve">Samsung</w:t>
            </w:r>
          </w:p>
        </w:tc>
        <w:tc>
          <w:tcPr/>
          <w:p>
            <w:pPr>
              <w:pStyle w:val="Compact"/>
              <w:spacing w:before="8" w:after="8" w:line="240" w:lineRule="auto"/>
              <w:ind w:firstLine="0" w:left="0" w:right="0"/>
              <w:jc w:val="left"/>
              <w:jc w:val="center"/>
            </w:pPr>
            <w:r>
              <w:rPr>
                <w:rFonts w:ascii="Calibri" w:hAnsi="Calibri"/>
                <w:sz w:val="15"/>
              </w:rPr>
              <w:t xml:space="preserve">South Korea</w:t>
            </w:r>
          </w:p>
        </w:tc>
        <w:tc>
          <w:tcPr/>
          <w:p>
            <w:pPr>
              <w:pStyle w:val="Compact"/>
              <w:spacing w:before="8" w:after="8" w:line="240" w:lineRule="auto"/>
              <w:ind w:firstLine="0" w:left="0" w:right="0"/>
              <w:jc w:val="left"/>
              <w:jc w:val="center"/>
            </w:pPr>
            <w:r>
              <w:rPr>
                <w:rFonts w:ascii="Calibri" w:hAnsi="Calibri"/>
                <w:sz w:val="15"/>
              </w:rPr>
              <w:t xml:space="preserve">Semiconductor</w:t>
            </w:r>
          </w:p>
        </w:tc>
        <w:tc>
          <w:tcPr/>
          <w:p>
            <w:pPr>
              <w:pStyle w:val="Compact"/>
              <w:spacing w:before="8" w:after="8" w:line="240" w:lineRule="auto"/>
              <w:ind w:firstLine="0" w:left="0" w:right="0"/>
              <w:jc w:val="right"/>
              <w:jc w:val="center"/>
            </w:pPr>
            <w:r>
              <w:rPr>
                <w:rFonts w:ascii="Calibri" w:hAnsi="Calibri"/>
                <w:sz w:val="15"/>
              </w:rPr>
              <w:t xml:space="preserve">7.7%</w:t>
            </w:r>
          </w:p>
        </w:tc>
        <w:tc>
          <w:tcPr/>
          <w:p>
            <w:pPr>
              <w:pStyle w:val="Compact"/>
              <w:spacing w:before="8" w:after="8" w:line="240" w:lineRule="auto"/>
              <w:ind w:firstLine="0" w:left="0" w:right="0"/>
              <w:jc w:val="left"/>
              <w:jc w:val="center"/>
            </w:pPr>
            <w:r>
              <w:rPr>
                <w:rFonts w:ascii="Calibri" w:hAnsi="Calibri"/>
                <w:sz w:val="15"/>
              </w:rPr>
              <w:t xml:space="preserve">samsung, sk hynix</w:t>
            </w:r>
          </w:p>
        </w:tc>
      </w:tr>
      <w:tr>
        <w:trPr>
          <w:cantSplit/>
        </w:trPr>
        <w:tc>
          <w:tcPr/>
          <w:p>
            <w:pPr>
              <w:pStyle w:val="Compact"/>
              <w:spacing w:before="8" w:after="8" w:line="240" w:lineRule="auto"/>
              <w:ind w:firstLine="0" w:left="0" w:right="0"/>
              <w:jc w:val="left"/>
              <w:jc w:val="center"/>
            </w:pPr>
            <w:r>
              <w:rPr>
                <w:rFonts w:ascii="Calibri" w:hAnsi="Calibri"/>
                <w:sz w:val="15"/>
              </w:rPr>
              <w:t xml:space="preserve">SAP</w:t>
            </w:r>
          </w:p>
        </w:tc>
        <w:tc>
          <w:tcPr/>
          <w:p>
            <w:pPr>
              <w:pStyle w:val="Compact"/>
              <w:spacing w:before="8" w:after="8" w:line="240" w:lineRule="auto"/>
              <w:ind w:firstLine="0" w:left="0" w:right="0"/>
              <w:jc w:val="left"/>
              <w:jc w:val="center"/>
            </w:pPr>
            <w:r>
              <w:rPr>
                <w:rFonts w:ascii="Calibri" w:hAnsi="Calibri"/>
                <w:sz w:val="15"/>
              </w:rPr>
              <w:t xml:space="preserve">Germany</w:t>
            </w:r>
          </w:p>
        </w:tc>
        <w:tc>
          <w:tcPr/>
          <w:p>
            <w:pPr>
              <w:pStyle w:val="Compact"/>
              <w:spacing w:before="8" w:after="8" w:line="240" w:lineRule="auto"/>
              <w:ind w:firstLine="0" w:left="0" w:right="0"/>
              <w:jc w:val="left"/>
              <w:jc w:val="center"/>
            </w:pPr>
            <w:r>
              <w:rPr>
                <w:rFonts w:ascii="Calibri" w:hAnsi="Calibri"/>
                <w:sz w:val="15"/>
              </w:rPr>
              <w:t xml:space="preserve">Enterprise software</w:t>
            </w:r>
          </w:p>
        </w:tc>
        <w:tc>
          <w:tcPr/>
          <w:p>
            <w:pPr>
              <w:pStyle w:val="Compact"/>
              <w:spacing w:before="8" w:after="8" w:line="240" w:lineRule="auto"/>
              <w:ind w:firstLine="0" w:left="0" w:right="0"/>
              <w:jc w:val="right"/>
              <w:jc w:val="center"/>
            </w:pPr>
            <w:r>
              <w:rPr>
                <w:rFonts w:ascii="Calibri" w:hAnsi="Calibri"/>
                <w:sz w:val="15"/>
              </w:rPr>
              <w:t xml:space="preserve">7.2%</w:t>
            </w:r>
          </w:p>
        </w:tc>
        <w:tc>
          <w:tcPr/>
          <w:p>
            <w:pPr>
              <w:pStyle w:val="Compact"/>
              <w:spacing w:before="8" w:after="8" w:line="240" w:lineRule="auto"/>
              <w:ind w:firstLine="0" w:left="0" w:right="0"/>
              <w:jc w:val="left"/>
              <w:jc w:val="center"/>
            </w:pPr>
            <w:r>
              <w:rPr>
                <w:rFonts w:ascii="Calibri" w:hAnsi="Calibri"/>
                <w:sz w:val="15"/>
              </w:rPr>
              <w:t xml:space="preserve">sap, sap se, sap business ai</w:t>
            </w:r>
          </w:p>
        </w:tc>
      </w:tr>
      <w:tr>
        <w:trPr>
          <w:cantSplit/>
        </w:trPr>
        <w:tc>
          <w:tcPr/>
          <w:p>
            <w:pPr>
              <w:pStyle w:val="Compact"/>
              <w:spacing w:before="8" w:after="8" w:line="240" w:lineRule="auto"/>
              <w:ind w:firstLine="0" w:left="0" w:right="0"/>
              <w:jc w:val="left"/>
              <w:jc w:val="center"/>
            </w:pPr>
            <w:r>
              <w:rPr>
                <w:rFonts w:ascii="Calibri" w:hAnsi="Calibri"/>
                <w:sz w:val="15"/>
              </w:rPr>
              <w:t xml:space="preserve">Adobe</w:t>
            </w:r>
          </w:p>
        </w:tc>
        <w:tc>
          <w:tcPr/>
          <w:p>
            <w:pPr>
              <w:pStyle w:val="Compact"/>
              <w:spacing w:before="8" w:after="8" w:line="240" w:lineRule="auto"/>
              <w:ind w:firstLine="0" w:left="0" w:right="0"/>
              <w:jc w:val="left"/>
              <w:jc w:val="center"/>
            </w:pPr>
            <w:r>
              <w:rPr>
                <w:rFonts w:ascii="Calibri" w:hAnsi="Calibri"/>
                <w:sz w:val="15"/>
              </w:rPr>
              <w:t xml:space="preserve">United States</w:t>
            </w:r>
          </w:p>
        </w:tc>
        <w:tc>
          <w:tcPr/>
          <w:p>
            <w:pPr>
              <w:pStyle w:val="Compact"/>
              <w:spacing w:before="8" w:after="8" w:line="240" w:lineRule="auto"/>
              <w:ind w:firstLine="0" w:left="0" w:right="0"/>
              <w:jc w:val="left"/>
              <w:jc w:val="center"/>
            </w:pPr>
            <w:r>
              <w:rPr>
                <w:rFonts w:ascii="Calibri" w:hAnsi="Calibri"/>
                <w:sz w:val="15"/>
              </w:rPr>
              <w:t xml:space="preserve">Enterprise software</w:t>
            </w:r>
          </w:p>
        </w:tc>
        <w:tc>
          <w:tcPr/>
          <w:p>
            <w:pPr>
              <w:pStyle w:val="Compact"/>
              <w:spacing w:before="8" w:after="8" w:line="240" w:lineRule="auto"/>
              <w:ind w:firstLine="0" w:left="0" w:right="0"/>
              <w:jc w:val="right"/>
              <w:jc w:val="center"/>
            </w:pPr>
            <w:r>
              <w:rPr>
                <w:rFonts w:ascii="Calibri" w:hAnsi="Calibri"/>
                <w:sz w:val="15"/>
              </w:rPr>
              <w:t xml:space="preserve">5.4%</w:t>
            </w:r>
          </w:p>
        </w:tc>
        <w:tc>
          <w:tcPr/>
          <w:p>
            <w:pPr>
              <w:pStyle w:val="Compact"/>
              <w:spacing w:before="8" w:after="8" w:line="240" w:lineRule="auto"/>
              <w:ind w:firstLine="0" w:left="0" w:right="0"/>
              <w:jc w:val="left"/>
              <w:jc w:val="center"/>
            </w:pPr>
            <w:r>
              <w:rPr>
                <w:rFonts w:ascii="Calibri" w:hAnsi="Calibri"/>
                <w:sz w:val="15"/>
              </w:rPr>
              <w:t xml:space="preserve">adobe, firefly, adobe firefly</w:t>
            </w:r>
          </w:p>
        </w:tc>
      </w:tr>
      <w:tr>
        <w:trPr>
          <w:cantSplit/>
        </w:trPr>
        <w:tc>
          <w:tcPr/>
          <w:p>
            <w:pPr>
              <w:pStyle w:val="Compact"/>
              <w:spacing w:before="8" w:after="8" w:line="240" w:lineRule="auto"/>
              <w:ind w:firstLine="0" w:left="0" w:right="0"/>
              <w:jc w:val="left"/>
              <w:jc w:val="center"/>
            </w:pPr>
            <w:r>
              <w:rPr>
                <w:rFonts w:ascii="Calibri" w:hAnsi="Calibri"/>
                <w:sz w:val="15"/>
              </w:rPr>
              <w:t xml:space="preserve">Server OEMs</w:t>
            </w:r>
          </w:p>
        </w:tc>
        <w:tc>
          <w:tcPr/>
          <w:p>
            <w:pPr>
              <w:pStyle w:val="Compact"/>
              <w:spacing w:before="8" w:after="8" w:line="240" w:lineRule="auto"/>
              <w:ind w:firstLine="0" w:left="0" w:right="0"/>
              <w:jc w:val="left"/>
              <w:jc w:val="center"/>
            </w:pPr>
            <w:r>
              <w:rPr>
                <w:rFonts w:ascii="Calibri" w:hAnsi="Calibri"/>
                <w:sz w:val="15"/>
              </w:rPr>
              <w:t xml:space="preserve">United States</w:t>
            </w:r>
          </w:p>
        </w:tc>
        <w:tc>
          <w:tcPr/>
          <w:p>
            <w:pPr>
              <w:pStyle w:val="Compact"/>
              <w:spacing w:before="8" w:after="8" w:line="240" w:lineRule="auto"/>
              <w:ind w:firstLine="0" w:left="0" w:right="0"/>
              <w:jc w:val="left"/>
              <w:jc w:val="center"/>
            </w:pPr>
            <w:r>
              <w:rPr>
                <w:rFonts w:ascii="Calibri" w:hAnsi="Calibri"/>
                <w:sz w:val="15"/>
              </w:rPr>
              <w:t xml:space="preserve">Cloud infrastructure</w:t>
            </w:r>
          </w:p>
        </w:tc>
        <w:tc>
          <w:tcPr/>
          <w:p>
            <w:pPr>
              <w:pStyle w:val="Compact"/>
              <w:spacing w:before="8" w:after="8" w:line="240" w:lineRule="auto"/>
              <w:ind w:firstLine="0" w:left="0" w:right="0"/>
              <w:jc w:val="right"/>
              <w:jc w:val="center"/>
            </w:pPr>
            <w:r>
              <w:rPr>
                <w:rFonts w:ascii="Calibri" w:hAnsi="Calibri"/>
                <w:sz w:val="15"/>
              </w:rPr>
              <w:t xml:space="preserve">5.2%</w:t>
            </w:r>
          </w:p>
        </w:tc>
        <w:tc>
          <w:tcPr/>
          <w:p>
            <w:pPr>
              <w:pStyle w:val="Compact"/>
              <w:spacing w:before="8" w:after="8" w:line="240" w:lineRule="auto"/>
              <w:ind w:firstLine="0" w:left="0" w:right="0"/>
              <w:jc w:val="left"/>
              <w:jc w:val="center"/>
            </w:pPr>
            <w:r>
              <w:rPr>
                <w:rFonts w:ascii="Calibri" w:hAnsi="Calibri"/>
                <w:sz w:val="15"/>
              </w:rPr>
              <w:t xml:space="preserve">hewlett packard enterprise, dell technologies, supermicro, super micro, hpe ai, cisco ai</w:t>
            </w:r>
          </w:p>
        </w:tc>
      </w:tr>
      <w:tr>
        <w:trPr>
          <w:cantSplit/>
        </w:trPr>
        <w:tc>
          <w:tcPr/>
          <w:p>
            <w:pPr>
              <w:pStyle w:val="Compact"/>
              <w:spacing w:before="8" w:after="8" w:line="240" w:lineRule="auto"/>
              <w:ind w:firstLine="0" w:left="0" w:right="0"/>
              <w:jc w:val="left"/>
              <w:jc w:val="center"/>
            </w:pPr>
            <w:r>
              <w:rPr>
                <w:rFonts w:ascii="Calibri" w:hAnsi="Calibri"/>
                <w:sz w:val="15"/>
              </w:rPr>
              <w:t xml:space="preserve">ServiceNow</w:t>
            </w:r>
          </w:p>
        </w:tc>
        <w:tc>
          <w:tcPr/>
          <w:p>
            <w:pPr>
              <w:pStyle w:val="Compact"/>
              <w:spacing w:before="8" w:after="8" w:line="240" w:lineRule="auto"/>
              <w:ind w:firstLine="0" w:left="0" w:right="0"/>
              <w:jc w:val="left"/>
              <w:jc w:val="center"/>
            </w:pPr>
            <w:r>
              <w:rPr>
                <w:rFonts w:ascii="Calibri" w:hAnsi="Calibri"/>
                <w:sz w:val="15"/>
              </w:rPr>
              <w:t xml:space="preserve">United States</w:t>
            </w:r>
          </w:p>
        </w:tc>
        <w:tc>
          <w:tcPr/>
          <w:p>
            <w:pPr>
              <w:pStyle w:val="Compact"/>
              <w:spacing w:before="8" w:after="8" w:line="240" w:lineRule="auto"/>
              <w:ind w:firstLine="0" w:left="0" w:right="0"/>
              <w:jc w:val="left"/>
              <w:jc w:val="center"/>
            </w:pPr>
            <w:r>
              <w:rPr>
                <w:rFonts w:ascii="Calibri" w:hAnsi="Calibri"/>
                <w:sz w:val="15"/>
              </w:rPr>
              <w:t xml:space="preserve">Enterprise software</w:t>
            </w:r>
          </w:p>
        </w:tc>
        <w:tc>
          <w:tcPr/>
          <w:p>
            <w:pPr>
              <w:pStyle w:val="Compact"/>
              <w:spacing w:before="8" w:after="8" w:line="240" w:lineRule="auto"/>
              <w:ind w:firstLine="0" w:left="0" w:right="0"/>
              <w:jc w:val="right"/>
              <w:jc w:val="center"/>
            </w:pPr>
            <w:r>
              <w:rPr>
                <w:rFonts w:ascii="Calibri" w:hAnsi="Calibri"/>
                <w:sz w:val="15"/>
              </w:rPr>
              <w:t xml:space="preserve">5.0%</w:t>
            </w:r>
          </w:p>
        </w:tc>
        <w:tc>
          <w:tcPr/>
          <w:p>
            <w:pPr>
              <w:pStyle w:val="Compact"/>
              <w:spacing w:before="8" w:after="8" w:line="240" w:lineRule="auto"/>
              <w:ind w:firstLine="0" w:left="0" w:right="0"/>
              <w:jc w:val="left"/>
              <w:jc w:val="center"/>
            </w:pPr>
            <w:r>
              <w:rPr>
                <w:rFonts w:ascii="Calibri" w:hAnsi="Calibri"/>
                <w:sz w:val="15"/>
              </w:rPr>
              <w:t xml:space="preserve">servicenow, now assist</w:t>
            </w:r>
          </w:p>
        </w:tc>
      </w:tr>
      <w:tr>
        <w:trPr>
          <w:cantSplit/>
        </w:trPr>
        <w:tc>
          <w:tcPr/>
          <w:p>
            <w:pPr>
              <w:pStyle w:val="Compact"/>
              <w:spacing w:before="8" w:after="8" w:line="240" w:lineRule="auto"/>
              <w:ind w:firstLine="0" w:left="0" w:right="0"/>
              <w:jc w:val="left"/>
              <w:jc w:val="center"/>
            </w:pPr>
            <w:r>
              <w:rPr>
                <w:rFonts w:ascii="Calibri" w:hAnsi="Calibri"/>
                <w:sz w:val="15"/>
              </w:rPr>
              <w:t xml:space="preserve">Siemens</w:t>
            </w:r>
          </w:p>
        </w:tc>
        <w:tc>
          <w:tcPr/>
          <w:p>
            <w:pPr>
              <w:pStyle w:val="Compact"/>
              <w:spacing w:before="8" w:after="8" w:line="240" w:lineRule="auto"/>
              <w:ind w:firstLine="0" w:left="0" w:right="0"/>
              <w:jc w:val="left"/>
              <w:jc w:val="center"/>
            </w:pPr>
            <w:r>
              <w:rPr>
                <w:rFonts w:ascii="Calibri" w:hAnsi="Calibri"/>
                <w:sz w:val="15"/>
              </w:rPr>
              <w:t xml:space="preserve">Germany</w:t>
            </w:r>
          </w:p>
        </w:tc>
        <w:tc>
          <w:tcPr/>
          <w:p>
            <w:pPr>
              <w:pStyle w:val="Compact"/>
              <w:spacing w:before="8" w:after="8" w:line="240" w:lineRule="auto"/>
              <w:ind w:firstLine="0" w:left="0" w:right="0"/>
              <w:jc w:val="left"/>
              <w:jc w:val="center"/>
            </w:pPr>
            <w:r>
              <w:rPr>
                <w:rFonts w:ascii="Calibri" w:hAnsi="Calibri"/>
                <w:sz w:val="15"/>
              </w:rPr>
              <w:t xml:space="preserve">Enterprise software</w:t>
            </w:r>
          </w:p>
        </w:tc>
        <w:tc>
          <w:tcPr/>
          <w:p>
            <w:pPr>
              <w:pStyle w:val="Compact"/>
              <w:spacing w:before="8" w:after="8" w:line="240" w:lineRule="auto"/>
              <w:ind w:firstLine="0" w:left="0" w:right="0"/>
              <w:jc w:val="right"/>
              <w:jc w:val="center"/>
            </w:pPr>
            <w:r>
              <w:rPr>
                <w:rFonts w:ascii="Calibri" w:hAnsi="Calibri"/>
                <w:sz w:val="15"/>
              </w:rPr>
              <w:t xml:space="preserve">5.0%</w:t>
            </w:r>
          </w:p>
        </w:tc>
        <w:tc>
          <w:tcPr/>
          <w:p>
            <w:pPr>
              <w:pStyle w:val="Compact"/>
              <w:spacing w:before="8" w:after="8" w:line="240" w:lineRule="auto"/>
              <w:ind w:firstLine="0" w:left="0" w:right="0"/>
              <w:jc w:val="left"/>
              <w:jc w:val="center"/>
            </w:pPr>
            <w:r>
              <w:rPr>
                <w:rFonts w:ascii="Calibri" w:hAnsi="Calibri"/>
                <w:sz w:val="15"/>
              </w:rPr>
              <w:t xml:space="preserve">siemens, xcelerator</w:t>
            </w:r>
          </w:p>
        </w:tc>
      </w:tr>
      <w:tr>
        <w:trPr>
          <w:cantSplit/>
        </w:trPr>
        <w:tc>
          <w:tcPr/>
          <w:p>
            <w:pPr>
              <w:pStyle w:val="Compact"/>
              <w:spacing w:before="8" w:after="8" w:line="240" w:lineRule="auto"/>
              <w:ind w:firstLine="0" w:left="0" w:right="0"/>
              <w:jc w:val="left"/>
              <w:jc w:val="center"/>
            </w:pPr>
            <w:r>
              <w:rPr>
                <w:rFonts w:ascii="Calibri" w:hAnsi="Calibri"/>
                <w:sz w:val="15"/>
              </w:rPr>
              <w:t xml:space="preserve">Palantir</w:t>
            </w:r>
          </w:p>
        </w:tc>
        <w:tc>
          <w:tcPr/>
          <w:p>
            <w:pPr>
              <w:pStyle w:val="Compact"/>
              <w:spacing w:before="8" w:after="8" w:line="240" w:lineRule="auto"/>
              <w:ind w:firstLine="0" w:left="0" w:right="0"/>
              <w:jc w:val="left"/>
              <w:jc w:val="center"/>
            </w:pPr>
            <w:r>
              <w:rPr>
                <w:rFonts w:ascii="Calibri" w:hAnsi="Calibri"/>
                <w:sz w:val="15"/>
              </w:rPr>
              <w:t xml:space="preserve">United States</w:t>
            </w:r>
          </w:p>
        </w:tc>
        <w:tc>
          <w:tcPr/>
          <w:p>
            <w:pPr>
              <w:pStyle w:val="Compact"/>
              <w:spacing w:before="8" w:after="8" w:line="240" w:lineRule="auto"/>
              <w:ind w:firstLine="0" w:left="0" w:right="0"/>
              <w:jc w:val="left"/>
              <w:jc w:val="center"/>
            </w:pPr>
            <w:r>
              <w:rPr>
                <w:rFonts w:ascii="Calibri" w:hAnsi="Calibri"/>
                <w:sz w:val="15"/>
              </w:rPr>
              <w:t xml:space="preserve">Enterprise software</w:t>
            </w:r>
          </w:p>
        </w:tc>
        <w:tc>
          <w:tcPr/>
          <w:p>
            <w:pPr>
              <w:pStyle w:val="Compact"/>
              <w:spacing w:before="8" w:after="8" w:line="240" w:lineRule="auto"/>
              <w:ind w:firstLine="0" w:left="0" w:right="0"/>
              <w:jc w:val="right"/>
              <w:jc w:val="center"/>
            </w:pPr>
            <w:r>
              <w:rPr>
                <w:rFonts w:ascii="Calibri" w:hAnsi="Calibri"/>
                <w:sz w:val="15"/>
              </w:rPr>
              <w:t xml:space="preserve">4.8%</w:t>
            </w:r>
          </w:p>
        </w:tc>
        <w:tc>
          <w:tcPr/>
          <w:p>
            <w:pPr>
              <w:pStyle w:val="Compact"/>
              <w:spacing w:before="8" w:after="8" w:line="240" w:lineRule="auto"/>
              <w:ind w:firstLine="0" w:left="0" w:right="0"/>
              <w:jc w:val="left"/>
              <w:jc w:val="center"/>
            </w:pPr>
            <w:r>
              <w:rPr>
                <w:rFonts w:ascii="Calibri" w:hAnsi="Calibri"/>
                <w:sz w:val="15"/>
              </w:rPr>
              <w:t xml:space="preserve">palantir, foundry, gotham</w:t>
            </w:r>
          </w:p>
        </w:tc>
      </w:tr>
      <w:tr>
        <w:trPr>
          <w:cantSplit/>
        </w:trPr>
        <w:tc>
          <w:tcPr/>
          <w:p>
            <w:pPr>
              <w:pStyle w:val="Compact"/>
              <w:spacing w:before="8" w:after="8" w:line="240" w:lineRule="auto"/>
              <w:ind w:firstLine="0" w:left="0" w:right="0"/>
              <w:jc w:val="left"/>
              <w:jc w:val="center"/>
            </w:pPr>
            <w:r>
              <w:rPr>
                <w:rFonts w:ascii="Calibri" w:hAnsi="Calibri"/>
                <w:sz w:val="15"/>
              </w:rPr>
              <w:t xml:space="preserve">Other European developers</w:t>
            </w:r>
          </w:p>
        </w:tc>
        <w:tc>
          <w:tcPr/>
          <w:p>
            <w:pPr>
              <w:pStyle w:val="Compact"/>
              <w:spacing w:before="8" w:after="8" w:line="240" w:lineRule="auto"/>
              <w:ind w:firstLine="0" w:left="0" w:right="0"/>
              <w:jc w:val="left"/>
              <w:jc w:val="center"/>
            </w:pPr>
            <w:r>
              <w:rPr>
                <w:rFonts w:ascii="Calibri" w:hAnsi="Calibri"/>
                <w:sz w:val="15"/>
              </w:rPr>
              <w:t xml:space="preserve">Europe</w:t>
            </w:r>
          </w:p>
        </w:tc>
        <w:tc>
          <w:tcPr/>
          <w:p>
            <w:pPr>
              <w:pStyle w:val="Compact"/>
              <w:spacing w:before="8" w:after="8" w:line="240" w:lineRule="auto"/>
              <w:ind w:firstLine="0" w:left="0" w:right="0"/>
              <w:jc w:val="left"/>
              <w:jc w:val="center"/>
            </w:pPr>
            <w:r>
              <w:rPr>
                <w:rFonts w:ascii="Calibri" w:hAnsi="Calibri"/>
                <w:sz w:val="15"/>
              </w:rPr>
              <w:t xml:space="preserve">Model developer</w:t>
            </w:r>
          </w:p>
        </w:tc>
        <w:tc>
          <w:tcPr/>
          <w:p>
            <w:pPr>
              <w:pStyle w:val="Compact"/>
              <w:spacing w:before="8" w:after="8" w:line="240" w:lineRule="auto"/>
              <w:ind w:firstLine="0" w:left="0" w:right="0"/>
              <w:jc w:val="right"/>
              <w:jc w:val="center"/>
            </w:pPr>
            <w:r>
              <w:rPr>
                <w:rFonts w:ascii="Calibri" w:hAnsi="Calibri"/>
                <w:sz w:val="15"/>
              </w:rPr>
              <w:t xml:space="preserve">4.8%</w:t>
            </w:r>
          </w:p>
        </w:tc>
        <w:tc>
          <w:tcPr/>
          <w:p>
            <w:pPr>
              <w:pStyle w:val="Compact"/>
              <w:spacing w:before="8" w:after="8" w:line="240" w:lineRule="auto"/>
              <w:ind w:firstLine="0" w:left="0" w:right="0"/>
              <w:jc w:val="left"/>
              <w:jc w:val="center"/>
            </w:pPr>
            <w:r>
              <w:rPr>
                <w:rFonts w:ascii="Calibri" w:hAnsi="Calibri"/>
                <w:sz w:val="15"/>
              </w:rPr>
              <w:t xml:space="preserve">stable diffusion, stability ai, nxp semiconductors, elevenlabs, stmicroelectronics, black forest labs</w:t>
            </w:r>
          </w:p>
        </w:tc>
      </w:tr>
      <w:tr>
        <w:trPr>
          <w:cantSplit/>
        </w:trPr>
        <w:tc>
          <w:tcPr/>
          <w:p>
            <w:pPr>
              <w:pStyle w:val="Compact"/>
              <w:spacing w:before="8" w:after="8" w:line="240" w:lineRule="auto"/>
              <w:ind w:firstLine="0" w:left="0" w:right="0"/>
              <w:jc w:val="left"/>
              <w:jc w:val="center"/>
            </w:pPr>
            <w:r>
              <w:rPr>
                <w:rFonts w:ascii="Calibri" w:hAnsi="Calibri"/>
                <w:sz w:val="15"/>
              </w:rPr>
              <w:t xml:space="preserve">TSMC</w:t>
            </w:r>
          </w:p>
        </w:tc>
        <w:tc>
          <w:tcPr/>
          <w:p>
            <w:pPr>
              <w:pStyle w:val="Compact"/>
              <w:spacing w:before="8" w:after="8" w:line="240" w:lineRule="auto"/>
              <w:ind w:firstLine="0" w:left="0" w:right="0"/>
              <w:jc w:val="left"/>
              <w:jc w:val="center"/>
            </w:pPr>
            <w:r>
              <w:rPr>
                <w:rFonts w:ascii="Calibri" w:hAnsi="Calibri"/>
                <w:sz w:val="15"/>
              </w:rPr>
              <w:t xml:space="preserve">Taiwan</w:t>
            </w:r>
          </w:p>
        </w:tc>
        <w:tc>
          <w:tcPr/>
          <w:p>
            <w:pPr>
              <w:pStyle w:val="Compact"/>
              <w:spacing w:before="8" w:after="8" w:line="240" w:lineRule="auto"/>
              <w:ind w:firstLine="0" w:left="0" w:right="0"/>
              <w:jc w:val="left"/>
              <w:jc w:val="center"/>
            </w:pPr>
            <w:r>
              <w:rPr>
                <w:rFonts w:ascii="Calibri" w:hAnsi="Calibri"/>
                <w:sz w:val="15"/>
              </w:rPr>
              <w:t xml:space="preserve">Semiconductor</w:t>
            </w:r>
          </w:p>
        </w:tc>
        <w:tc>
          <w:tcPr/>
          <w:p>
            <w:pPr>
              <w:pStyle w:val="Compact"/>
              <w:spacing w:before="8" w:after="8" w:line="240" w:lineRule="auto"/>
              <w:ind w:firstLine="0" w:left="0" w:right="0"/>
              <w:jc w:val="right"/>
              <w:jc w:val="center"/>
            </w:pPr>
            <w:r>
              <w:rPr>
                <w:rFonts w:ascii="Calibri" w:hAnsi="Calibri"/>
                <w:sz w:val="15"/>
              </w:rPr>
              <w:t xml:space="preserve">4.8%</w:t>
            </w:r>
          </w:p>
        </w:tc>
        <w:tc>
          <w:tcPr/>
          <w:p>
            <w:pPr>
              <w:pStyle w:val="Compact"/>
              <w:spacing w:before="8" w:after="8" w:line="240" w:lineRule="auto"/>
              <w:ind w:firstLine="0" w:left="0" w:right="0"/>
              <w:jc w:val="left"/>
              <w:jc w:val="center"/>
            </w:pPr>
            <w:r>
              <w:rPr>
                <w:rFonts w:ascii="Calibri" w:hAnsi="Calibri"/>
                <w:sz w:val="15"/>
              </w:rPr>
              <w:t xml:space="preserve">tsmc, mediatek, foxconn, wistron, taiwan semiconductor</w:t>
            </w:r>
          </w:p>
        </w:tc>
      </w:tr>
      <w:tr>
        <w:trPr>
          <w:cantSplit/>
        </w:trPr>
        <w:tc>
          <w:tcPr/>
          <w:p>
            <w:pPr>
              <w:pStyle w:val="Compact"/>
              <w:spacing w:before="8" w:after="8" w:line="240" w:lineRule="auto"/>
              <w:ind w:firstLine="0" w:left="0" w:right="0"/>
              <w:jc w:val="left"/>
              <w:jc w:val="center"/>
            </w:pPr>
            <w:r>
              <w:rPr>
                <w:rFonts w:ascii="Calibri" w:hAnsi="Calibri"/>
                <w:sz w:val="15"/>
              </w:rPr>
              <w:t xml:space="preserve">Other US developers</w:t>
            </w:r>
          </w:p>
        </w:tc>
        <w:tc>
          <w:tcPr/>
          <w:p>
            <w:pPr>
              <w:pStyle w:val="Compact"/>
              <w:spacing w:before="8" w:after="8" w:line="240" w:lineRule="auto"/>
              <w:ind w:firstLine="0" w:left="0" w:right="0"/>
              <w:jc w:val="left"/>
              <w:jc w:val="center"/>
            </w:pPr>
            <w:r>
              <w:rPr>
                <w:rFonts w:ascii="Calibri" w:hAnsi="Calibri"/>
                <w:sz w:val="15"/>
              </w:rPr>
              <w:t xml:space="preserve">United States</w:t>
            </w:r>
          </w:p>
        </w:tc>
        <w:tc>
          <w:tcPr/>
          <w:p>
            <w:pPr>
              <w:pStyle w:val="Compact"/>
              <w:spacing w:before="8" w:after="8" w:line="240" w:lineRule="auto"/>
              <w:ind w:firstLine="0" w:left="0" w:right="0"/>
              <w:jc w:val="left"/>
              <w:jc w:val="center"/>
            </w:pPr>
            <w:r>
              <w:rPr>
                <w:rFonts w:ascii="Calibri" w:hAnsi="Calibri"/>
                <w:sz w:val="15"/>
              </w:rPr>
              <w:t xml:space="preserve">Model developer</w:t>
            </w:r>
          </w:p>
        </w:tc>
        <w:tc>
          <w:tcPr/>
          <w:p>
            <w:pPr>
              <w:pStyle w:val="Compact"/>
              <w:spacing w:before="8" w:after="8" w:line="240" w:lineRule="auto"/>
              <w:ind w:firstLine="0" w:left="0" w:right="0"/>
              <w:jc w:val="right"/>
              <w:jc w:val="center"/>
            </w:pPr>
            <w:r>
              <w:rPr>
                <w:rFonts w:ascii="Calibri" w:hAnsi="Calibri"/>
                <w:sz w:val="15"/>
              </w:rPr>
              <w:t xml:space="preserve">4.6%</w:t>
            </w:r>
          </w:p>
        </w:tc>
        <w:tc>
          <w:tcPr/>
          <w:p>
            <w:pPr>
              <w:pStyle w:val="Compact"/>
              <w:spacing w:before="8" w:after="8" w:line="240" w:lineRule="auto"/>
              <w:ind w:firstLine="0" w:left="0" w:right="0"/>
              <w:jc w:val="left"/>
              <w:jc w:val="center"/>
            </w:pPr>
            <w:r>
              <w:rPr>
                <w:rFonts w:ascii="Calibri" w:hAnsi="Calibri"/>
                <w:sz w:val="15"/>
              </w:rPr>
              <w:t xml:space="preserve">kensho, hugging face, c3.ai, c3 ai, figure ai, midjourney</w:t>
            </w:r>
          </w:p>
        </w:tc>
      </w:tr>
      <w:tr>
        <w:trPr>
          <w:cantSplit/>
        </w:trPr>
        <w:tc>
          <w:tcPr/>
          <w:p>
            <w:pPr>
              <w:pStyle w:val="Compact"/>
              <w:spacing w:before="8" w:after="8" w:line="240" w:lineRule="auto"/>
              <w:ind w:firstLine="0" w:left="0" w:right="0"/>
              <w:jc w:val="left"/>
              <w:jc w:val="center"/>
            </w:pPr>
            <w:r>
              <w:rPr>
                <w:rFonts w:ascii="Calibri" w:hAnsi="Calibri"/>
                <w:sz w:val="15"/>
              </w:rPr>
              <w:t xml:space="preserve">Meta</w:t>
            </w:r>
          </w:p>
        </w:tc>
        <w:tc>
          <w:tcPr/>
          <w:p>
            <w:pPr>
              <w:pStyle w:val="Compact"/>
              <w:spacing w:before="8" w:after="8" w:line="240" w:lineRule="auto"/>
              <w:ind w:firstLine="0" w:left="0" w:right="0"/>
              <w:jc w:val="left"/>
              <w:jc w:val="center"/>
            </w:pPr>
            <w:r>
              <w:rPr>
                <w:rFonts w:ascii="Calibri" w:hAnsi="Calibri"/>
                <w:sz w:val="15"/>
              </w:rPr>
              <w:t xml:space="preserve">United States</w:t>
            </w:r>
          </w:p>
        </w:tc>
        <w:tc>
          <w:tcPr/>
          <w:p>
            <w:pPr>
              <w:pStyle w:val="Compact"/>
              <w:spacing w:before="8" w:after="8" w:line="240" w:lineRule="auto"/>
              <w:ind w:firstLine="0" w:left="0" w:right="0"/>
              <w:jc w:val="left"/>
              <w:jc w:val="center"/>
            </w:pPr>
            <w:r>
              <w:rPr>
                <w:rFonts w:ascii="Calibri" w:hAnsi="Calibri"/>
                <w:sz w:val="15"/>
              </w:rPr>
              <w:t xml:space="preserve">Model developer</w:t>
            </w:r>
          </w:p>
        </w:tc>
        <w:tc>
          <w:tcPr/>
          <w:p>
            <w:pPr>
              <w:pStyle w:val="Compact"/>
              <w:spacing w:before="8" w:after="8" w:line="240" w:lineRule="auto"/>
              <w:ind w:firstLine="0" w:left="0" w:right="0"/>
              <w:jc w:val="right"/>
              <w:jc w:val="center"/>
            </w:pPr>
            <w:r>
              <w:rPr>
                <w:rFonts w:ascii="Calibri" w:hAnsi="Calibri"/>
                <w:sz w:val="15"/>
              </w:rPr>
              <w:t xml:space="preserve">4.3%</w:t>
            </w:r>
          </w:p>
        </w:tc>
        <w:tc>
          <w:tcPr/>
          <w:p>
            <w:pPr>
              <w:pStyle w:val="Compact"/>
              <w:spacing w:before="8" w:after="8" w:line="240" w:lineRule="auto"/>
              <w:ind w:firstLine="0" w:left="0" w:right="0"/>
              <w:jc w:val="left"/>
              <w:jc w:val="center"/>
            </w:pPr>
            <w:r>
              <w:rPr>
                <w:rFonts w:ascii="Calibri" w:hAnsi="Calibri"/>
                <w:sz w:val="15"/>
              </w:rPr>
              <w:t xml:space="preserve">llama, meta platforms, pytorch, llama 3, meta ai, llama 4</w:t>
            </w:r>
          </w:p>
        </w:tc>
      </w:tr>
      <w:tr>
        <w:trPr>
          <w:cantSplit/>
        </w:trPr>
        <w:tc>
          <w:tcPr/>
          <w:p>
            <w:pPr>
              <w:pStyle w:val="Compact"/>
              <w:spacing w:before="8" w:after="8" w:line="240" w:lineRule="auto"/>
              <w:ind w:firstLine="0" w:left="0" w:right="0"/>
              <w:jc w:val="left"/>
              <w:jc w:val="center"/>
            </w:pPr>
            <w:r>
              <w:rPr>
                <w:rFonts w:ascii="Calibri" w:hAnsi="Calibri"/>
                <w:sz w:val="15"/>
              </w:rPr>
              <w:t xml:space="preserve">Snowflake</w:t>
            </w:r>
          </w:p>
        </w:tc>
        <w:tc>
          <w:tcPr/>
          <w:p>
            <w:pPr>
              <w:pStyle w:val="Compact"/>
              <w:spacing w:before="8" w:after="8" w:line="240" w:lineRule="auto"/>
              <w:ind w:firstLine="0" w:left="0" w:right="0"/>
              <w:jc w:val="left"/>
              <w:jc w:val="center"/>
            </w:pPr>
            <w:r>
              <w:rPr>
                <w:rFonts w:ascii="Calibri" w:hAnsi="Calibri"/>
                <w:sz w:val="15"/>
              </w:rPr>
              <w:t xml:space="preserve">United States</w:t>
            </w:r>
          </w:p>
        </w:tc>
        <w:tc>
          <w:tcPr/>
          <w:p>
            <w:pPr>
              <w:pStyle w:val="Compact"/>
              <w:spacing w:before="8" w:after="8" w:line="240" w:lineRule="auto"/>
              <w:ind w:firstLine="0" w:left="0" w:right="0"/>
              <w:jc w:val="left"/>
              <w:jc w:val="center"/>
            </w:pPr>
            <w:r>
              <w:rPr>
                <w:rFonts w:ascii="Calibri" w:hAnsi="Calibri"/>
                <w:sz w:val="15"/>
              </w:rPr>
              <w:t xml:space="preserve">Enterprise software</w:t>
            </w:r>
          </w:p>
        </w:tc>
        <w:tc>
          <w:tcPr/>
          <w:p>
            <w:pPr>
              <w:pStyle w:val="Compact"/>
              <w:spacing w:before="8" w:after="8" w:line="240" w:lineRule="auto"/>
              <w:ind w:firstLine="0" w:left="0" w:right="0"/>
              <w:jc w:val="right"/>
              <w:jc w:val="center"/>
            </w:pPr>
            <w:r>
              <w:rPr>
                <w:rFonts w:ascii="Calibri" w:hAnsi="Calibri"/>
                <w:sz w:val="15"/>
              </w:rPr>
              <w:t xml:space="preserve">4.1%</w:t>
            </w:r>
          </w:p>
        </w:tc>
        <w:tc>
          <w:tcPr/>
          <w:p>
            <w:pPr>
              <w:pStyle w:val="Compact"/>
              <w:spacing w:before="8" w:after="8" w:line="240" w:lineRule="auto"/>
              <w:ind w:firstLine="0" w:left="0" w:right="0"/>
              <w:jc w:val="left"/>
              <w:jc w:val="center"/>
            </w:pPr>
            <w:r>
              <w:rPr>
                <w:rFonts w:ascii="Calibri" w:hAnsi="Calibri"/>
                <w:sz w:val="15"/>
              </w:rPr>
              <w:t xml:space="preserve">snowflake</w:t>
            </w:r>
          </w:p>
        </w:tc>
      </w:tr>
      <w:tr>
        <w:trPr>
          <w:cantSplit/>
        </w:trPr>
        <w:tc>
          <w:tcPr/>
          <w:p>
            <w:pPr>
              <w:pStyle w:val="Compact"/>
              <w:spacing w:before="8" w:after="8" w:line="240" w:lineRule="auto"/>
              <w:ind w:firstLine="0" w:left="0" w:right="0"/>
              <w:jc w:val="left"/>
              <w:jc w:val="center"/>
            </w:pPr>
            <w:r>
              <w:rPr>
                <w:rFonts w:ascii="Calibri" w:hAnsi="Calibri"/>
                <w:sz w:val="15"/>
              </w:rPr>
              <w:t xml:space="preserve">Qualcomm</w:t>
            </w:r>
          </w:p>
        </w:tc>
        <w:tc>
          <w:tcPr/>
          <w:p>
            <w:pPr>
              <w:pStyle w:val="Compact"/>
              <w:spacing w:before="8" w:after="8" w:line="240" w:lineRule="auto"/>
              <w:ind w:firstLine="0" w:left="0" w:right="0"/>
              <w:jc w:val="left"/>
              <w:jc w:val="center"/>
            </w:pPr>
            <w:r>
              <w:rPr>
                <w:rFonts w:ascii="Calibri" w:hAnsi="Calibri"/>
                <w:sz w:val="15"/>
              </w:rPr>
              <w:t xml:space="preserve">United States</w:t>
            </w:r>
          </w:p>
        </w:tc>
        <w:tc>
          <w:tcPr/>
          <w:p>
            <w:pPr>
              <w:pStyle w:val="Compact"/>
              <w:spacing w:before="8" w:after="8" w:line="240" w:lineRule="auto"/>
              <w:ind w:firstLine="0" w:left="0" w:right="0"/>
              <w:jc w:val="left"/>
              <w:jc w:val="center"/>
            </w:pPr>
            <w:r>
              <w:rPr>
                <w:rFonts w:ascii="Calibri" w:hAnsi="Calibri"/>
                <w:sz w:val="15"/>
              </w:rPr>
              <w:t xml:space="preserve">Semiconductor</w:t>
            </w:r>
          </w:p>
        </w:tc>
        <w:tc>
          <w:tcPr/>
          <w:p>
            <w:pPr>
              <w:pStyle w:val="Compact"/>
              <w:spacing w:before="8" w:after="8" w:line="240" w:lineRule="auto"/>
              <w:ind w:firstLine="0" w:left="0" w:right="0"/>
              <w:jc w:val="right"/>
              <w:jc w:val="center"/>
            </w:pPr>
            <w:r>
              <w:rPr>
                <w:rFonts w:ascii="Calibri" w:hAnsi="Calibri"/>
                <w:sz w:val="15"/>
              </w:rPr>
              <w:t xml:space="preserve">3.9%</w:t>
            </w:r>
          </w:p>
        </w:tc>
        <w:tc>
          <w:tcPr/>
          <w:p>
            <w:pPr>
              <w:pStyle w:val="Compact"/>
              <w:spacing w:before="8" w:after="8" w:line="240" w:lineRule="auto"/>
              <w:ind w:firstLine="0" w:left="0" w:right="0"/>
              <w:jc w:val="left"/>
              <w:jc w:val="center"/>
            </w:pPr>
            <w:r>
              <w:rPr>
                <w:rFonts w:ascii="Calibri" w:hAnsi="Calibri"/>
                <w:sz w:val="15"/>
              </w:rPr>
              <w:t xml:space="preserve">qualcomm, snapdragon</w:t>
            </w:r>
          </w:p>
        </w:tc>
      </w:tr>
      <w:tr>
        <w:trPr>
          <w:cantSplit/>
        </w:trPr>
        <w:tc>
          <w:tcPr/>
          <w:p>
            <w:pPr>
              <w:pStyle w:val="Compact"/>
              <w:spacing w:before="8" w:after="8" w:line="240" w:lineRule="auto"/>
              <w:ind w:firstLine="0" w:left="0" w:right="0"/>
              <w:jc w:val="left"/>
              <w:jc w:val="center"/>
            </w:pPr>
            <w:r>
              <w:rPr>
                <w:rFonts w:ascii="Calibri" w:hAnsi="Calibri"/>
                <w:sz w:val="15"/>
              </w:rPr>
              <w:t xml:space="preserve">Databricks</w:t>
            </w:r>
          </w:p>
        </w:tc>
        <w:tc>
          <w:tcPr/>
          <w:p>
            <w:pPr>
              <w:pStyle w:val="Compact"/>
              <w:spacing w:before="8" w:after="8" w:line="240" w:lineRule="auto"/>
              <w:ind w:firstLine="0" w:left="0" w:right="0"/>
              <w:jc w:val="left"/>
              <w:jc w:val="center"/>
            </w:pPr>
            <w:r>
              <w:rPr>
                <w:rFonts w:ascii="Calibri" w:hAnsi="Calibri"/>
                <w:sz w:val="15"/>
              </w:rPr>
              <w:t xml:space="preserve">United States</w:t>
            </w:r>
          </w:p>
        </w:tc>
        <w:tc>
          <w:tcPr/>
          <w:p>
            <w:pPr>
              <w:pStyle w:val="Compact"/>
              <w:spacing w:before="8" w:after="8" w:line="240" w:lineRule="auto"/>
              <w:ind w:firstLine="0" w:left="0" w:right="0"/>
              <w:jc w:val="left"/>
              <w:jc w:val="center"/>
            </w:pPr>
            <w:r>
              <w:rPr>
                <w:rFonts w:ascii="Calibri" w:hAnsi="Calibri"/>
                <w:sz w:val="15"/>
              </w:rPr>
              <w:t xml:space="preserve">Cloud infrastructure</w:t>
            </w:r>
          </w:p>
        </w:tc>
        <w:tc>
          <w:tcPr/>
          <w:p>
            <w:pPr>
              <w:pStyle w:val="Compact"/>
              <w:spacing w:before="8" w:after="8" w:line="240" w:lineRule="auto"/>
              <w:ind w:firstLine="0" w:left="0" w:right="0"/>
              <w:jc w:val="right"/>
              <w:jc w:val="center"/>
            </w:pPr>
            <w:r>
              <w:rPr>
                <w:rFonts w:ascii="Calibri" w:hAnsi="Calibri"/>
                <w:sz w:val="15"/>
              </w:rPr>
              <w:t xml:space="preserve">3.5%</w:t>
            </w:r>
          </w:p>
        </w:tc>
        <w:tc>
          <w:tcPr/>
          <w:p>
            <w:pPr>
              <w:pStyle w:val="Compact"/>
              <w:spacing w:before="8" w:after="8" w:line="240" w:lineRule="auto"/>
              <w:ind w:firstLine="0" w:left="0" w:right="0"/>
              <w:jc w:val="left"/>
              <w:jc w:val="center"/>
            </w:pPr>
            <w:r>
              <w:rPr>
                <w:rFonts w:ascii="Calibri" w:hAnsi="Calibri"/>
                <w:sz w:val="15"/>
              </w:rPr>
              <w:t xml:space="preserve">databricks, mosaicml, dbrx, mosaic ml</w:t>
            </w:r>
          </w:p>
        </w:tc>
      </w:tr>
      <w:tr>
        <w:trPr>
          <w:cantSplit/>
        </w:trPr>
        <w:tc>
          <w:tcPr/>
          <w:p>
            <w:pPr>
              <w:pStyle w:val="Compact"/>
              <w:spacing w:before="8" w:after="8" w:line="240" w:lineRule="auto"/>
              <w:ind w:firstLine="0" w:left="0" w:right="0"/>
              <w:jc w:val="left"/>
              <w:jc w:val="center"/>
            </w:pPr>
            <w:r>
              <w:rPr>
                <w:rFonts w:ascii="Calibri" w:hAnsi="Calibri"/>
                <w:sz w:val="15"/>
              </w:rPr>
              <w:t xml:space="preserve">Micron</w:t>
            </w:r>
          </w:p>
        </w:tc>
        <w:tc>
          <w:tcPr/>
          <w:p>
            <w:pPr>
              <w:pStyle w:val="Compact"/>
              <w:spacing w:before="8" w:after="8" w:line="240" w:lineRule="auto"/>
              <w:ind w:firstLine="0" w:left="0" w:right="0"/>
              <w:jc w:val="left"/>
              <w:jc w:val="center"/>
            </w:pPr>
            <w:r>
              <w:rPr>
                <w:rFonts w:ascii="Calibri" w:hAnsi="Calibri"/>
                <w:sz w:val="15"/>
              </w:rPr>
              <w:t xml:space="preserve">United States</w:t>
            </w:r>
          </w:p>
        </w:tc>
        <w:tc>
          <w:tcPr/>
          <w:p>
            <w:pPr>
              <w:pStyle w:val="Compact"/>
              <w:spacing w:before="8" w:after="8" w:line="240" w:lineRule="auto"/>
              <w:ind w:firstLine="0" w:left="0" w:right="0"/>
              <w:jc w:val="left"/>
              <w:jc w:val="center"/>
            </w:pPr>
            <w:r>
              <w:rPr>
                <w:rFonts w:ascii="Calibri" w:hAnsi="Calibri"/>
                <w:sz w:val="15"/>
              </w:rPr>
              <w:t xml:space="preserve">Semiconductor</w:t>
            </w:r>
          </w:p>
        </w:tc>
        <w:tc>
          <w:tcPr/>
          <w:p>
            <w:pPr>
              <w:pStyle w:val="Compact"/>
              <w:spacing w:before="8" w:after="8" w:line="240" w:lineRule="auto"/>
              <w:ind w:firstLine="0" w:left="0" w:right="0"/>
              <w:jc w:val="right"/>
              <w:jc w:val="center"/>
            </w:pPr>
            <w:r>
              <w:rPr>
                <w:rFonts w:ascii="Calibri" w:hAnsi="Calibri"/>
                <w:sz w:val="15"/>
              </w:rPr>
              <w:t xml:space="preserve">3.1%</w:t>
            </w:r>
          </w:p>
        </w:tc>
        <w:tc>
          <w:tcPr/>
          <w:p>
            <w:pPr>
              <w:pStyle w:val="Compact"/>
              <w:spacing w:before="8" w:after="8" w:line="240" w:lineRule="auto"/>
              <w:ind w:firstLine="0" w:left="0" w:right="0"/>
              <w:jc w:val="left"/>
              <w:jc w:val="center"/>
            </w:pPr>
            <w:r>
              <w:rPr>
                <w:rFonts w:ascii="Calibri" w:hAnsi="Calibri"/>
                <w:sz w:val="15"/>
              </w:rPr>
              <w:t xml:space="preserve">micron, hbm3e</w:t>
            </w:r>
          </w:p>
        </w:tc>
      </w:tr>
      <w:tr>
        <w:trPr>
          <w:cantSplit/>
        </w:trPr>
        <w:tc>
          <w:tcPr/>
          <w:p>
            <w:pPr>
              <w:pStyle w:val="Compact"/>
              <w:spacing w:before="8" w:after="8" w:line="240" w:lineRule="auto"/>
              <w:ind w:firstLine="0" w:left="0" w:right="0"/>
              <w:jc w:val="left"/>
              <w:jc w:val="center"/>
            </w:pPr>
            <w:r>
              <w:rPr>
                <w:rFonts w:ascii="Calibri" w:hAnsi="Calibri"/>
                <w:sz w:val="15"/>
              </w:rPr>
              <w:t xml:space="preserve">Synopsys</w:t>
            </w:r>
          </w:p>
        </w:tc>
        <w:tc>
          <w:tcPr/>
          <w:p>
            <w:pPr>
              <w:pStyle w:val="Compact"/>
              <w:spacing w:before="8" w:after="8" w:line="240" w:lineRule="auto"/>
              <w:ind w:firstLine="0" w:left="0" w:right="0"/>
              <w:jc w:val="left"/>
              <w:jc w:val="center"/>
            </w:pPr>
            <w:r>
              <w:rPr>
                <w:rFonts w:ascii="Calibri" w:hAnsi="Calibri"/>
                <w:sz w:val="15"/>
              </w:rPr>
              <w:t xml:space="preserve">United States</w:t>
            </w:r>
          </w:p>
        </w:tc>
        <w:tc>
          <w:tcPr/>
          <w:p>
            <w:pPr>
              <w:pStyle w:val="Compact"/>
              <w:spacing w:before="8" w:after="8" w:line="240" w:lineRule="auto"/>
              <w:ind w:firstLine="0" w:left="0" w:right="0"/>
              <w:jc w:val="left"/>
              <w:jc w:val="center"/>
            </w:pPr>
            <w:r>
              <w:rPr>
                <w:rFonts w:ascii="Calibri" w:hAnsi="Calibri"/>
                <w:sz w:val="15"/>
              </w:rPr>
              <w:t xml:space="preserve">Semiconductor</w:t>
            </w:r>
          </w:p>
        </w:tc>
        <w:tc>
          <w:tcPr/>
          <w:p>
            <w:pPr>
              <w:pStyle w:val="Compact"/>
              <w:spacing w:before="8" w:after="8" w:line="240" w:lineRule="auto"/>
              <w:ind w:firstLine="0" w:left="0" w:right="0"/>
              <w:jc w:val="right"/>
              <w:jc w:val="center"/>
            </w:pPr>
            <w:r>
              <w:rPr>
                <w:rFonts w:ascii="Calibri" w:hAnsi="Calibri"/>
                <w:sz w:val="15"/>
              </w:rPr>
              <w:t xml:space="preserve">3.1%</w:t>
            </w:r>
          </w:p>
        </w:tc>
        <w:tc>
          <w:tcPr/>
          <w:p>
            <w:pPr>
              <w:pStyle w:val="Compact"/>
              <w:spacing w:before="8" w:after="8" w:line="240" w:lineRule="auto"/>
              <w:ind w:firstLine="0" w:left="0" w:right="0"/>
              <w:jc w:val="left"/>
              <w:jc w:val="center"/>
            </w:pPr>
            <w:r>
              <w:rPr>
                <w:rFonts w:ascii="Calibri" w:hAnsi="Calibri"/>
                <w:sz w:val="15"/>
              </w:rPr>
              <w:t xml:space="preserve">synopsys, cadence design systems, ansys simai</w:t>
            </w:r>
          </w:p>
        </w:tc>
      </w:tr>
      <w:tr>
        <w:trPr>
          <w:cantSplit/>
        </w:trPr>
        <w:tc>
          <w:tcPr/>
          <w:p>
            <w:pPr>
              <w:pStyle w:val="Compact"/>
              <w:spacing w:before="8" w:after="8" w:line="240" w:lineRule="auto"/>
              <w:ind w:firstLine="0" w:left="0" w:right="0"/>
              <w:jc w:val="left"/>
              <w:jc w:val="center"/>
            </w:pPr>
            <w:r>
              <w:rPr>
                <w:rFonts w:ascii="Calibri" w:hAnsi="Calibri"/>
                <w:sz w:val="15"/>
              </w:rPr>
              <w:t xml:space="preserve">AI chip challengers</w:t>
            </w:r>
          </w:p>
        </w:tc>
        <w:tc>
          <w:tcPr/>
          <w:p>
            <w:pPr>
              <w:pStyle w:val="Compact"/>
              <w:spacing w:before="8" w:after="8" w:line="240" w:lineRule="auto"/>
              <w:ind w:firstLine="0" w:left="0" w:right="0"/>
              <w:jc w:val="left"/>
              <w:jc w:val="center"/>
            </w:pPr>
            <w:r>
              <w:rPr>
                <w:rFonts w:ascii="Calibri" w:hAnsi="Calibri"/>
                <w:sz w:val="15"/>
              </w:rPr>
              <w:t xml:space="preserve">United States</w:t>
            </w:r>
          </w:p>
        </w:tc>
        <w:tc>
          <w:tcPr/>
          <w:p>
            <w:pPr>
              <w:pStyle w:val="Compact"/>
              <w:spacing w:before="8" w:after="8" w:line="240" w:lineRule="auto"/>
              <w:ind w:firstLine="0" w:left="0" w:right="0"/>
              <w:jc w:val="left"/>
              <w:jc w:val="center"/>
            </w:pPr>
            <w:r>
              <w:rPr>
                <w:rFonts w:ascii="Calibri" w:hAnsi="Calibri"/>
                <w:sz w:val="15"/>
              </w:rPr>
              <w:t xml:space="preserve">Semiconductor</w:t>
            </w:r>
          </w:p>
        </w:tc>
        <w:tc>
          <w:tcPr/>
          <w:p>
            <w:pPr>
              <w:pStyle w:val="Compact"/>
              <w:spacing w:before="8" w:after="8" w:line="240" w:lineRule="auto"/>
              <w:ind w:firstLine="0" w:left="0" w:right="0"/>
              <w:jc w:val="right"/>
              <w:jc w:val="center"/>
            </w:pPr>
            <w:r>
              <w:rPr>
                <w:rFonts w:ascii="Calibri" w:hAnsi="Calibri"/>
                <w:sz w:val="15"/>
              </w:rPr>
              <w:t xml:space="preserve">2.9%</w:t>
            </w:r>
          </w:p>
        </w:tc>
        <w:tc>
          <w:tcPr/>
          <w:p>
            <w:pPr>
              <w:pStyle w:val="Compact"/>
              <w:spacing w:before="8" w:after="8" w:line="240" w:lineRule="auto"/>
              <w:ind w:firstLine="0" w:left="0" w:right="0"/>
              <w:jc w:val="left"/>
              <w:jc w:val="center"/>
            </w:pPr>
            <w:r>
              <w:rPr>
                <w:rFonts w:ascii="Calibri" w:hAnsi="Calibri"/>
                <w:sz w:val="15"/>
              </w:rPr>
              <w:t xml:space="preserve">groq, cerebras, tenstorrent, sambanova</w:t>
            </w:r>
          </w:p>
        </w:tc>
      </w:tr>
      <w:tr>
        <w:trPr>
          <w:cantSplit/>
        </w:trPr>
        <w:tc>
          <w:tcPr/>
          <w:p>
            <w:pPr>
              <w:pStyle w:val="Compact"/>
              <w:spacing w:before="8" w:after="8" w:line="240" w:lineRule="auto"/>
              <w:ind w:firstLine="0" w:left="0" w:right="0"/>
              <w:jc w:val="left"/>
              <w:jc w:val="center"/>
            </w:pPr>
            <w:r>
              <w:rPr>
                <w:rFonts w:ascii="Calibri" w:hAnsi="Calibri"/>
                <w:sz w:val="15"/>
              </w:rPr>
              <w:t xml:space="preserve">xAI</w:t>
            </w:r>
          </w:p>
        </w:tc>
        <w:tc>
          <w:tcPr/>
          <w:p>
            <w:pPr>
              <w:pStyle w:val="Compact"/>
              <w:spacing w:before="8" w:after="8" w:line="240" w:lineRule="auto"/>
              <w:ind w:firstLine="0" w:left="0" w:right="0"/>
              <w:jc w:val="left"/>
              <w:jc w:val="center"/>
            </w:pPr>
            <w:r>
              <w:rPr>
                <w:rFonts w:ascii="Calibri" w:hAnsi="Calibri"/>
                <w:sz w:val="15"/>
              </w:rPr>
              <w:t xml:space="preserve">United States</w:t>
            </w:r>
          </w:p>
        </w:tc>
        <w:tc>
          <w:tcPr/>
          <w:p>
            <w:pPr>
              <w:pStyle w:val="Compact"/>
              <w:spacing w:before="8" w:after="8" w:line="240" w:lineRule="auto"/>
              <w:ind w:firstLine="0" w:left="0" w:right="0"/>
              <w:jc w:val="left"/>
              <w:jc w:val="center"/>
            </w:pPr>
            <w:r>
              <w:rPr>
                <w:rFonts w:ascii="Calibri" w:hAnsi="Calibri"/>
                <w:sz w:val="15"/>
              </w:rPr>
              <w:t xml:space="preserve">Model developer</w:t>
            </w:r>
          </w:p>
        </w:tc>
        <w:tc>
          <w:tcPr/>
          <w:p>
            <w:pPr>
              <w:pStyle w:val="Compact"/>
              <w:spacing w:before="8" w:after="8" w:line="240" w:lineRule="auto"/>
              <w:ind w:firstLine="0" w:left="0" w:right="0"/>
              <w:jc w:val="right"/>
              <w:jc w:val="center"/>
            </w:pPr>
            <w:r>
              <w:rPr>
                <w:rFonts w:ascii="Calibri" w:hAnsi="Calibri"/>
                <w:sz w:val="15"/>
              </w:rPr>
              <w:t xml:space="preserve">2.5%</w:t>
            </w:r>
          </w:p>
        </w:tc>
        <w:tc>
          <w:tcPr/>
          <w:p>
            <w:pPr>
              <w:pStyle w:val="Compact"/>
              <w:spacing w:before="8" w:after="8" w:line="240" w:lineRule="auto"/>
              <w:ind w:firstLine="0" w:left="0" w:right="0"/>
              <w:jc w:val="left"/>
              <w:jc w:val="center"/>
            </w:pPr>
            <w:r>
              <w:rPr>
                <w:rFonts w:ascii="Calibri" w:hAnsi="Calibri"/>
                <w:sz w:val="15"/>
              </w:rPr>
              <w:t xml:space="preserve">xai, grok, x.ai</w:t>
            </w:r>
          </w:p>
        </w:tc>
      </w:tr>
      <w:tr>
        <w:trPr>
          <w:cantSplit/>
        </w:trPr>
        <w:tc>
          <w:tcPr/>
          <w:p>
            <w:pPr>
              <w:pStyle w:val="Compact"/>
              <w:spacing w:before="8" w:after="8" w:line="240" w:lineRule="auto"/>
              <w:ind w:firstLine="0" w:left="0" w:right="0"/>
              <w:jc w:val="left"/>
              <w:jc w:val="center"/>
            </w:pPr>
            <w:r>
              <w:rPr>
                <w:rFonts w:ascii="Calibri" w:hAnsi="Calibri"/>
                <w:sz w:val="15"/>
              </w:rPr>
              <w:t xml:space="preserve">Alibaba</w:t>
            </w:r>
          </w:p>
        </w:tc>
        <w:tc>
          <w:tcPr/>
          <w:p>
            <w:pPr>
              <w:pStyle w:val="Compact"/>
              <w:spacing w:before="8" w:after="8" w:line="240" w:lineRule="auto"/>
              <w:ind w:firstLine="0" w:left="0" w:right="0"/>
              <w:jc w:val="left"/>
              <w:jc w:val="center"/>
            </w:pPr>
            <w:r>
              <w:rPr>
                <w:rFonts w:ascii="Calibri" w:hAnsi="Calibri"/>
                <w:sz w:val="15"/>
              </w:rPr>
              <w:t xml:space="preserve">China</w:t>
            </w:r>
          </w:p>
        </w:tc>
        <w:tc>
          <w:tcPr/>
          <w:p>
            <w:pPr>
              <w:pStyle w:val="Compact"/>
              <w:spacing w:before="8" w:after="8" w:line="240" w:lineRule="auto"/>
              <w:ind w:firstLine="0" w:left="0" w:right="0"/>
              <w:jc w:val="left"/>
              <w:jc w:val="center"/>
            </w:pPr>
            <w:r>
              <w:rPr>
                <w:rFonts w:ascii="Calibri" w:hAnsi="Calibri"/>
                <w:sz w:val="15"/>
              </w:rPr>
              <w:t xml:space="preserve">Model developer</w:t>
            </w:r>
          </w:p>
        </w:tc>
        <w:tc>
          <w:tcPr/>
          <w:p>
            <w:pPr>
              <w:pStyle w:val="Compact"/>
              <w:spacing w:before="8" w:after="8" w:line="240" w:lineRule="auto"/>
              <w:ind w:firstLine="0" w:left="0" w:right="0"/>
              <w:jc w:val="right"/>
              <w:jc w:val="center"/>
            </w:pPr>
            <w:r>
              <w:rPr>
                <w:rFonts w:ascii="Calibri" w:hAnsi="Calibri"/>
                <w:sz w:val="15"/>
              </w:rPr>
              <w:t xml:space="preserve">2.5%</w:t>
            </w:r>
          </w:p>
        </w:tc>
        <w:tc>
          <w:tcPr/>
          <w:p>
            <w:pPr>
              <w:pStyle w:val="Compact"/>
              <w:spacing w:before="8" w:after="8" w:line="240" w:lineRule="auto"/>
              <w:ind w:firstLine="0" w:left="0" w:right="0"/>
              <w:jc w:val="left"/>
              <w:jc w:val="center"/>
            </w:pPr>
            <w:r>
              <w:rPr>
                <w:rFonts w:ascii="Calibri" w:hAnsi="Calibri"/>
                <w:sz w:val="15"/>
              </w:rPr>
              <w:t xml:space="preserve">alibaba, alibaba cloud, qwen</w:t>
            </w:r>
          </w:p>
        </w:tc>
      </w:tr>
      <w:tr>
        <w:trPr>
          <w:cantSplit/>
        </w:trPr>
        <w:tc>
          <w:tcPr/>
          <w:p>
            <w:pPr>
              <w:pStyle w:val="Compact"/>
              <w:spacing w:before="8" w:after="8" w:line="240" w:lineRule="auto"/>
              <w:ind w:firstLine="0" w:left="0" w:right="0"/>
              <w:jc w:val="left"/>
              <w:jc w:val="center"/>
            </w:pPr>
            <w:r>
              <w:rPr>
                <w:rFonts w:ascii="Calibri" w:hAnsi="Calibri"/>
                <w:sz w:val="15"/>
              </w:rPr>
              <w:t xml:space="preserve">Arm</w:t>
            </w:r>
          </w:p>
        </w:tc>
        <w:tc>
          <w:tcPr/>
          <w:p>
            <w:pPr>
              <w:pStyle w:val="Compact"/>
              <w:spacing w:before="8" w:after="8" w:line="240" w:lineRule="auto"/>
              <w:ind w:firstLine="0" w:left="0" w:right="0"/>
              <w:jc w:val="left"/>
              <w:jc w:val="center"/>
            </w:pPr>
            <w:r>
              <w:rPr>
                <w:rFonts w:ascii="Calibri" w:hAnsi="Calibri"/>
                <w:sz w:val="15"/>
              </w:rPr>
              <w:t xml:space="preserve">United Kingdom</w:t>
            </w:r>
          </w:p>
        </w:tc>
        <w:tc>
          <w:tcPr/>
          <w:p>
            <w:pPr>
              <w:pStyle w:val="Compact"/>
              <w:spacing w:before="8" w:after="8" w:line="240" w:lineRule="auto"/>
              <w:ind w:firstLine="0" w:left="0" w:right="0"/>
              <w:jc w:val="left"/>
              <w:jc w:val="center"/>
            </w:pPr>
            <w:r>
              <w:rPr>
                <w:rFonts w:ascii="Calibri" w:hAnsi="Calibri"/>
                <w:sz w:val="15"/>
              </w:rPr>
              <w:t xml:space="preserve">Semiconductor</w:t>
            </w:r>
          </w:p>
        </w:tc>
        <w:tc>
          <w:tcPr/>
          <w:p>
            <w:pPr>
              <w:pStyle w:val="Compact"/>
              <w:spacing w:before="8" w:after="8" w:line="240" w:lineRule="auto"/>
              <w:ind w:firstLine="0" w:left="0" w:right="0"/>
              <w:jc w:val="right"/>
              <w:jc w:val="center"/>
            </w:pPr>
            <w:r>
              <w:rPr>
                <w:rFonts w:ascii="Calibri" w:hAnsi="Calibri"/>
                <w:sz w:val="15"/>
              </w:rPr>
              <w:t xml:space="preserve">2.5%</w:t>
            </w:r>
          </w:p>
        </w:tc>
        <w:tc>
          <w:tcPr/>
          <w:p>
            <w:pPr>
              <w:pStyle w:val="Compact"/>
              <w:spacing w:before="8" w:after="8" w:line="240" w:lineRule="auto"/>
              <w:ind w:firstLine="0" w:left="0" w:right="0"/>
              <w:jc w:val="left"/>
              <w:jc w:val="center"/>
            </w:pPr>
            <w:r>
              <w:rPr>
                <w:rFonts w:ascii="Calibri" w:hAnsi="Calibri"/>
                <w:sz w:val="15"/>
              </w:rPr>
              <w:t xml:space="preserve">arm, arm-based, arm ecosystem, arm holdings, arm cpu, arm architecture</w:t>
            </w:r>
          </w:p>
        </w:tc>
      </w:tr>
      <w:tr>
        <w:trPr>
          <w:cantSplit/>
        </w:trPr>
        <w:tc>
          <w:tcPr/>
          <w:p>
            <w:pPr>
              <w:pStyle w:val="Compact"/>
              <w:spacing w:before="8" w:after="8" w:line="240" w:lineRule="auto"/>
              <w:ind w:firstLine="0" w:left="0" w:right="0"/>
              <w:jc w:val="left"/>
              <w:jc w:val="center"/>
            </w:pPr>
            <w:r>
              <w:rPr>
                <w:rFonts w:ascii="Calibri" w:hAnsi="Calibri"/>
                <w:sz w:val="15"/>
              </w:rPr>
              <w:t xml:space="preserve">CoreWeave</w:t>
            </w:r>
          </w:p>
        </w:tc>
        <w:tc>
          <w:tcPr/>
          <w:p>
            <w:pPr>
              <w:pStyle w:val="Compact"/>
              <w:spacing w:before="8" w:after="8" w:line="240" w:lineRule="auto"/>
              <w:ind w:firstLine="0" w:left="0" w:right="0"/>
              <w:jc w:val="left"/>
              <w:jc w:val="center"/>
            </w:pPr>
            <w:r>
              <w:rPr>
                <w:rFonts w:ascii="Calibri" w:hAnsi="Calibri"/>
                <w:sz w:val="15"/>
              </w:rPr>
              <w:t xml:space="preserve">United States</w:t>
            </w:r>
          </w:p>
        </w:tc>
        <w:tc>
          <w:tcPr/>
          <w:p>
            <w:pPr>
              <w:pStyle w:val="Compact"/>
              <w:spacing w:before="8" w:after="8" w:line="240" w:lineRule="auto"/>
              <w:ind w:firstLine="0" w:left="0" w:right="0"/>
              <w:jc w:val="left"/>
              <w:jc w:val="center"/>
            </w:pPr>
            <w:r>
              <w:rPr>
                <w:rFonts w:ascii="Calibri" w:hAnsi="Calibri"/>
                <w:sz w:val="15"/>
              </w:rPr>
              <w:t xml:space="preserve">Cloud infrastructure</w:t>
            </w:r>
          </w:p>
        </w:tc>
        <w:tc>
          <w:tcPr/>
          <w:p>
            <w:pPr>
              <w:pStyle w:val="Compact"/>
              <w:spacing w:before="8" w:after="8" w:line="240" w:lineRule="auto"/>
              <w:ind w:firstLine="0" w:left="0" w:right="0"/>
              <w:jc w:val="right"/>
              <w:jc w:val="center"/>
            </w:pPr>
            <w:r>
              <w:rPr>
                <w:rFonts w:ascii="Calibri" w:hAnsi="Calibri"/>
                <w:sz w:val="15"/>
              </w:rPr>
              <w:t xml:space="preserve">1.9%</w:t>
            </w:r>
          </w:p>
        </w:tc>
        <w:tc>
          <w:tcPr/>
          <w:p>
            <w:pPr>
              <w:pStyle w:val="Compact"/>
              <w:spacing w:before="8" w:after="8" w:line="240" w:lineRule="auto"/>
              <w:ind w:firstLine="0" w:left="0" w:right="0"/>
              <w:jc w:val="left"/>
              <w:jc w:val="center"/>
            </w:pPr>
            <w:r>
              <w:rPr>
                <w:rFonts w:ascii="Calibri" w:hAnsi="Calibri"/>
                <w:sz w:val="15"/>
              </w:rPr>
              <w:t xml:space="preserve">coreweave, crusoe energy</w:t>
            </w:r>
          </w:p>
        </w:tc>
      </w:tr>
      <w:tr>
        <w:trPr>
          <w:cantSplit/>
        </w:trPr>
        <w:tc>
          <w:tcPr/>
          <w:p>
            <w:pPr>
              <w:pStyle w:val="Compact"/>
              <w:spacing w:before="8" w:after="8" w:line="240" w:lineRule="auto"/>
              <w:ind w:firstLine="0" w:left="0" w:right="0"/>
              <w:jc w:val="left"/>
              <w:jc w:val="center"/>
            </w:pPr>
            <w:r>
              <w:rPr>
                <w:rFonts w:ascii="Calibri" w:hAnsi="Calibri"/>
                <w:sz w:val="15"/>
              </w:rPr>
              <w:t xml:space="preserve">Huawei</w:t>
            </w:r>
          </w:p>
        </w:tc>
        <w:tc>
          <w:tcPr/>
          <w:p>
            <w:pPr>
              <w:pStyle w:val="Compact"/>
              <w:spacing w:before="8" w:after="8" w:line="240" w:lineRule="auto"/>
              <w:ind w:firstLine="0" w:left="0" w:right="0"/>
              <w:jc w:val="left"/>
              <w:jc w:val="center"/>
            </w:pPr>
            <w:r>
              <w:rPr>
                <w:rFonts w:ascii="Calibri" w:hAnsi="Calibri"/>
                <w:sz w:val="15"/>
              </w:rPr>
              <w:t xml:space="preserve">China</w:t>
            </w:r>
          </w:p>
        </w:tc>
        <w:tc>
          <w:tcPr/>
          <w:p>
            <w:pPr>
              <w:pStyle w:val="Compact"/>
              <w:spacing w:before="8" w:after="8" w:line="240" w:lineRule="auto"/>
              <w:ind w:firstLine="0" w:left="0" w:right="0"/>
              <w:jc w:val="left"/>
              <w:jc w:val="center"/>
            </w:pPr>
            <w:r>
              <w:rPr>
                <w:rFonts w:ascii="Calibri" w:hAnsi="Calibri"/>
                <w:sz w:val="15"/>
              </w:rPr>
              <w:t xml:space="preserve">Semiconductor</w:t>
            </w:r>
          </w:p>
        </w:tc>
        <w:tc>
          <w:tcPr/>
          <w:p>
            <w:pPr>
              <w:pStyle w:val="Compact"/>
              <w:spacing w:before="8" w:after="8" w:line="240" w:lineRule="auto"/>
              <w:ind w:firstLine="0" w:left="0" w:right="0"/>
              <w:jc w:val="right"/>
              <w:jc w:val="center"/>
            </w:pPr>
            <w:r>
              <w:rPr>
                <w:rFonts w:ascii="Calibri" w:hAnsi="Calibri"/>
                <w:sz w:val="15"/>
              </w:rPr>
              <w:t xml:space="preserve">1.9%</w:t>
            </w:r>
          </w:p>
        </w:tc>
        <w:tc>
          <w:tcPr/>
          <w:p>
            <w:pPr>
              <w:pStyle w:val="Compact"/>
              <w:spacing w:before="8" w:after="8" w:line="240" w:lineRule="auto"/>
              <w:ind w:firstLine="0" w:left="0" w:right="0"/>
              <w:jc w:val="left"/>
              <w:jc w:val="center"/>
            </w:pPr>
            <w:r>
              <w:rPr>
                <w:rFonts w:ascii="Calibri" w:hAnsi="Calibri"/>
                <w:sz w:val="15"/>
              </w:rPr>
              <w:t xml:space="preserve">huawei</w:t>
            </w:r>
          </w:p>
        </w:tc>
      </w:tr>
      <w:tr>
        <w:trPr>
          <w:cantSplit/>
        </w:trPr>
        <w:tc>
          <w:tcPr/>
          <w:p>
            <w:pPr>
              <w:pStyle w:val="Compact"/>
              <w:spacing w:before="8" w:after="8" w:line="240" w:lineRule="auto"/>
              <w:ind w:firstLine="0" w:left="0" w:right="0"/>
              <w:jc w:val="left"/>
              <w:jc w:val="center"/>
            </w:pPr>
            <w:r>
              <w:rPr>
                <w:rFonts w:ascii="Calibri" w:hAnsi="Calibri"/>
                <w:sz w:val="15"/>
              </w:rPr>
              <w:t xml:space="preserve">Other Chinese developers</w:t>
            </w:r>
          </w:p>
        </w:tc>
        <w:tc>
          <w:tcPr/>
          <w:p>
            <w:pPr>
              <w:pStyle w:val="Compact"/>
              <w:spacing w:before="8" w:after="8" w:line="240" w:lineRule="auto"/>
              <w:ind w:firstLine="0" w:left="0" w:right="0"/>
              <w:jc w:val="left"/>
              <w:jc w:val="center"/>
            </w:pPr>
            <w:r>
              <w:rPr>
                <w:rFonts w:ascii="Calibri" w:hAnsi="Calibri"/>
                <w:sz w:val="15"/>
              </w:rPr>
              <w:t xml:space="preserve">China</w:t>
            </w:r>
          </w:p>
        </w:tc>
        <w:tc>
          <w:tcPr/>
          <w:p>
            <w:pPr>
              <w:pStyle w:val="Compact"/>
              <w:spacing w:before="8" w:after="8" w:line="240" w:lineRule="auto"/>
              <w:ind w:firstLine="0" w:left="0" w:right="0"/>
              <w:jc w:val="left"/>
              <w:jc w:val="center"/>
            </w:pPr>
            <w:r>
              <w:rPr>
                <w:rFonts w:ascii="Calibri" w:hAnsi="Calibri"/>
                <w:sz w:val="15"/>
              </w:rPr>
              <w:t xml:space="preserve">Model developer</w:t>
            </w:r>
          </w:p>
        </w:tc>
        <w:tc>
          <w:tcPr/>
          <w:p>
            <w:pPr>
              <w:pStyle w:val="Compact"/>
              <w:spacing w:before="8" w:after="8" w:line="240" w:lineRule="auto"/>
              <w:ind w:firstLine="0" w:left="0" w:right="0"/>
              <w:jc w:val="right"/>
              <w:jc w:val="center"/>
            </w:pPr>
            <w:r>
              <w:rPr>
                <w:rFonts w:ascii="Calibri" w:hAnsi="Calibri"/>
                <w:sz w:val="15"/>
              </w:rPr>
              <w:t xml:space="preserve">1.9%</w:t>
            </w:r>
          </w:p>
        </w:tc>
        <w:tc>
          <w:tcPr/>
          <w:p>
            <w:pPr>
              <w:pStyle w:val="Compact"/>
              <w:spacing w:before="8" w:after="8" w:line="240" w:lineRule="auto"/>
              <w:ind w:firstLine="0" w:left="0" w:right="0"/>
              <w:jc w:val="left"/>
              <w:jc w:val="center"/>
            </w:pPr>
            <w:r>
              <w:rPr>
                <w:rFonts w:ascii="Calibri" w:hAnsi="Calibri"/>
                <w:sz w:val="15"/>
              </w:rPr>
              <w:t xml:space="preserve">moonshot, kimi, smic, kling</w:t>
            </w:r>
          </w:p>
        </w:tc>
      </w:tr>
      <w:tr>
        <w:trPr>
          <w:cantSplit/>
        </w:trPr>
        <w:tc>
          <w:tcPr/>
          <w:p>
            <w:pPr>
              <w:pStyle w:val="Compact"/>
              <w:spacing w:before="8" w:after="8" w:line="240" w:lineRule="auto"/>
              <w:ind w:firstLine="0" w:left="0" w:right="0"/>
              <w:jc w:val="left"/>
              <w:jc w:val="center"/>
            </w:pPr>
            <w:r>
              <w:rPr>
                <w:rFonts w:ascii="Calibri" w:hAnsi="Calibri"/>
                <w:sz w:val="15"/>
              </w:rPr>
              <w:t xml:space="preserve">Mistral AI</w:t>
            </w:r>
          </w:p>
        </w:tc>
        <w:tc>
          <w:tcPr/>
          <w:p>
            <w:pPr>
              <w:pStyle w:val="Compact"/>
              <w:spacing w:before="8" w:after="8" w:line="240" w:lineRule="auto"/>
              <w:ind w:firstLine="0" w:left="0" w:right="0"/>
              <w:jc w:val="left"/>
              <w:jc w:val="center"/>
            </w:pPr>
            <w:r>
              <w:rPr>
                <w:rFonts w:ascii="Calibri" w:hAnsi="Calibri"/>
                <w:sz w:val="15"/>
              </w:rPr>
              <w:t xml:space="preserve">France</w:t>
            </w:r>
          </w:p>
        </w:tc>
        <w:tc>
          <w:tcPr/>
          <w:p>
            <w:pPr>
              <w:pStyle w:val="Compact"/>
              <w:spacing w:before="8" w:after="8" w:line="240" w:lineRule="auto"/>
              <w:ind w:firstLine="0" w:left="0" w:right="0"/>
              <w:jc w:val="left"/>
              <w:jc w:val="center"/>
            </w:pPr>
            <w:r>
              <w:rPr>
                <w:rFonts w:ascii="Calibri" w:hAnsi="Calibri"/>
                <w:sz w:val="15"/>
              </w:rPr>
              <w:t xml:space="preserve">Model developer</w:t>
            </w:r>
          </w:p>
        </w:tc>
        <w:tc>
          <w:tcPr/>
          <w:p>
            <w:pPr>
              <w:pStyle w:val="Compact"/>
              <w:spacing w:before="8" w:after="8" w:line="240" w:lineRule="auto"/>
              <w:ind w:firstLine="0" w:left="0" w:right="0"/>
              <w:jc w:val="right"/>
              <w:jc w:val="center"/>
            </w:pPr>
            <w:r>
              <w:rPr>
                <w:rFonts w:ascii="Calibri" w:hAnsi="Calibri"/>
                <w:sz w:val="15"/>
              </w:rPr>
              <w:t xml:space="preserve">1.9%</w:t>
            </w:r>
          </w:p>
        </w:tc>
        <w:tc>
          <w:tcPr/>
          <w:p>
            <w:pPr>
              <w:pStyle w:val="Compact"/>
              <w:spacing w:before="8" w:after="8" w:line="240" w:lineRule="auto"/>
              <w:ind w:firstLine="0" w:left="0" w:right="0"/>
              <w:jc w:val="left"/>
              <w:jc w:val="center"/>
            </w:pPr>
            <w:r>
              <w:rPr>
                <w:rFonts w:ascii="Calibri" w:hAnsi="Calibri"/>
                <w:sz w:val="15"/>
              </w:rPr>
              <w:t xml:space="preserve">mistral, mistral ai, pixtral, ministral</w:t>
            </w:r>
          </w:p>
        </w:tc>
      </w:tr>
      <w:tr>
        <w:trPr>
          <w:cantSplit/>
        </w:trPr>
        <w:tc>
          <w:tcPr/>
          <w:p>
            <w:pPr>
              <w:pStyle w:val="Compact"/>
              <w:spacing w:before="8" w:after="8" w:line="240" w:lineRule="auto"/>
              <w:ind w:firstLine="0" w:left="0" w:right="0"/>
              <w:jc w:val="left"/>
              <w:jc w:val="center"/>
            </w:pPr>
            <w:r>
              <w:rPr>
                <w:rFonts w:ascii="Calibri" w:hAnsi="Calibri"/>
                <w:sz w:val="15"/>
              </w:rPr>
              <w:t xml:space="preserve">Gulf developers</w:t>
            </w:r>
          </w:p>
        </w:tc>
        <w:tc>
          <w:tcPr/>
          <w:p>
            <w:pPr>
              <w:pStyle w:val="Compact"/>
              <w:spacing w:before="8" w:after="8" w:line="240" w:lineRule="auto"/>
              <w:ind w:firstLine="0" w:left="0" w:right="0"/>
              <w:jc w:val="left"/>
              <w:jc w:val="center"/>
            </w:pPr>
            <w:r>
              <w:rPr>
                <w:rFonts w:ascii="Calibri" w:hAnsi="Calibri"/>
                <w:sz w:val="15"/>
              </w:rPr>
              <w:t xml:space="preserve">United Arab Emirates</w:t>
            </w:r>
          </w:p>
        </w:tc>
        <w:tc>
          <w:tcPr/>
          <w:p>
            <w:pPr>
              <w:pStyle w:val="Compact"/>
              <w:spacing w:before="8" w:after="8" w:line="240" w:lineRule="auto"/>
              <w:ind w:firstLine="0" w:left="0" w:right="0"/>
              <w:jc w:val="left"/>
              <w:jc w:val="center"/>
            </w:pPr>
            <w:r>
              <w:rPr>
                <w:rFonts w:ascii="Calibri" w:hAnsi="Calibri"/>
                <w:sz w:val="15"/>
              </w:rPr>
              <w:t xml:space="preserve">Model developer</w:t>
            </w:r>
          </w:p>
        </w:tc>
        <w:tc>
          <w:tcPr/>
          <w:p>
            <w:pPr>
              <w:pStyle w:val="Compact"/>
              <w:spacing w:before="8" w:after="8" w:line="240" w:lineRule="auto"/>
              <w:ind w:firstLine="0" w:left="0" w:right="0"/>
              <w:jc w:val="right"/>
              <w:jc w:val="center"/>
            </w:pPr>
            <w:r>
              <w:rPr>
                <w:rFonts w:ascii="Calibri" w:hAnsi="Calibri"/>
                <w:sz w:val="15"/>
              </w:rPr>
              <w:t xml:space="preserve">1.7%</w:t>
            </w:r>
          </w:p>
        </w:tc>
        <w:tc>
          <w:tcPr/>
          <w:p>
            <w:pPr>
              <w:pStyle w:val="Compact"/>
              <w:spacing w:before="8" w:after="8" w:line="240" w:lineRule="auto"/>
              <w:ind w:firstLine="0" w:left="0" w:right="0"/>
              <w:jc w:val="left"/>
              <w:jc w:val="center"/>
            </w:pPr>
            <w:r>
              <w:rPr>
                <w:rFonts w:ascii="Calibri" w:hAnsi="Calibri"/>
                <w:sz w:val="15"/>
              </w:rPr>
              <w:t xml:space="preserve">mgx, humain, g42</w:t>
            </w:r>
          </w:p>
        </w:tc>
      </w:tr>
      <w:tr>
        <w:trPr>
          <w:cantSplit/>
        </w:trPr>
        <w:tc>
          <w:tcPr/>
          <w:p>
            <w:pPr>
              <w:pStyle w:val="Compact"/>
              <w:spacing w:before="8" w:after="8" w:line="240" w:lineRule="auto"/>
              <w:ind w:firstLine="0" w:left="0" w:right="0"/>
              <w:jc w:val="left"/>
              <w:jc w:val="center"/>
            </w:pPr>
            <w:r>
              <w:rPr>
                <w:rFonts w:ascii="Calibri" w:hAnsi="Calibri"/>
                <w:sz w:val="15"/>
              </w:rPr>
              <w:t xml:space="preserve">Baidu</w:t>
            </w:r>
          </w:p>
        </w:tc>
        <w:tc>
          <w:tcPr/>
          <w:p>
            <w:pPr>
              <w:pStyle w:val="Compact"/>
              <w:spacing w:before="8" w:after="8" w:line="240" w:lineRule="auto"/>
              <w:ind w:firstLine="0" w:left="0" w:right="0"/>
              <w:jc w:val="left"/>
              <w:jc w:val="center"/>
            </w:pPr>
            <w:r>
              <w:rPr>
                <w:rFonts w:ascii="Calibri" w:hAnsi="Calibri"/>
                <w:sz w:val="15"/>
              </w:rPr>
              <w:t xml:space="preserve">China</w:t>
            </w:r>
          </w:p>
        </w:tc>
        <w:tc>
          <w:tcPr/>
          <w:p>
            <w:pPr>
              <w:pStyle w:val="Compact"/>
              <w:spacing w:before="8" w:after="8" w:line="240" w:lineRule="auto"/>
              <w:ind w:firstLine="0" w:left="0" w:right="0"/>
              <w:jc w:val="left"/>
              <w:jc w:val="center"/>
            </w:pPr>
            <w:r>
              <w:rPr>
                <w:rFonts w:ascii="Calibri" w:hAnsi="Calibri"/>
                <w:sz w:val="15"/>
              </w:rPr>
              <w:t xml:space="preserve">Model developer</w:t>
            </w:r>
          </w:p>
        </w:tc>
        <w:tc>
          <w:tcPr/>
          <w:p>
            <w:pPr>
              <w:pStyle w:val="Compact"/>
              <w:spacing w:before="8" w:after="8" w:line="240" w:lineRule="auto"/>
              <w:ind w:firstLine="0" w:left="0" w:right="0"/>
              <w:jc w:val="right"/>
              <w:jc w:val="center"/>
            </w:pPr>
            <w:r>
              <w:rPr>
                <w:rFonts w:ascii="Calibri" w:hAnsi="Calibri"/>
                <w:sz w:val="15"/>
              </w:rPr>
              <w:t xml:space="preserve">1.2%</w:t>
            </w:r>
          </w:p>
        </w:tc>
        <w:tc>
          <w:tcPr/>
          <w:p>
            <w:pPr>
              <w:pStyle w:val="Compact"/>
              <w:spacing w:before="8" w:after="8" w:line="240" w:lineRule="auto"/>
              <w:ind w:firstLine="0" w:left="0" w:right="0"/>
              <w:jc w:val="left"/>
              <w:jc w:val="center"/>
            </w:pPr>
            <w:r>
              <w:rPr>
                <w:rFonts w:ascii="Calibri" w:hAnsi="Calibri"/>
                <w:sz w:val="15"/>
              </w:rPr>
              <w:t xml:space="preserve">baidu, ernie, ernie bot</w:t>
            </w:r>
          </w:p>
        </w:tc>
      </w:tr>
      <w:tr>
        <w:trPr>
          <w:cantSplit/>
        </w:trPr>
        <w:tc>
          <w:tcPr/>
          <w:p>
            <w:pPr>
              <w:pStyle w:val="Compact"/>
              <w:spacing w:before="8" w:after="8" w:line="240" w:lineRule="auto"/>
              <w:ind w:firstLine="0" w:left="0" w:right="0"/>
              <w:jc w:val="left"/>
              <w:jc w:val="center"/>
            </w:pPr>
            <w:r>
              <w:rPr>
                <w:rFonts w:ascii="Calibri" w:hAnsi="Calibri"/>
                <w:sz w:val="15"/>
              </w:rPr>
              <w:t xml:space="preserve">Cohere</w:t>
            </w:r>
          </w:p>
        </w:tc>
        <w:tc>
          <w:tcPr/>
          <w:p>
            <w:pPr>
              <w:pStyle w:val="Compact"/>
              <w:spacing w:before="8" w:after="8" w:line="240" w:lineRule="auto"/>
              <w:ind w:firstLine="0" w:left="0" w:right="0"/>
              <w:jc w:val="left"/>
              <w:jc w:val="center"/>
            </w:pPr>
            <w:r>
              <w:rPr>
                <w:rFonts w:ascii="Calibri" w:hAnsi="Calibri"/>
                <w:sz w:val="15"/>
              </w:rPr>
              <w:t xml:space="preserve">Canada</w:t>
            </w:r>
          </w:p>
        </w:tc>
        <w:tc>
          <w:tcPr/>
          <w:p>
            <w:pPr>
              <w:pStyle w:val="Compact"/>
              <w:spacing w:before="8" w:after="8" w:line="240" w:lineRule="auto"/>
              <w:ind w:firstLine="0" w:left="0" w:right="0"/>
              <w:jc w:val="left"/>
              <w:jc w:val="center"/>
            </w:pPr>
            <w:r>
              <w:rPr>
                <w:rFonts w:ascii="Calibri" w:hAnsi="Calibri"/>
                <w:sz w:val="15"/>
              </w:rPr>
              <w:t xml:space="preserve">Model developer</w:t>
            </w:r>
          </w:p>
        </w:tc>
        <w:tc>
          <w:tcPr/>
          <w:p>
            <w:pPr>
              <w:pStyle w:val="Compact"/>
              <w:spacing w:before="8" w:after="8" w:line="240" w:lineRule="auto"/>
              <w:ind w:firstLine="0" w:left="0" w:right="0"/>
              <w:jc w:val="right"/>
              <w:jc w:val="center"/>
            </w:pPr>
            <w:r>
              <w:rPr>
                <w:rFonts w:ascii="Calibri" w:hAnsi="Calibri"/>
                <w:sz w:val="15"/>
              </w:rPr>
              <w:t xml:space="preserve">1.2%</w:t>
            </w:r>
          </w:p>
        </w:tc>
        <w:tc>
          <w:tcPr/>
          <w:p>
            <w:pPr>
              <w:pStyle w:val="Compact"/>
              <w:spacing w:before="8" w:after="8" w:line="240" w:lineRule="auto"/>
              <w:ind w:firstLine="0" w:left="0" w:right="0"/>
              <w:jc w:val="left"/>
              <w:jc w:val="center"/>
            </w:pPr>
            <w:r>
              <w:rPr>
                <w:rFonts w:ascii="Calibri" w:hAnsi="Calibri"/>
                <w:sz w:val="15"/>
              </w:rPr>
              <w:t xml:space="preserve">cohere</w:t>
            </w:r>
          </w:p>
        </w:tc>
      </w:tr>
      <w:tr>
        <w:trPr>
          <w:cantSplit/>
        </w:trPr>
        <w:tc>
          <w:tcPr/>
          <w:p>
            <w:pPr>
              <w:pStyle w:val="Compact"/>
              <w:spacing w:before="8" w:after="8" w:line="240" w:lineRule="auto"/>
              <w:ind w:firstLine="0" w:left="0" w:right="0"/>
              <w:jc w:val="left"/>
              <w:jc w:val="center"/>
            </w:pPr>
            <w:r>
              <w:rPr>
                <w:rFonts w:ascii="Calibri" w:hAnsi="Calibri"/>
                <w:sz w:val="15"/>
              </w:rPr>
              <w:t xml:space="preserve">Apple</w:t>
            </w:r>
          </w:p>
        </w:tc>
        <w:tc>
          <w:tcPr/>
          <w:p>
            <w:pPr>
              <w:pStyle w:val="Compact"/>
              <w:spacing w:before="8" w:after="8" w:line="240" w:lineRule="auto"/>
              <w:ind w:firstLine="0" w:left="0" w:right="0"/>
              <w:jc w:val="left"/>
              <w:jc w:val="center"/>
            </w:pPr>
            <w:r>
              <w:rPr>
                <w:rFonts w:ascii="Calibri" w:hAnsi="Calibri"/>
                <w:sz w:val="15"/>
              </w:rPr>
              <w:t xml:space="preserve">United States</w:t>
            </w:r>
          </w:p>
        </w:tc>
        <w:tc>
          <w:tcPr/>
          <w:p>
            <w:pPr>
              <w:pStyle w:val="Compact"/>
              <w:spacing w:before="8" w:after="8" w:line="240" w:lineRule="auto"/>
              <w:ind w:firstLine="0" w:left="0" w:right="0"/>
              <w:jc w:val="left"/>
              <w:jc w:val="center"/>
            </w:pPr>
            <w:r>
              <w:rPr>
                <w:rFonts w:ascii="Calibri" w:hAnsi="Calibri"/>
                <w:sz w:val="15"/>
              </w:rPr>
              <w:t xml:space="preserve">Cloud infrastructure</w:t>
            </w:r>
          </w:p>
        </w:tc>
        <w:tc>
          <w:tcPr/>
          <w:p>
            <w:pPr>
              <w:pStyle w:val="Compact"/>
              <w:spacing w:before="8" w:after="8" w:line="240" w:lineRule="auto"/>
              <w:ind w:firstLine="0" w:left="0" w:right="0"/>
              <w:jc w:val="right"/>
              <w:jc w:val="center"/>
            </w:pPr>
            <w:r>
              <w:rPr>
                <w:rFonts w:ascii="Calibri" w:hAnsi="Calibri"/>
                <w:sz w:val="15"/>
              </w:rPr>
              <w:t xml:space="preserve">1.0%</w:t>
            </w:r>
          </w:p>
        </w:tc>
        <w:tc>
          <w:tcPr/>
          <w:p>
            <w:pPr>
              <w:pStyle w:val="Compact"/>
              <w:spacing w:before="8" w:after="8" w:line="240" w:lineRule="auto"/>
              <w:ind w:firstLine="0" w:left="0" w:right="0"/>
              <w:jc w:val="left"/>
              <w:jc w:val="center"/>
            </w:pPr>
            <w:r>
              <w:rPr>
                <w:rFonts w:ascii="Calibri" w:hAnsi="Calibri"/>
                <w:sz w:val="15"/>
              </w:rPr>
              <w:t xml:space="preserve">apple intelligence, siri</w:t>
            </w:r>
          </w:p>
        </w:tc>
      </w:tr>
      <w:tr>
        <w:trPr>
          <w:cantSplit/>
        </w:trPr>
        <w:tc>
          <w:tcPr/>
          <w:p>
            <w:pPr>
              <w:pStyle w:val="Compact"/>
              <w:spacing w:before="8" w:after="8" w:line="240" w:lineRule="auto"/>
              <w:ind w:firstLine="0" w:left="0" w:right="0"/>
              <w:jc w:val="left"/>
              <w:jc w:val="center"/>
            </w:pPr>
            <w:r>
              <w:rPr>
                <w:rFonts w:ascii="Calibri" w:hAnsi="Calibri"/>
                <w:sz w:val="15"/>
              </w:rPr>
              <w:t xml:space="preserve">ASML</w:t>
            </w:r>
          </w:p>
        </w:tc>
        <w:tc>
          <w:tcPr/>
          <w:p>
            <w:pPr>
              <w:pStyle w:val="Compact"/>
              <w:spacing w:before="8" w:after="8" w:line="240" w:lineRule="auto"/>
              <w:ind w:firstLine="0" w:left="0" w:right="0"/>
              <w:jc w:val="left"/>
              <w:jc w:val="center"/>
            </w:pPr>
            <w:r>
              <w:rPr>
                <w:rFonts w:ascii="Calibri" w:hAnsi="Calibri"/>
                <w:sz w:val="15"/>
              </w:rPr>
              <w:t xml:space="preserve">Netherlands</w:t>
            </w:r>
          </w:p>
        </w:tc>
        <w:tc>
          <w:tcPr/>
          <w:p>
            <w:pPr>
              <w:pStyle w:val="Compact"/>
              <w:spacing w:before="8" w:after="8" w:line="240" w:lineRule="auto"/>
              <w:ind w:firstLine="0" w:left="0" w:right="0"/>
              <w:jc w:val="left"/>
              <w:jc w:val="center"/>
            </w:pPr>
            <w:r>
              <w:rPr>
                <w:rFonts w:ascii="Calibri" w:hAnsi="Calibri"/>
                <w:sz w:val="15"/>
              </w:rPr>
              <w:t xml:space="preserve">Semiconductor</w:t>
            </w:r>
          </w:p>
        </w:tc>
        <w:tc>
          <w:tcPr/>
          <w:p>
            <w:pPr>
              <w:pStyle w:val="Compact"/>
              <w:spacing w:before="8" w:after="8" w:line="240" w:lineRule="auto"/>
              <w:ind w:firstLine="0" w:left="0" w:right="0"/>
              <w:jc w:val="right"/>
              <w:jc w:val="center"/>
            </w:pPr>
            <w:r>
              <w:rPr>
                <w:rFonts w:ascii="Calibri" w:hAnsi="Calibri"/>
                <w:sz w:val="15"/>
              </w:rPr>
              <w:t xml:space="preserve">1.0%</w:t>
            </w:r>
          </w:p>
        </w:tc>
        <w:tc>
          <w:tcPr/>
          <w:p>
            <w:pPr>
              <w:pStyle w:val="Compact"/>
              <w:spacing w:before="8" w:after="8" w:line="240" w:lineRule="auto"/>
              <w:ind w:firstLine="0" w:left="0" w:right="0"/>
              <w:jc w:val="left"/>
              <w:jc w:val="center"/>
            </w:pPr>
            <w:r>
              <w:rPr>
                <w:rFonts w:ascii="Calibri" w:hAnsi="Calibri"/>
                <w:sz w:val="15"/>
              </w:rPr>
              <w:t xml:space="preserve">asml, euv lithography</w:t>
            </w:r>
          </w:p>
        </w:tc>
      </w:tr>
      <w:tr>
        <w:trPr>
          <w:cantSplit/>
        </w:trPr>
        <w:tc>
          <w:tcPr/>
          <w:p>
            <w:pPr>
              <w:pStyle w:val="Compact"/>
              <w:spacing w:before="8" w:after="8" w:line="240" w:lineRule="auto"/>
              <w:ind w:firstLine="0" w:left="0" w:right="0"/>
              <w:jc w:val="left"/>
              <w:jc w:val="center"/>
            </w:pPr>
            <w:r>
              <w:rPr>
                <w:rFonts w:ascii="Calibri" w:hAnsi="Calibri"/>
                <w:sz w:val="15"/>
              </w:rPr>
              <w:t xml:space="preserve">Japanese developers</w:t>
            </w:r>
          </w:p>
        </w:tc>
        <w:tc>
          <w:tcPr/>
          <w:p>
            <w:pPr>
              <w:pStyle w:val="Compact"/>
              <w:spacing w:before="8" w:after="8" w:line="240" w:lineRule="auto"/>
              <w:ind w:firstLine="0" w:left="0" w:right="0"/>
              <w:jc w:val="left"/>
              <w:jc w:val="center"/>
            </w:pPr>
            <w:r>
              <w:rPr>
                <w:rFonts w:ascii="Calibri" w:hAnsi="Calibri"/>
                <w:sz w:val="15"/>
              </w:rPr>
              <w:t xml:space="preserve">Japan</w:t>
            </w:r>
          </w:p>
        </w:tc>
        <w:tc>
          <w:tcPr/>
          <w:p>
            <w:pPr>
              <w:pStyle w:val="Compact"/>
              <w:spacing w:before="8" w:after="8" w:line="240" w:lineRule="auto"/>
              <w:ind w:firstLine="0" w:left="0" w:right="0"/>
              <w:jc w:val="left"/>
              <w:jc w:val="center"/>
            </w:pPr>
            <w:r>
              <w:rPr>
                <w:rFonts w:ascii="Calibri" w:hAnsi="Calibri"/>
                <w:sz w:val="15"/>
              </w:rPr>
              <w:t xml:space="preserve">Model developer</w:t>
            </w:r>
          </w:p>
        </w:tc>
        <w:tc>
          <w:tcPr/>
          <w:p>
            <w:pPr>
              <w:pStyle w:val="Compact"/>
              <w:spacing w:before="8" w:after="8" w:line="240" w:lineRule="auto"/>
              <w:ind w:firstLine="0" w:left="0" w:right="0"/>
              <w:jc w:val="right"/>
              <w:jc w:val="center"/>
            </w:pPr>
            <w:r>
              <w:rPr>
                <w:rFonts w:ascii="Calibri" w:hAnsi="Calibri"/>
                <w:sz w:val="15"/>
              </w:rPr>
              <w:t xml:space="preserve">1.0%</w:t>
            </w:r>
          </w:p>
        </w:tc>
        <w:tc>
          <w:tcPr/>
          <w:p>
            <w:pPr>
              <w:pStyle w:val="Compact"/>
              <w:spacing w:before="8" w:after="8" w:line="240" w:lineRule="auto"/>
              <w:ind w:firstLine="0" w:left="0" w:right="0"/>
              <w:jc w:val="left"/>
              <w:jc w:val="center"/>
            </w:pPr>
            <w:r>
              <w:rPr>
                <w:rFonts w:ascii="Calibri" w:hAnsi="Calibri"/>
                <w:sz w:val="15"/>
              </w:rPr>
              <w:t xml:space="preserve">renesas</w:t>
            </w:r>
          </w:p>
        </w:tc>
      </w:tr>
      <w:tr>
        <w:trPr>
          <w:cantSplit/>
        </w:trPr>
        <w:tc>
          <w:tcPr/>
          <w:p>
            <w:pPr>
              <w:pStyle w:val="Compact"/>
              <w:spacing w:before="8" w:after="8" w:line="240" w:lineRule="auto"/>
              <w:ind w:firstLine="0" w:left="0" w:right="0"/>
              <w:jc w:val="left"/>
              <w:jc w:val="center"/>
            </w:pPr>
            <w:r>
              <w:rPr>
                <w:rFonts w:ascii="Calibri" w:hAnsi="Calibri"/>
                <w:sz w:val="15"/>
              </w:rPr>
              <w:t xml:space="preserve">Tencent</w:t>
            </w:r>
          </w:p>
        </w:tc>
        <w:tc>
          <w:tcPr/>
          <w:p>
            <w:pPr>
              <w:pStyle w:val="Compact"/>
              <w:spacing w:before="8" w:after="8" w:line="240" w:lineRule="auto"/>
              <w:ind w:firstLine="0" w:left="0" w:right="0"/>
              <w:jc w:val="left"/>
              <w:jc w:val="center"/>
            </w:pPr>
            <w:r>
              <w:rPr>
                <w:rFonts w:ascii="Calibri" w:hAnsi="Calibri"/>
                <w:sz w:val="15"/>
              </w:rPr>
              <w:t xml:space="preserve">China</w:t>
            </w:r>
          </w:p>
        </w:tc>
        <w:tc>
          <w:tcPr/>
          <w:p>
            <w:pPr>
              <w:pStyle w:val="Compact"/>
              <w:spacing w:before="8" w:after="8" w:line="240" w:lineRule="auto"/>
              <w:ind w:firstLine="0" w:left="0" w:right="0"/>
              <w:jc w:val="left"/>
              <w:jc w:val="center"/>
            </w:pPr>
            <w:r>
              <w:rPr>
                <w:rFonts w:ascii="Calibri" w:hAnsi="Calibri"/>
                <w:sz w:val="15"/>
              </w:rPr>
              <w:t xml:space="preserve">Model developer</w:t>
            </w:r>
          </w:p>
        </w:tc>
        <w:tc>
          <w:tcPr/>
          <w:p>
            <w:pPr>
              <w:pStyle w:val="Compact"/>
              <w:spacing w:before="8" w:after="8" w:line="240" w:lineRule="auto"/>
              <w:ind w:firstLine="0" w:left="0" w:right="0"/>
              <w:jc w:val="right"/>
              <w:jc w:val="center"/>
            </w:pPr>
            <w:r>
              <w:rPr>
                <w:rFonts w:ascii="Calibri" w:hAnsi="Calibri"/>
                <w:sz w:val="15"/>
              </w:rPr>
              <w:t xml:space="preserve">0.8%</w:t>
            </w:r>
          </w:p>
        </w:tc>
        <w:tc>
          <w:tcPr/>
          <w:p>
            <w:pPr>
              <w:pStyle w:val="Compact"/>
              <w:spacing w:before="8" w:after="8" w:line="240" w:lineRule="auto"/>
              <w:ind w:firstLine="0" w:left="0" w:right="0"/>
              <w:jc w:val="left"/>
              <w:jc w:val="center"/>
            </w:pPr>
            <w:r>
              <w:rPr>
                <w:rFonts w:ascii="Calibri" w:hAnsi="Calibri"/>
                <w:sz w:val="15"/>
              </w:rPr>
              <w:t xml:space="preserve">tencent, tencent cloud</w:t>
            </w:r>
          </w:p>
        </w:tc>
      </w:tr>
      <w:tr>
        <w:trPr>
          <w:cantSplit/>
        </w:trPr>
        <w:tc>
          <w:tcPr/>
          <w:p>
            <w:pPr>
              <w:pStyle w:val="Compact"/>
              <w:spacing w:before="8" w:after="8" w:line="240" w:lineRule="auto"/>
              <w:ind w:firstLine="0" w:left="0" w:right="0"/>
              <w:jc w:val="left"/>
              <w:jc w:val="center"/>
            </w:pPr>
            <w:r>
              <w:rPr>
                <w:rFonts w:ascii="Calibri" w:hAnsi="Calibri"/>
                <w:sz w:val="15"/>
              </w:rPr>
              <w:t xml:space="preserve">ByteDance</w:t>
            </w:r>
          </w:p>
        </w:tc>
        <w:tc>
          <w:tcPr/>
          <w:p>
            <w:pPr>
              <w:pStyle w:val="Compact"/>
              <w:spacing w:before="8" w:after="8" w:line="240" w:lineRule="auto"/>
              <w:ind w:firstLine="0" w:left="0" w:right="0"/>
              <w:jc w:val="left"/>
              <w:jc w:val="center"/>
            </w:pPr>
            <w:r>
              <w:rPr>
                <w:rFonts w:ascii="Calibri" w:hAnsi="Calibri"/>
                <w:sz w:val="15"/>
              </w:rPr>
              <w:t xml:space="preserve">China</w:t>
            </w:r>
          </w:p>
        </w:tc>
        <w:tc>
          <w:tcPr/>
          <w:p>
            <w:pPr>
              <w:pStyle w:val="Compact"/>
              <w:spacing w:before="8" w:after="8" w:line="240" w:lineRule="auto"/>
              <w:ind w:firstLine="0" w:left="0" w:right="0"/>
              <w:jc w:val="left"/>
              <w:jc w:val="center"/>
            </w:pPr>
            <w:r>
              <w:rPr>
                <w:rFonts w:ascii="Calibri" w:hAnsi="Calibri"/>
                <w:sz w:val="15"/>
              </w:rPr>
              <w:t xml:space="preserve">Model developer</w:t>
            </w:r>
          </w:p>
        </w:tc>
        <w:tc>
          <w:tcPr/>
          <w:p>
            <w:pPr>
              <w:pStyle w:val="Compact"/>
              <w:spacing w:before="8" w:after="8" w:line="240" w:lineRule="auto"/>
              <w:ind w:firstLine="0" w:left="0" w:right="0"/>
              <w:jc w:val="right"/>
              <w:jc w:val="center"/>
            </w:pPr>
            <w:r>
              <w:rPr>
                <w:rFonts w:ascii="Calibri" w:hAnsi="Calibri"/>
                <w:sz w:val="15"/>
              </w:rPr>
              <w:t xml:space="preserve">0.6%</w:t>
            </w:r>
          </w:p>
        </w:tc>
        <w:tc>
          <w:tcPr/>
          <w:p>
            <w:pPr>
              <w:pStyle w:val="Compact"/>
              <w:spacing w:before="8" w:after="8" w:line="240" w:lineRule="auto"/>
              <w:ind w:firstLine="0" w:left="0" w:right="0"/>
              <w:jc w:val="left"/>
              <w:jc w:val="center"/>
            </w:pPr>
            <w:r>
              <w:rPr>
                <w:rFonts w:ascii="Calibri" w:hAnsi="Calibri"/>
                <w:sz w:val="15"/>
              </w:rPr>
              <w:t xml:space="preserve">bytedance, doubao</w:t>
            </w:r>
          </w:p>
        </w:tc>
      </w:tr>
      <w:tr>
        <w:trPr>
          <w:cantSplit/>
        </w:trPr>
        <w:tc>
          <w:tcPr/>
          <w:p>
            <w:pPr>
              <w:pStyle w:val="Compact"/>
              <w:spacing w:before="8" w:after="8" w:line="240" w:lineRule="auto"/>
              <w:ind w:firstLine="0" w:left="0" w:right="0"/>
              <w:jc w:val="left"/>
              <w:jc w:val="center"/>
            </w:pPr>
            <w:r>
              <w:rPr>
                <w:rFonts w:ascii="Calibri" w:hAnsi="Calibri"/>
                <w:sz w:val="15"/>
              </w:rPr>
              <w:t xml:space="preserve">AI21 Labs</w:t>
            </w:r>
          </w:p>
        </w:tc>
        <w:tc>
          <w:tcPr/>
          <w:p>
            <w:pPr>
              <w:pStyle w:val="Compact"/>
              <w:spacing w:before="8" w:after="8" w:line="240" w:lineRule="auto"/>
              <w:ind w:firstLine="0" w:left="0" w:right="0"/>
              <w:jc w:val="left"/>
              <w:jc w:val="center"/>
            </w:pPr>
            <w:r>
              <w:rPr>
                <w:rFonts w:ascii="Calibri" w:hAnsi="Calibri"/>
                <w:sz w:val="15"/>
              </w:rPr>
              <w:t xml:space="preserve">Israel</w:t>
            </w:r>
          </w:p>
        </w:tc>
        <w:tc>
          <w:tcPr/>
          <w:p>
            <w:pPr>
              <w:pStyle w:val="Compact"/>
              <w:spacing w:before="8" w:after="8" w:line="240" w:lineRule="auto"/>
              <w:ind w:firstLine="0" w:left="0" w:right="0"/>
              <w:jc w:val="left"/>
              <w:jc w:val="center"/>
            </w:pPr>
            <w:r>
              <w:rPr>
                <w:rFonts w:ascii="Calibri" w:hAnsi="Calibri"/>
                <w:sz w:val="15"/>
              </w:rPr>
              <w:t xml:space="preserve">Model developer</w:t>
            </w:r>
          </w:p>
        </w:tc>
        <w:tc>
          <w:tcPr/>
          <w:p>
            <w:pPr>
              <w:pStyle w:val="Compact"/>
              <w:spacing w:before="8" w:after="8" w:line="240" w:lineRule="auto"/>
              <w:ind w:firstLine="0" w:left="0" w:right="0"/>
              <w:jc w:val="right"/>
              <w:jc w:val="center"/>
            </w:pPr>
            <w:r>
              <w:rPr>
                <w:rFonts w:ascii="Calibri" w:hAnsi="Calibri"/>
                <w:sz w:val="15"/>
              </w:rPr>
              <w:t xml:space="preserve">0.6%</w:t>
            </w:r>
          </w:p>
        </w:tc>
        <w:tc>
          <w:tcPr/>
          <w:p>
            <w:pPr>
              <w:pStyle w:val="Compact"/>
              <w:spacing w:before="8" w:after="8" w:line="240" w:lineRule="auto"/>
              <w:ind w:firstLine="0" w:left="0" w:right="0"/>
              <w:jc w:val="left"/>
              <w:jc w:val="center"/>
            </w:pPr>
            <w:r>
              <w:rPr>
                <w:rFonts w:ascii="Calibri" w:hAnsi="Calibri"/>
                <w:sz w:val="15"/>
              </w:rPr>
              <w:t xml:space="preserve">ai21, ai21 labs</w:t>
            </w:r>
          </w:p>
        </w:tc>
      </w:tr>
      <w:tr>
        <w:trPr>
          <w:cantSplit/>
        </w:trPr>
        <w:tc>
          <w:tcPr/>
          <w:p>
            <w:pPr>
              <w:pStyle w:val="Compact"/>
              <w:spacing w:before="8" w:after="8" w:line="240" w:lineRule="auto"/>
              <w:ind w:firstLine="0" w:left="0" w:right="0"/>
              <w:jc w:val="left"/>
              <w:jc w:val="center"/>
            </w:pPr>
            <w:r>
              <w:rPr>
                <w:rFonts w:ascii="Calibri" w:hAnsi="Calibri"/>
                <w:sz w:val="15"/>
              </w:rPr>
              <w:t xml:space="preserve">Naver</w:t>
            </w:r>
          </w:p>
        </w:tc>
        <w:tc>
          <w:tcPr/>
          <w:p>
            <w:pPr>
              <w:pStyle w:val="Compact"/>
              <w:spacing w:before="8" w:after="8" w:line="240" w:lineRule="auto"/>
              <w:ind w:firstLine="0" w:left="0" w:right="0"/>
              <w:jc w:val="left"/>
              <w:jc w:val="center"/>
            </w:pPr>
            <w:r>
              <w:rPr>
                <w:rFonts w:ascii="Calibri" w:hAnsi="Calibri"/>
                <w:sz w:val="15"/>
              </w:rPr>
              <w:t xml:space="preserve">South Korea</w:t>
            </w:r>
          </w:p>
        </w:tc>
        <w:tc>
          <w:tcPr/>
          <w:p>
            <w:pPr>
              <w:pStyle w:val="Compact"/>
              <w:spacing w:before="8" w:after="8" w:line="240" w:lineRule="auto"/>
              <w:ind w:firstLine="0" w:left="0" w:right="0"/>
              <w:jc w:val="left"/>
              <w:jc w:val="center"/>
            </w:pPr>
            <w:r>
              <w:rPr>
                <w:rFonts w:ascii="Calibri" w:hAnsi="Calibri"/>
                <w:sz w:val="15"/>
              </w:rPr>
              <w:t xml:space="preserve">Model developer</w:t>
            </w:r>
          </w:p>
        </w:tc>
        <w:tc>
          <w:tcPr/>
          <w:p>
            <w:pPr>
              <w:pStyle w:val="Compact"/>
              <w:spacing w:before="8" w:after="8" w:line="240" w:lineRule="auto"/>
              <w:ind w:firstLine="0" w:left="0" w:right="0"/>
              <w:jc w:val="right"/>
              <w:jc w:val="center"/>
            </w:pPr>
            <w:r>
              <w:rPr>
                <w:rFonts w:ascii="Calibri" w:hAnsi="Calibri"/>
                <w:sz w:val="15"/>
              </w:rPr>
              <w:t xml:space="preserve">0.6%</w:t>
            </w:r>
          </w:p>
        </w:tc>
        <w:tc>
          <w:tcPr/>
          <w:p>
            <w:pPr>
              <w:pStyle w:val="Compact"/>
              <w:spacing w:before="8" w:after="8" w:line="240" w:lineRule="auto"/>
              <w:ind w:firstLine="0" w:left="0" w:right="0"/>
              <w:jc w:val="left"/>
              <w:jc w:val="center"/>
            </w:pPr>
            <w:r>
              <w:rPr>
                <w:rFonts w:ascii="Calibri" w:hAnsi="Calibri"/>
                <w:sz w:val="15"/>
              </w:rPr>
              <w:t xml:space="preserve">naver</w:t>
            </w:r>
          </w:p>
        </w:tc>
      </w:tr>
      <w:tr>
        <w:trPr>
          <w:cantSplit/>
        </w:trPr>
        <w:tc>
          <w:tcPr/>
          <w:p>
            <w:pPr>
              <w:pStyle w:val="Compact"/>
              <w:spacing w:before="8" w:after="8" w:line="240" w:lineRule="auto"/>
              <w:ind w:firstLine="0" w:left="0" w:right="0"/>
              <w:jc w:val="left"/>
              <w:jc w:val="center"/>
            </w:pPr>
            <w:r>
              <w:rPr>
                <w:rFonts w:ascii="Calibri" w:hAnsi="Calibri"/>
                <w:sz w:val="15"/>
              </w:rPr>
              <w:t xml:space="preserve">Indian IT services</w:t>
            </w:r>
          </w:p>
        </w:tc>
        <w:tc>
          <w:tcPr/>
          <w:p>
            <w:pPr>
              <w:pStyle w:val="Compact"/>
              <w:spacing w:before="8" w:after="8" w:line="240" w:lineRule="auto"/>
              <w:ind w:firstLine="0" w:left="0" w:right="0"/>
              <w:jc w:val="left"/>
              <w:jc w:val="center"/>
            </w:pPr>
            <w:r>
              <w:rPr>
                <w:rFonts w:ascii="Calibri" w:hAnsi="Calibri"/>
                <w:sz w:val="15"/>
              </w:rPr>
              <w:t xml:space="preserve">India</w:t>
            </w:r>
          </w:p>
        </w:tc>
        <w:tc>
          <w:tcPr/>
          <w:p>
            <w:pPr>
              <w:pStyle w:val="Compact"/>
              <w:spacing w:before="8" w:after="8" w:line="240" w:lineRule="auto"/>
              <w:ind w:firstLine="0" w:left="0" w:right="0"/>
              <w:jc w:val="left"/>
              <w:jc w:val="center"/>
            </w:pPr>
            <w:r>
              <w:rPr>
                <w:rFonts w:ascii="Calibri" w:hAnsi="Calibri"/>
                <w:sz w:val="15"/>
              </w:rPr>
              <w:t xml:space="preserve">Enterprise software</w:t>
            </w:r>
          </w:p>
        </w:tc>
        <w:tc>
          <w:tcPr/>
          <w:p>
            <w:pPr>
              <w:pStyle w:val="Compact"/>
              <w:spacing w:before="8" w:after="8" w:line="240" w:lineRule="auto"/>
              <w:ind w:firstLine="0" w:left="0" w:right="0"/>
              <w:jc w:val="right"/>
              <w:jc w:val="center"/>
            </w:pPr>
            <w:r>
              <w:rPr>
                <w:rFonts w:ascii="Calibri" w:hAnsi="Calibri"/>
                <w:sz w:val="15"/>
              </w:rPr>
              <w:t xml:space="preserve">0.6%</w:t>
            </w:r>
          </w:p>
        </w:tc>
        <w:tc>
          <w:tcPr/>
          <w:p>
            <w:pPr>
              <w:pStyle w:val="Compact"/>
              <w:spacing w:before="8" w:after="8" w:line="240" w:lineRule="auto"/>
              <w:ind w:firstLine="0" w:left="0" w:right="0"/>
              <w:jc w:val="left"/>
              <w:jc w:val="center"/>
            </w:pPr>
            <w:r>
              <w:rPr>
                <w:rFonts w:ascii="Calibri" w:hAnsi="Calibri"/>
                <w:sz w:val="15"/>
              </w:rPr>
              <w:t xml:space="preserve">tata consultancy</w:t>
            </w:r>
          </w:p>
        </w:tc>
      </w:tr>
      <w:tr>
        <w:trPr>
          <w:cantSplit/>
        </w:trPr>
        <w:tc>
          <w:tcPr/>
          <w:p>
            <w:pPr>
              <w:pStyle w:val="Compact"/>
              <w:spacing w:before="8" w:after="8" w:line="240" w:lineRule="auto"/>
              <w:ind w:firstLine="0" w:left="0" w:right="0"/>
              <w:jc w:val="left"/>
              <w:jc w:val="center"/>
            </w:pPr>
            <w:r>
              <w:rPr>
                <w:rFonts w:ascii="Calibri" w:hAnsi="Calibri"/>
                <w:sz w:val="15"/>
              </w:rPr>
              <w:t xml:space="preserve">Aleph Alpha</w:t>
            </w:r>
          </w:p>
        </w:tc>
        <w:tc>
          <w:tcPr/>
          <w:p>
            <w:pPr>
              <w:pStyle w:val="Compact"/>
              <w:spacing w:before="8" w:after="8" w:line="240" w:lineRule="auto"/>
              <w:ind w:firstLine="0" w:left="0" w:right="0"/>
              <w:jc w:val="left"/>
              <w:jc w:val="center"/>
            </w:pPr>
            <w:r>
              <w:rPr>
                <w:rFonts w:ascii="Calibri" w:hAnsi="Calibri"/>
                <w:sz w:val="15"/>
              </w:rPr>
              <w:t xml:space="preserve">Germany</w:t>
            </w:r>
          </w:p>
        </w:tc>
        <w:tc>
          <w:tcPr/>
          <w:p>
            <w:pPr>
              <w:pStyle w:val="Compact"/>
              <w:spacing w:before="8" w:after="8" w:line="240" w:lineRule="auto"/>
              <w:ind w:firstLine="0" w:left="0" w:right="0"/>
              <w:jc w:val="left"/>
              <w:jc w:val="center"/>
            </w:pPr>
            <w:r>
              <w:rPr>
                <w:rFonts w:ascii="Calibri" w:hAnsi="Calibri"/>
                <w:sz w:val="15"/>
              </w:rPr>
              <w:t xml:space="preserve">Model developer</w:t>
            </w:r>
          </w:p>
        </w:tc>
        <w:tc>
          <w:tcPr/>
          <w:p>
            <w:pPr>
              <w:pStyle w:val="Compact"/>
              <w:spacing w:before="8" w:after="8" w:line="240" w:lineRule="auto"/>
              <w:ind w:firstLine="0" w:left="0" w:right="0"/>
              <w:jc w:val="right"/>
              <w:jc w:val="center"/>
            </w:pPr>
            <w:r>
              <w:rPr>
                <w:rFonts w:ascii="Calibri" w:hAnsi="Calibri"/>
                <w:sz w:val="15"/>
              </w:rPr>
              <w:t xml:space="preserve">0.2%</w:t>
            </w:r>
          </w:p>
        </w:tc>
        <w:tc>
          <w:tcPr/>
          <w:p>
            <w:pPr>
              <w:pStyle w:val="Compact"/>
              <w:spacing w:before="8" w:after="8" w:line="240" w:lineRule="auto"/>
              <w:ind w:firstLine="0" w:left="0" w:right="0"/>
              <w:jc w:val="left"/>
              <w:jc w:val="center"/>
            </w:pPr>
            <w:r>
              <w:rPr>
                <w:rFonts w:ascii="Calibri" w:hAnsi="Calibri"/>
                <w:sz w:val="15"/>
              </w:rPr>
              <w:t xml:space="preserve">aleph alpha</w:t>
            </w:r>
          </w:p>
        </w:tc>
      </w:tr>
    </w:tbl>
    <w:bookmarkEnd w:id="205"/>
    <w:p>
      <w:pPr>
        <w:pStyle w:val="FigureNote"/>
        <w:ind w:firstLine="0" w:left="0" w:right="0"/>
        <w:spacing w:before="0" w:after="120"/>
      </w:pPr>
      <w:r>
        <w:rPr>
          <w:i/>
          <w:iCs/>
        </w:rPr>
        <w:t xml:space="preserve">Notes:</w:t>
      </w:r>
      <w:r>
        <w:t xml:space="preserve"> </w:t>
      </w:r>
      <w:r>
        <w:t xml:space="preserve">Families are ordered by the number of firms citing them.</w:t>
      </w:r>
      <w:r>
        <w:t xml:space="preserve"> </w:t>
      </w:r>
      <w:r>
        <w:t xml:space="preserve">“Literal names matched”</w:t>
      </w:r>
      <w:r>
        <w:t xml:space="preserve"> </w:t>
      </w:r>
      <w:r>
        <w:t xml:space="preserve">lists up to six of the commercial names found, most frequent first, out of the candidates registered for that family.</w:t>
      </w:r>
    </w:p>
    <w:p>
      <w:pPr>
        <w:pStyle w:val="Textoindependiente"/>
      </w:pPr>
      <w:r>
        <w:t xml:space="preserve">The sectoral distribution of frames and disclosed AI activities across 2-digit SIC sectors is disaggregated in</w:t>
      </w:r>
      <w:r>
        <w:t xml:space="preserve"> </w:t>
      </w:r>
      <w:hyperlink w:anchor="appendix-e">
        <w:r>
          <w:rPr>
            <w:rStyle w:val="Hipervnculo"/>
          </w:rPr>
          <w:t xml:space="preserve">Appendix E</w:t>
        </w:r>
      </w:hyperlink>
      <w:r>
        <w:t xml:space="preserve">, which also breaks it down by disclosure posture, role, and grounding component.</w:t>
      </w:r>
    </w:p>
    <w:bookmarkEnd w:id="206"/>
    <w:bookmarkEnd w:id="207"/>
    <w:bookmarkStart w:id="209" w:name="appendix-c"/>
    <w:p>
      <w:pPr>
        <w:pStyle w:val="Ttulo2"/>
      </w:pPr>
      <w:r>
        <w:t xml:space="preserve">Appendix C: Supplementary Robustness and Alternative Specifications</w:t>
      </w:r>
    </w:p>
    <w:bookmarkStart w:id="210" w:name="appendix-c1"/>
    <w:p>
      <w:pPr>
        <w:pStyle w:val="Ttulo3"/>
      </w:pPr>
      <w:r>
        <w:t xml:space="preserve">C.1 Archetype recovery under a Form 10-K-only refit</w:t>
      </w:r>
    </w:p>
    <w:p>
      <w:pPr>
        <w:pStyle w:val="FirstParagraph"/>
      </w:pPr>
      <w:hyperlink w:anchor="tbl-e-10k-refit">
        <w:r>
          <w:rPr>
            <w:rStyle w:val="Hipervnculo"/>
          </w:rPr>
          <w:t xml:space="preserve">Table 42</w:t>
        </w:r>
      </w:hyperlink>
      <w:r>
        <w:t xml:space="preserve"> </w:t>
      </w:r>
      <w:r>
        <w:t xml:space="preserve">recomputes the archetypal weights (</w:t>
      </w:r>
      <m:oMath>
        <m:sSub>
          <m:e>
            <m:r>
              <w:rPr>
                <w:sz w:val="22"/>
              </w:rPr>
              <m:t>w</m:t>
            </m:r>
          </m:e>
          <m:sub>
            <m:r>
              <m:rPr>
                <m:nor/>
                <m:sty m:val="p"/>
              </m:rPr>
              <w:rPr>
                <w:sz w:val="22"/>
              </w:rPr>
              <m:t>Vocal</m:t>
            </m:r>
          </m:sub>
        </m:sSub>
        <m:r>
          <m:rPr>
            <m:sty m:val="p"/>
          </m:rPr>
          <w:rPr>
            <w:sz w:val="22"/>
          </w:rPr>
          <m:t>,</m:t>
        </m:r>
        <m:sSub>
          <m:e>
            <m:r>
              <w:rPr>
                <w:sz w:val="22"/>
              </w:rPr>
              <m:t>w</m:t>
            </m:r>
          </m:e>
          <m:sub>
            <m:r>
              <m:rPr>
                <m:nor/>
                <m:sty m:val="p"/>
              </m:rPr>
              <w:rPr>
                <w:sz w:val="22"/>
              </w:rPr>
              <m:t>Gov</m:t>
            </m:r>
          </m:sub>
        </m:sSub>
        <m:r>
          <m:rPr>
            <m:sty m:val="p"/>
          </m:rPr>
          <w:rPr>
            <w:sz w:val="22"/>
          </w:rPr>
          <m:t>,</m:t>
        </m:r>
        <m:sSub>
          <m:e>
            <m:r>
              <w:rPr>
                <w:sz w:val="22"/>
              </w:rPr>
              <m:t>w</m:t>
            </m:r>
          </m:e>
          <m:sub>
            <m:r>
              <m:rPr>
                <m:nor/>
                <m:sty m:val="p"/>
              </m:rPr>
              <w:rPr>
                <w:sz w:val="22"/>
              </w:rPr>
              <m:t>Def</m:t>
            </m:r>
          </m:sub>
        </m:sSub>
      </m:oMath>
      <w:r>
        <w:t xml:space="preserve">) on Form 10-K frames alone and correlates them firm by firm with the full-corpus weights. The last two rows give the standardized (SD) position of the Governance-Led and Defensive vertices on the risk-orientation dimension, full corpus against 10-K only, which is where the two fits disagree.</w:t>
      </w:r>
    </w:p>
    <w:bookmarkStart w:id="211" w:name="tbl-e-10k-refit"/>
    <w:p>
      <w:pPr>
        <w:keepNext/>
        <w:pStyle w:val="ImageCaption"/>
        <w:jc w:val="left"/>
        <w:spacing w:before="200"/>
        <w:ind w:firstLine="0" w:left="0" w:right="0"/>
      </w:pPr>
      <w:r>
        <w:t xml:space="preserve">Table 42:</w:t>
      </w:r>
      <w:r>
        <w:t xml:space="preserve"> </w:t>
      </w:r>
      <w:r>
        <w:rPr>
          <w:rStyle w:val="CaptionText"/>
        </w:rPr>
        <w:t xml:space="preserve">Full-corpus vs. Form 10-K-only archetype weights: per-firm correlation and vertex location.</w:t>
      </w:r>
    </w:p>
    <w:tbl>
      <w:tblPr>
        <w:tblStyle w:val="Table"/>
        <w:tblW w:type="auto" w:w="0"/>
        <w:jc w:val="center"/>
        <w:tblLook w:firstRow="1" w:lastRow="0" w:firstColumn="0" w:lastColumn="0" w:noHBand="0" w:noVBand="0" w:val="0020"/>
        <w:tblBorders>
          <w:top w:val="single" w:sz="8" w:space="0" w:color="0F172A"/>
          <w:bottom w:val="single" w:sz="8" w:space="0" w:color="0F172A"/>
          <w:left w:val="none"/>
          <w:right w:val="none"/>
          <w:insideH w:val="single" w:sz="4" w:space="0" w:color="E2E8F0"/>
          <w:insideV w:val="none"/>
        </w:tblBorders>
        <w:tblCellMar>
          <w:top w:w="26" w:type="dxa"/>
          <w:bottom w:w="26" w:type="dxa"/>
          <w:left w:w="48" w:type="dxa"/>
          <w:right w:w="48" w:type="dxa"/>
        </w:tblCellMar>
      </w:tblPr>
      <w:tblGrid>
        <w:gridCol w:w="2640"/>
        <w:gridCol w:w="2640"/>
        <w:gridCol w:w="2640"/>
      </w:tblGrid>
      <w:tr>
        <w:trPr>
          <w:tblHeader w:val="on"/>
          <w:cantSplit/>
          <w:tblHeader/>
        </w:trPr>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6"/>
              </w:rPr>
              <w:t xml:space="preserve">Quantity</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6"/>
              </w:rPr>
              <w:t xml:space="preserve">r (full corpus vs. 10-K-only)</w:t>
            </w:r>
          </w:p>
        </w:tc>
        <w:tc>
          <w:tcPr>
            <w:shd w:fill="F1F5F9"/>
            <w:tcBorders>
              <w:bottom w:val="single" w:sz="8" w:space="0" w:color="475569"/>
            </w:tcBorders>
          </w:tcPr>
          <w:p>
            <w:pPr>
              <w:pStyle w:val="Compact"/>
              <w:keepNext/>
              <w:spacing w:before="8" w:after="8" w:line="240" w:lineRule="auto"/>
              <w:ind w:firstLine="0" w:left="0" w:right="0"/>
              <w:jc w:val="right"/>
              <w:jc w:val="center"/>
            </w:pPr>
            <w:r>
              <w:rPr>
                <w:rFonts w:ascii="Calibri" w:hAnsi="Calibri"/>
                <w:b/>
                <w:color w:val="0F172A"/>
                <w:sz w:val="16"/>
              </w:rPr>
              <w:t xml:space="preserve">Value</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Vocal Substantives</w:t>
            </w:r>
          </w:p>
        </w:tc>
        <w:tc>
          <w:tcPr/>
          <w:p>
            <w:pPr>
              <w:pStyle w:val="Compact"/>
              <w:keepNext/>
              <w:spacing w:before="8" w:after="8" w:line="240" w:lineRule="auto"/>
              <w:ind w:firstLine="0" w:left="0" w:right="0"/>
              <w:jc w:val="right"/>
              <w:jc w:val="center"/>
            </w:pPr>
            <w:r>
              <w:rPr>
                <w:rFonts w:ascii="Calibri" w:hAnsi="Calibri"/>
                <w:sz w:val="16"/>
              </w:rPr>
              <w:t xml:space="preserve">0.912</w:t>
            </w:r>
          </w:p>
        </w:tc>
        <w:tc>
          <w:tcPr/>
          <w:p>
            <w:pPr>
              <w:pStyle w:val="Compact"/>
              <w:keepNext/>
              <w:spacing w:before="8" w:after="8" w:line="240" w:lineRule="auto"/>
              <w:ind w:firstLine="0" w:left="0" w:right="0"/>
              <w:jc w:val="left"/>
              <w:jc w:val="center"/>
            </w:pPr>
            <w:r>
              <w:rPr>
                <w:rFonts w:ascii="Calibri" w:hAnsi="Calibri"/>
                <w:sz w:val="16"/>
              </w:rPr>
              <w:t xml:space="preserve">–</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Defensive Disclosers</w:t>
            </w:r>
          </w:p>
        </w:tc>
        <w:tc>
          <w:tcPr/>
          <w:p>
            <w:pPr>
              <w:pStyle w:val="Compact"/>
              <w:keepNext/>
              <w:spacing w:before="8" w:after="8" w:line="240" w:lineRule="auto"/>
              <w:ind w:firstLine="0" w:left="0" w:right="0"/>
              <w:jc w:val="right"/>
              <w:jc w:val="center"/>
            </w:pPr>
            <w:r>
              <w:rPr>
                <w:rFonts w:ascii="Calibri" w:hAnsi="Calibri"/>
                <w:sz w:val="16"/>
              </w:rPr>
              <w:t xml:space="preserve">0.727</w:t>
            </w:r>
          </w:p>
        </w:tc>
        <w:tc>
          <w:tcPr/>
          <w:p>
            <w:pPr>
              <w:pStyle w:val="Compact"/>
              <w:keepNext/>
              <w:spacing w:before="8" w:after="8" w:line="240" w:lineRule="auto"/>
              <w:ind w:firstLine="0" w:left="0" w:right="0"/>
              <w:jc w:val="left"/>
              <w:jc w:val="center"/>
            </w:pPr>
            <w:r>
              <w:rPr>
                <w:rFonts w:ascii="Calibri" w:hAnsi="Calibri"/>
                <w:sz w:val="16"/>
              </w:rPr>
              <w:t xml:space="preserve">–</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Governance-Led Disclosers</w:t>
            </w:r>
          </w:p>
        </w:tc>
        <w:tc>
          <w:tcPr/>
          <w:p>
            <w:pPr>
              <w:pStyle w:val="Compact"/>
              <w:keepNext/>
              <w:spacing w:before="8" w:after="8" w:line="240" w:lineRule="auto"/>
              <w:ind w:firstLine="0" w:left="0" w:right="0"/>
              <w:jc w:val="right"/>
              <w:jc w:val="center"/>
            </w:pPr>
            <w:r>
              <w:rPr>
                <w:rFonts w:ascii="Calibri" w:hAnsi="Calibri"/>
                <w:sz w:val="16"/>
              </w:rPr>
              <w:t xml:space="preserve">0.335</w:t>
            </w:r>
          </w:p>
        </w:tc>
        <w:tc>
          <w:tcPr/>
          <w:p>
            <w:pPr>
              <w:pStyle w:val="Compact"/>
              <w:keepNext/>
              <w:spacing w:before="8" w:after="8" w:line="240" w:lineRule="auto"/>
              <w:ind w:firstLine="0" w:left="0" w:right="0"/>
              <w:jc w:val="left"/>
              <w:jc w:val="center"/>
            </w:pPr>
            <w:r>
              <w:rPr>
                <w:rFonts w:ascii="Calibri" w:hAnsi="Calibri"/>
                <w:sz w:val="16"/>
              </w:rPr>
              <w:t xml:space="preserve">–</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Governance vertex, on governance_orientation (SD)</w:t>
            </w:r>
          </w:p>
        </w:tc>
        <w:tc>
          <w:tcPr/>
          <w:p>
            <w:pPr>
              <w:pStyle w:val="Compact"/>
              <w:keepNext/>
              <w:spacing w:before="8" w:after="8" w:line="240" w:lineRule="auto"/>
              <w:ind w:firstLine="0" w:left="0" w:right="0"/>
              <w:jc w:val="left"/>
              <w:jc w:val="center"/>
            </w:pPr>
            <w:r>
              <w:rPr>
                <w:rFonts w:ascii="Calibri" w:hAnsi="Calibri"/>
                <w:sz w:val="16"/>
              </w:rPr>
              <w:t xml:space="preserve">–</w:t>
            </w:r>
          </w:p>
        </w:tc>
        <w:tc>
          <w:tcPr/>
          <w:p>
            <w:pPr>
              <w:pStyle w:val="Compact"/>
              <w:keepNext/>
              <w:spacing w:before="8" w:after="8" w:line="240" w:lineRule="auto"/>
              <w:ind w:firstLine="0" w:left="0" w:right="0"/>
              <w:jc w:val="right"/>
              <w:jc w:val="center"/>
            </w:pPr>
            <w:r>
              <w:rPr>
                <w:rFonts w:ascii="Calibri" w:hAnsi="Calibri"/>
                <w:sz w:val="16"/>
              </w:rPr>
              <w:t xml:space="preserve">+5.61</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Governance vertex, on risk_orientation (SD)</w:t>
            </w:r>
          </w:p>
        </w:tc>
        <w:tc>
          <w:tcPr/>
          <w:p>
            <w:pPr>
              <w:pStyle w:val="Compact"/>
              <w:keepNext/>
              <w:spacing w:before="8" w:after="8" w:line="240" w:lineRule="auto"/>
              <w:ind w:firstLine="0" w:left="0" w:right="0"/>
              <w:jc w:val="left"/>
              <w:jc w:val="center"/>
            </w:pPr>
            <w:r>
              <w:rPr>
                <w:rFonts w:ascii="Calibri" w:hAnsi="Calibri"/>
                <w:sz w:val="16"/>
              </w:rPr>
              <w:t xml:space="preserve">–</w:t>
            </w:r>
          </w:p>
        </w:tc>
        <w:tc>
          <w:tcPr/>
          <w:p>
            <w:pPr>
              <w:pStyle w:val="Compact"/>
              <w:keepNext/>
              <w:spacing w:before="8" w:after="8" w:line="240" w:lineRule="auto"/>
              <w:ind w:firstLine="0" w:left="0" w:right="0"/>
              <w:jc w:val="right"/>
              <w:jc w:val="center"/>
            </w:pPr>
            <w:r>
              <w:rPr>
                <w:rFonts w:ascii="Calibri" w:hAnsi="Calibri"/>
                <w:sz w:val="16"/>
              </w:rPr>
              <w:t xml:space="preserve">+0.16</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Defensive vertex, on risk_orientation (SD), full corpus</w:t>
            </w:r>
          </w:p>
        </w:tc>
        <w:tc>
          <w:tcPr/>
          <w:p>
            <w:pPr>
              <w:pStyle w:val="Compact"/>
              <w:keepNext/>
              <w:spacing w:before="8" w:after="8" w:line="240" w:lineRule="auto"/>
              <w:ind w:firstLine="0" w:left="0" w:right="0"/>
              <w:jc w:val="left"/>
              <w:jc w:val="center"/>
            </w:pPr>
            <w:r>
              <w:rPr>
                <w:rFonts w:ascii="Calibri" w:hAnsi="Calibri"/>
                <w:sz w:val="16"/>
              </w:rPr>
              <w:t xml:space="preserve">–</w:t>
            </w:r>
          </w:p>
        </w:tc>
        <w:tc>
          <w:tcPr/>
          <w:p>
            <w:pPr>
              <w:pStyle w:val="Compact"/>
              <w:keepNext/>
              <w:spacing w:before="8" w:after="8" w:line="240" w:lineRule="auto"/>
              <w:ind w:firstLine="0" w:left="0" w:right="0"/>
              <w:jc w:val="right"/>
              <w:jc w:val="center"/>
            </w:pPr>
            <w:r>
              <w:rPr>
                <w:rFonts w:ascii="Calibri" w:hAnsi="Calibri"/>
                <w:sz w:val="16"/>
              </w:rPr>
              <w:t xml:space="preserve">+1.31</w:t>
            </w:r>
          </w:p>
        </w:tc>
      </w:tr>
      <w:tr>
        <w:trPr>
          <w:cantSplit/>
        </w:trPr>
        <w:tc>
          <w:tcPr/>
          <w:p>
            <w:pPr>
              <w:pStyle w:val="Compact"/>
              <w:spacing w:before="8" w:after="8" w:line="240" w:lineRule="auto"/>
              <w:ind w:firstLine="0" w:left="0" w:right="0"/>
              <w:jc w:val="left"/>
              <w:jc w:val="center"/>
            </w:pPr>
            <w:r>
              <w:rPr>
                <w:rFonts w:ascii="Calibri" w:hAnsi="Calibri"/>
                <w:sz w:val="16"/>
              </w:rPr>
              <w:t xml:space="preserve">Defensive vertex, on risk_orientation (SD), 10-K-only</w:t>
            </w:r>
          </w:p>
        </w:tc>
        <w:tc>
          <w:tcPr/>
          <w:p>
            <w:pPr>
              <w:pStyle w:val="Compact"/>
              <w:spacing w:before="8" w:after="8" w:line="240" w:lineRule="auto"/>
              <w:ind w:firstLine="0" w:left="0" w:right="0"/>
              <w:jc w:val="left"/>
              <w:jc w:val="center"/>
            </w:pPr>
            <w:r>
              <w:rPr>
                <w:rFonts w:ascii="Calibri" w:hAnsi="Calibri"/>
                <w:sz w:val="16"/>
              </w:rPr>
              <w:t xml:space="preserve">–</w:t>
            </w:r>
          </w:p>
        </w:tc>
        <w:tc>
          <w:tcPr/>
          <w:p>
            <w:pPr>
              <w:pStyle w:val="Compact"/>
              <w:spacing w:before="8" w:after="8" w:line="240" w:lineRule="auto"/>
              <w:ind w:firstLine="0" w:left="0" w:right="0"/>
              <w:jc w:val="right"/>
              <w:jc w:val="center"/>
            </w:pPr>
            <w:r>
              <w:rPr>
                <w:rFonts w:ascii="Calibri" w:hAnsi="Calibri"/>
                <w:sz w:val="16"/>
              </w:rPr>
              <w:t xml:space="preserve">+0.98</w:t>
            </w:r>
          </w:p>
        </w:tc>
      </w:tr>
    </w:tbl>
    <w:bookmarkEnd w:id="208"/>
    <w:p>
      <w:pPr>
        <w:pStyle w:val="FigureNote"/>
        <w:ind w:firstLine="0" w:left="0" w:right="0"/>
        <w:spacing w:before="0" w:after="120"/>
      </w:pPr>
      <w:r>
        <w:rPr>
          <w:i/>
          <w:iCs/>
        </w:rPr>
        <w:t xml:space="preserve">Notes:</w:t>
      </w:r>
      <w:r>
        <w:t xml:space="preserve"> </w:t>
      </w:r>
      <w:r>
        <w:t xml:space="preserve">Correlations computed across the 421 firms common to both fits. Vocal Substantives and Defensive Disclosers replicate closely on 10-K text alone; Governance-Led collapses because board-oversight language concentrated in DEF 14A proxy statements is absent from 10-K filings, so the governance vertex partly absorbs risk-orientation variance instead.</w:t>
      </w:r>
    </w:p>
    <w:bookmarkEnd w:id="209"/>
    <w:bookmarkStart w:id="212" w:name="appendix-c2"/>
    <w:p>
      <w:pPr>
        <w:pStyle w:val="Ttulo3"/>
      </w:pPr>
      <w:r>
        <w:t xml:space="preserve">C.2 Decoupling index construction and sensitivity</w:t>
      </w:r>
    </w:p>
    <w:p>
      <w:pPr>
        <w:pStyle w:val="FirstParagraph"/>
      </w:pPr>
      <w:r>
        <w:rPr>
          <w:b/>
          <w:bCs/>
        </w:rPr>
        <w:t xml:space="preserve">Decoupling index (</w:t>
      </w:r>
      <m:oMath>
        <m:r>
          <w:rPr>
            <w:sz w:val="22"/>
          </w:rPr>
          <m:t>W</m:t>
        </m:r>
      </m:oMath>
      <w:r>
        <w:rPr>
          <w:b/>
          <w:bCs/>
        </w:rPr>
        <w:t xml:space="preserve">), full specification.</w:t>
      </w:r>
      <w:r>
        <w:t xml:space="preserve"> </w:t>
      </w:r>
      <w:r>
        <w:t xml:space="preserve">Disclosed substance is defined as:</w:t>
      </w:r>
    </w:p>
    <w:p>
      <w:pPr>
        <w:pStyle w:val="Textoindependiente"/>
      </w:pPr>
      <m:oMathPara>
        <m:oMathParaPr>
          <m:jc m:val="center"/>
        </m:oMathParaPr>
        <m:oMath>
          <m:sSub>
            <m:e>
              <m:r>
                <m:rPr>
                  <m:nor/>
                  <m:sty m:val="p"/>
                </m:rPr>
                <w:rPr>
                  <w:sz w:val="22"/>
                </w:rPr>
                <m:t>Substance</m:t>
              </m:r>
            </m:e>
            <m:sub>
              <m:r>
                <w:rPr>
                  <w:sz w:val="22"/>
                </w:rPr>
                <m:t>i</m:t>
              </m:r>
              <m:r>
                <w:rPr>
                  <w:sz w:val="22"/>
                </w:rPr>
                <m:t>t</m:t>
              </m:r>
            </m:sub>
          </m:sSub>
          <m:r>
            <m:rPr>
              <m:sty m:val="p"/>
            </m:rPr>
            <w:rPr>
              <w:sz w:val="22"/>
            </w:rPr>
            <m:t>=</m:t>
          </m:r>
          <m:r>
            <m:rPr>
              <m:sty m:val="p"/>
            </m:rPr>
            <w:rPr>
              <w:sz w:val="22"/>
            </w:rPr>
            <m:t>log</m:t>
          </m:r>
          <m:d>
            <m:dPr>
              <m:begChr m:val="("/>
              <m:sepChr m:val=""/>
              <m:endChr m:val=")"/>
              <m:grow/>
            </m:dPr>
            <m:e>
              <m:r>
                <w:rPr>
                  <w:sz w:val="22"/>
                </w:rPr>
                <m:t>1</m:t>
              </m:r>
              <m:r>
                <m:rPr>
                  <m:sty m:val="p"/>
                </m:rPr>
                <w:rPr>
                  <w:sz w:val="22"/>
                </w:rPr>
                <m:t>+</m:t>
              </m:r>
              <m:sSub>
                <m:e>
                  <m:r>
                    <w:rPr>
                      <w:sz w:val="22"/>
                    </w:rPr>
                    <m:t>n</m:t>
                  </m:r>
                </m:e>
                <m:sub>
                  <m:r>
                    <m:rPr>
                      <m:nor/>
                      <m:sty m:val="p"/>
                    </m:rPr>
                    <w:rPr>
                      <w:sz w:val="22"/>
                    </w:rPr>
                    <m:t>activities</m:t>
                  </m:r>
                  <m:r>
                    <m:rPr>
                      <m:sty m:val="p"/>
                    </m:rPr>
                    <w:rPr>
                      <w:sz w:val="22"/>
                    </w:rPr>
                    <m:t>,</m:t>
                  </m:r>
                  <m:r>
                    <w:rPr>
                      <w:sz w:val="22"/>
                    </w:rPr>
                    <m:t>i</m:t>
                  </m:r>
                  <m:r>
                    <w:rPr>
                      <w:sz w:val="22"/>
                    </w:rPr>
                    <m:t>t</m:t>
                  </m:r>
                </m:sub>
              </m:sSub>
            </m:e>
          </m:d>
          <m:r>
            <m:rPr>
              <m:sty m:val="p"/>
            </m:rPr>
            <w:rPr>
              <w:sz w:val="22"/>
            </w:rPr>
            <m:t>×</m:t>
          </m:r>
          <m:sSub>
            <m:e>
              <m:r>
                <m:rPr>
                  <m:nor/>
                  <m:sty m:val="p"/>
                </m:rPr>
                <w:rPr>
                  <w:sz w:val="22"/>
                </w:rPr>
                <m:t>Grounding</m:t>
              </m:r>
            </m:e>
            <m:sub>
              <m:r>
                <w:rPr>
                  <w:sz w:val="22"/>
                </w:rPr>
                <m:t>i</m:t>
              </m:r>
              <m:r>
                <w:rPr>
                  <w:sz w:val="22"/>
                </w:rPr>
                <m:t>t</m:t>
              </m:r>
            </m:sub>
          </m:sSub>
        </m:oMath>
      </m:oMathPara>
    </w:p>
    <w:p>
      <w:pPr>
        <w:pStyle w:val="FirstParagraph"/>
      </w:pPr>
      <w:r>
        <w:t xml:space="preserve">where</w:t>
      </w:r>
      <w:r>
        <w:t xml:space="preserve"> </w:t>
      </w:r>
      <m:oMath>
        <m:sSub>
          <m:e>
            <m:r>
              <m:rPr>
                <m:nor/>
                <m:sty m:val="p"/>
              </m:rPr>
              <w:rPr>
                <w:sz w:val="22"/>
              </w:rPr>
              <m:t>Grounding</m:t>
            </m:r>
          </m:e>
          <m:sub>
            <m:r>
              <w:rPr>
                <w:sz w:val="22"/>
              </w:rPr>
              <m:t>i</m:t>
            </m:r>
            <m:r>
              <w:rPr>
                <w:sz w:val="22"/>
              </w:rPr>
              <m:t>t</m:t>
            </m:r>
          </m:sub>
        </m:sSub>
      </m:oMath>
      <w:r>
        <w:t xml:space="preserve"> </w:t>
      </w:r>
      <w:r>
        <w:t xml:space="preserve">averages five empirical-Bayes shrunk concreteness markers across disclosed AI activities (named function, deployed/scaled stage, named product or process, quantified outcome, named provider). The index is computed as:</w:t>
      </w:r>
    </w:p>
    <w:p>
      <w:pPr>
        <w:pStyle w:val="Textoindependiente"/>
      </w:pPr>
      <m:oMathPara>
        <m:oMathParaPr>
          <m:jc m:val="center"/>
        </m:oMathParaPr>
        <m:oMath>
          <m:sSub>
            <m:e>
              <m:r>
                <w:rPr>
                  <w:sz w:val="22"/>
                </w:rPr>
                <m:t>W</m:t>
              </m:r>
            </m:e>
            <m:sub>
              <m:r>
                <w:rPr>
                  <w:sz w:val="22"/>
                </w:rPr>
                <m:t>i</m:t>
              </m:r>
              <m:r>
                <w:rPr>
                  <w:sz w:val="22"/>
                </w:rPr>
                <m:t>t</m:t>
              </m:r>
            </m:sub>
          </m:sSub>
          <m:r>
            <m:rPr>
              <m:sty m:val="p"/>
            </m:rPr>
            <w:rPr>
              <w:sz w:val="22"/>
            </w:rPr>
            <m:t>=</m:t>
          </m:r>
          <m:r>
            <m:rPr>
              <m:nor/>
              <m:sty m:val="p"/>
            </m:rPr>
            <w:rPr>
              <w:sz w:val="22"/>
            </w:rPr>
            <m:t>pctrank</m:t>
          </m:r>
          <m:d>
            <m:dPr>
              <m:begChr m:val="("/>
              <m:sepChr m:val=""/>
              <m:endChr m:val=")"/>
              <m:grow/>
            </m:dPr>
            <m:e>
              <m:sSub>
                <m:e>
                  <m:r>
                    <m:rPr>
                      <m:nor/>
                      <m:sty m:val="p"/>
                    </m:rPr>
                    <w:rPr>
                      <w:sz w:val="22"/>
                    </w:rPr>
                    <m:t>Disclosure</m:t>
                  </m:r>
                </m:e>
                <m:sub>
                  <m:r>
                    <w:rPr>
                      <w:sz w:val="22"/>
                    </w:rPr>
                    <m:t>i</m:t>
                  </m:r>
                  <m:r>
                    <w:rPr>
                      <w:sz w:val="22"/>
                    </w:rPr>
                    <m:t>t</m:t>
                  </m:r>
                </m:sub>
              </m:sSub>
            </m:e>
          </m:d>
          <m:r>
            <m:rPr>
              <m:sty m:val="p"/>
            </m:rPr>
            <w:rPr>
              <w:sz w:val="22"/>
            </w:rPr>
            <m:t>−</m:t>
          </m:r>
          <m:r>
            <m:rPr>
              <m:nor/>
              <m:sty m:val="p"/>
            </m:rPr>
            <w:rPr>
              <w:sz w:val="22"/>
            </w:rPr>
            <m:t>pctrank</m:t>
          </m:r>
          <m:d>
            <m:dPr>
              <m:begChr m:val="("/>
              <m:sepChr m:val=""/>
              <m:endChr m:val=")"/>
              <m:grow/>
            </m:dPr>
            <m:e>
              <m:sSub>
                <m:e>
                  <m:r>
                    <m:rPr>
                      <m:nor/>
                      <m:sty m:val="p"/>
                    </m:rPr>
                    <w:rPr>
                      <w:sz w:val="22"/>
                    </w:rPr>
                    <m:t>Substance</m:t>
                  </m:r>
                </m:e>
                <m:sub>
                  <m:r>
                    <w:rPr>
                      <w:sz w:val="22"/>
                    </w:rPr>
                    <m:t>i</m:t>
                  </m:r>
                  <m:r>
                    <w:rPr>
                      <w:sz w:val="22"/>
                    </w:rPr>
                    <m:t>t</m:t>
                  </m:r>
                </m:sub>
              </m:sSub>
            </m:e>
          </m:d>
        </m:oMath>
      </m:oMathPara>
    </w:p>
    <w:p>
      <w:pPr>
        <w:pStyle w:val="FirstParagraph"/>
      </w:pPr>
      <w:r>
        <w:t xml:space="preserve">where</w:t>
      </w:r>
      <w:r>
        <w:t xml:space="preserve"> </w:t>
      </w:r>
      <m:oMath>
        <m:sSub>
          <m:e>
            <m:r>
              <m:rPr>
                <m:nor/>
                <m:sty m:val="p"/>
              </m:rPr>
              <w:rPr>
                <w:sz w:val="22"/>
              </w:rPr>
              <m:t>Disclosure</m:t>
            </m:r>
          </m:e>
          <m:sub>
            <m:r>
              <w:rPr>
                <w:sz w:val="22"/>
              </w:rPr>
              <m:t>i</m:t>
            </m:r>
            <m:r>
              <w:rPr>
                <w:sz w:val="22"/>
              </w:rPr>
              <m:t>t</m:t>
            </m:r>
          </m:sub>
        </m:sSub>
      </m:oMath>
      <w:r>
        <w:t xml:space="preserve"> </w:t>
      </w:r>
      <w:r>
        <w:t xml:space="preserve">is AI frames per 1,000 words. Both percentile ranks are calculated within the disclosing sample (</w:t>
      </w:r>
      <m:oMath>
        <m:sSub>
          <m:e>
            <m:r>
              <m:rPr>
                <m:nor/>
                <m:sty m:val="p"/>
              </m:rPr>
              <w:rPr>
                <w:sz w:val="22"/>
              </w:rPr>
              <m:t>Disclosure</m:t>
            </m:r>
          </m:e>
          <m:sub>
            <m:r>
              <w:rPr>
                <w:sz w:val="22"/>
              </w:rPr>
              <m:t>i</m:t>
            </m:r>
            <m:r>
              <w:rPr>
                <w:sz w:val="22"/>
              </w:rPr>
              <m:t>t</m:t>
            </m:r>
          </m:sub>
        </m:sSub>
        <m:r>
          <m:rPr>
            <m:sty m:val="p"/>
          </m:rPr>
          <w:rPr>
            <w:sz w:val="22"/>
          </w:rPr>
          <m:t>&gt;</m:t>
        </m:r>
        <m:r>
          <w:rPr>
            <w:sz w:val="22"/>
          </w:rPr>
          <m:t>0</m:t>
        </m:r>
      </m:oMath>
      <w:r>
        <w:t xml:space="preserve">: 1884 of 2887 firm-years, 475 of 498 firms pooled 2021–2026).</w:t>
      </w:r>
      <w:r>
        <w:t xml:space="preserve"> </w:t>
      </w:r>
      <m:oMath>
        <m:r>
          <w:rPr>
            <w:sz w:val="22"/>
          </w:rPr>
          <m:t>W</m:t>
        </m:r>
      </m:oMath>
      <w:r>
        <w:t xml:space="preserve"> </w:t>
      </w:r>
      <w:r>
        <w:t xml:space="preserve">is non-parametric: it requires no regression, fixed effects, or fitted residuals.</w:t>
      </w:r>
    </w:p>
    <w:p>
      <w:pPr>
        <w:pStyle w:val="Textoindependiente"/>
      </w:pPr>
      <w:r>
        <w:rPr>
          <w:b/>
          <w:bCs/>
        </w:rPr>
        <w:t xml:space="preserve">Percentile ranking versus z-score standardization.</w:t>
      </w:r>
      <w:r>
        <w:t xml:space="preserve"> </w:t>
      </w:r>
      <w:r>
        <w:t xml:space="preserve">Percentile ranks are used instead of z-scores.</w:t>
      </w:r>
      <w:r>
        <w:t xml:space="preserve"> </w:t>
      </w:r>
      <m:oMath>
        <m:sSub>
          <m:e>
            <m:r>
              <m:rPr>
                <m:nor/>
                <m:sty m:val="p"/>
              </m:rPr>
              <w:rPr>
                <w:sz w:val="22"/>
              </w:rPr>
              <m:t>Disclosure</m:t>
            </m:r>
          </m:e>
          <m:sub>
            <m:r>
              <w:rPr>
                <w:sz w:val="22"/>
              </w:rPr>
              <m:t>i</m:t>
            </m:r>
            <m:r>
              <w:rPr>
                <w:sz w:val="22"/>
              </w:rPr>
              <m:t>t</m:t>
            </m:r>
          </m:sub>
        </m:sSub>
      </m:oMath>
      <w:r>
        <w:t xml:space="preserve"> </w:t>
      </w:r>
      <w:r>
        <w:t xml:space="preserve">has a much heavier right tail than</w:t>
      </w:r>
      <w:r>
        <w:t xml:space="preserve"> </w:t>
      </w:r>
      <m:oMath>
        <m:sSub>
          <m:e>
            <m:r>
              <m:rPr>
                <m:nor/>
                <m:sty m:val="p"/>
              </m:rPr>
              <w:rPr>
                <w:sz w:val="22"/>
              </w:rPr>
              <m:t>Substance</m:t>
            </m:r>
          </m:e>
          <m:sub>
            <m:r>
              <w:rPr>
                <w:sz w:val="22"/>
              </w:rPr>
              <m:t>i</m:t>
            </m:r>
            <m:r>
              <w:rPr>
                <w:sz w:val="22"/>
              </w:rPr>
              <m:t>t</m:t>
            </m:r>
          </m:sub>
        </m:sSub>
      </m:oMath>
      <w:r>
        <w:t xml:space="preserve"> </w:t>
      </w:r>
      <w:r>
        <w:t xml:space="preserve">(a maximum</w:t>
      </w:r>
      <w:r>
        <w:t xml:space="preserve"> </w:t>
      </w:r>
      <m:oMath>
        <m:r>
          <w:rPr>
            <w:sz w:val="22"/>
          </w:rPr>
          <m:t>z</m:t>
        </m:r>
      </m:oMath>
      <w:r>
        <w:t xml:space="preserve"> </w:t>
      </w:r>
      <w:r>
        <w:t xml:space="preserve">of 18.5 against 4.3), and under z-scores the firms with the largest volume of grounded activity, Microsoft or NVIDIA for example, end up in the washing tail as soon as their narrative volume is an even bigger outlier than their substance.</w:t>
      </w:r>
    </w:p>
    <w:p>
      <w:pPr>
        <w:pStyle w:val="Textoindependiente"/>
      </w:pPr>
      <w:r>
        <w:t xml:space="preserve">The Spearman correlation between the z-score and the percentile version is 0.723, and the two share only 43 of 102 firm-years in the top-5% tail (Jaccard = 0.267). With percentile ranking, the tail contains what it should contain: firms with a lot of narrative and very little grounded activity behind it.</w:t>
      </w:r>
    </w:p>
    <w:p>
      <w:pPr>
        <w:pStyle w:val="Textoindependiente"/>
      </w:pPr>
      <w:r>
        <w:rPr>
          <w:b/>
          <w:bCs/>
        </w:rPr>
        <w:t xml:space="preserve">Substance functional form.</w:t>
      </w:r>
      <w:r>
        <w:t xml:space="preserve"> </w:t>
      </w:r>
      <w:r>
        <w:t xml:space="preserve">An additive form,</w:t>
      </w:r>
      <w:r>
        <w:t xml:space="preserve"> </w:t>
      </w:r>
      <m:oMath>
        <m:r>
          <w:rPr>
            <w:sz w:val="22"/>
          </w:rPr>
          <m:t>z</m:t>
        </m:r>
        <m:d>
          <m:dPr>
            <m:begChr m:val="("/>
            <m:sepChr m:val=""/>
            <m:endChr m:val=")"/>
            <m:grow/>
          </m:dPr>
          <m:e>
            <m:r>
              <m:rPr>
                <m:sty m:val="p"/>
              </m:rPr>
              <w:rPr>
                <w:sz w:val="22"/>
              </w:rPr>
              <m:t>log</m:t>
            </m:r>
            <m:d>
              <m:dPr>
                <m:begChr m:val="("/>
                <m:sepChr m:val=""/>
                <m:endChr m:val=")"/>
                <m:grow/>
              </m:dPr>
              <m:e>
                <m:r>
                  <w:rPr>
                    <w:sz w:val="22"/>
                  </w:rPr>
                  <m:t>1</m:t>
                </m:r>
                <m:r>
                  <m:rPr>
                    <m:sty m:val="p"/>
                  </m:rPr>
                  <w:rPr>
                    <w:sz w:val="22"/>
                  </w:rPr>
                  <m:t>+</m:t>
                </m:r>
                <m:sSub>
                  <m:e>
                    <m:r>
                      <w:rPr>
                        <w:sz w:val="22"/>
                      </w:rPr>
                      <m:t>n</m:t>
                    </m:r>
                  </m:e>
                  <m:sub>
                    <m:r>
                      <m:rPr>
                        <m:nor/>
                        <m:sty m:val="p"/>
                      </m:rPr>
                      <w:rPr>
                        <w:sz w:val="22"/>
                      </w:rPr>
                      <m:t>activities</m:t>
                    </m:r>
                  </m:sub>
                </m:sSub>
              </m:e>
            </m:d>
          </m:e>
        </m:d>
        <m:r>
          <m:rPr>
            <m:sty m:val="p"/>
          </m:rPr>
          <w:rPr>
            <w:sz w:val="22"/>
          </w:rPr>
          <m:t>+</m:t>
        </m:r>
        <m:r>
          <w:rPr>
            <w:sz w:val="22"/>
          </w:rPr>
          <m:t>z</m:t>
        </m:r>
        <m:d>
          <m:dPr>
            <m:begChr m:val="("/>
            <m:sepChr m:val=""/>
            <m:endChr m:val=")"/>
            <m:grow/>
          </m:dPr>
          <m:e>
            <m:r>
              <m:rPr>
                <m:nor/>
                <m:sty m:val="p"/>
              </m:rPr>
              <w:rPr>
                <w:sz w:val="22"/>
              </w:rPr>
              <m:t>Grounding</m:t>
            </m:r>
          </m:e>
        </m:d>
      </m:oMath>
      <w:r>
        <w:t xml:space="preserve">, and a grounded-count form,</w:t>
      </w:r>
      <w:r>
        <w:t xml:space="preserve"> </w:t>
      </w:r>
      <m:oMath>
        <m:r>
          <m:rPr>
            <m:sty m:val="p"/>
          </m:rPr>
          <w:rPr>
            <w:sz w:val="22"/>
          </w:rPr>
          <m:t>log</m:t>
        </m:r>
        <m:d>
          <m:dPr>
            <m:begChr m:val="("/>
            <m:sepChr m:val=""/>
            <m:endChr m:val=")"/>
            <m:grow/>
          </m:dPr>
          <m:e>
            <m:r>
              <w:rPr>
                <w:sz w:val="22"/>
              </w:rPr>
              <m:t>1</m:t>
            </m:r>
            <m:r>
              <m:rPr>
                <m:sty m:val="p"/>
              </m:rPr>
              <w:rPr>
                <w:sz w:val="22"/>
              </w:rPr>
              <m:t>+</m:t>
            </m:r>
            <m:sSub>
              <m:e>
                <m:r>
                  <w:rPr>
                    <w:sz w:val="22"/>
                  </w:rPr>
                  <m:t>n</m:t>
                </m:r>
              </m:e>
              <m:sub>
                <m:r>
                  <m:rPr>
                    <m:nor/>
                    <m:sty m:val="p"/>
                  </m:rPr>
                  <w:rPr>
                    <w:sz w:val="22"/>
                  </w:rPr>
                  <m:t>activities</m:t>
                </m:r>
              </m:sub>
            </m:sSub>
            <m:r>
              <m:rPr>
                <m:sty m:val="p"/>
              </m:rPr>
              <w:rPr>
                <w:sz w:val="22"/>
              </w:rPr>
              <m:t>×</m:t>
            </m:r>
            <m:r>
              <m:rPr>
                <m:nor/>
                <m:sty m:val="p"/>
              </m:rPr>
              <w:rPr>
                <w:sz w:val="22"/>
              </w:rPr>
              <m:t>Grounding</m:t>
            </m:r>
          </m:e>
        </m:d>
      </m:oMath>
      <w:r>
        <w:t xml:space="preserve">, yield near-identical rankings to the multiplicative baseline. Substance under the multiplicative and grounded-count forms correlates at Spearman</w:t>
      </w:r>
      <w:r>
        <w:t xml:space="preserve"> </w:t>
      </w:r>
      <m:oMath>
        <m:r>
          <w:rPr>
            <w:sz w:val="22"/>
          </w:rPr>
          <m:t>ρ</m:t>
        </m:r>
        <m:r>
          <m:rPr>
            <m:sty m:val="p"/>
          </m:rPr>
          <w:rPr>
            <w:sz w:val="22"/>
          </w:rPr>
          <m:t>=</m:t>
        </m:r>
        <m:r>
          <w:rPr>
            <w:sz w:val="22"/>
          </w:rPr>
          <m:t>0.991</m:t>
        </m:r>
      </m:oMath>
      <w:r>
        <w:t xml:space="preserve"> </w:t>
      </w:r>
      <w:r>
        <w:t xml:space="preserve">(</w:t>
      </w:r>
      <m:oMath>
        <m:r>
          <w:rPr>
            <w:sz w:val="22"/>
          </w:rPr>
          <m:t>n</m:t>
        </m:r>
        <m:r>
          <m:rPr>
            <m:sty m:val="p"/>
          </m:rPr>
          <w:rPr>
            <w:sz w:val="22"/>
          </w:rPr>
          <m:t>=</m:t>
        </m:r>
        <m:r>
          <w:rPr>
            <w:sz w:val="22"/>
          </w:rPr>
          <m:t>1884</m:t>
        </m:r>
      </m:oMath>
      <w:r>
        <w:t xml:space="preserve">), producing decoupling indices with</w:t>
      </w:r>
      <w:r>
        <w:t xml:space="preserve"> </w:t>
      </w:r>
      <m:oMath>
        <m:r>
          <w:rPr>
            <w:sz w:val="22"/>
          </w:rPr>
          <m:t>ρ</m:t>
        </m:r>
        <m:r>
          <m:rPr>
            <m:sty m:val="p"/>
          </m:rPr>
          <w:rPr>
            <w:sz w:val="22"/>
          </w:rPr>
          <m:t>=</m:t>
        </m:r>
        <m:r>
          <w:rPr>
            <w:sz w:val="22"/>
          </w:rPr>
          <m:t>0.986</m:t>
        </m:r>
      </m:oMath>
      <w:r>
        <w:t xml:space="preserve"> </w:t>
      </w:r>
      <w:r>
        <w:t xml:space="preserve">and 89 of 102 shared top-tail firm-years (Jaccard = 0.774). The multiplicative form is preferred because it penalizes ungrounded volume: a firm with many vague activities does not automatically outscore one with fewer, well-grounded actions.</w:t>
      </w:r>
    </w:p>
    <w:p>
      <w:pPr>
        <w:pStyle w:val="Textoindependiente"/>
      </w:pPr>
      <w:r>
        <w:rPr>
          <w:b/>
          <w:bCs/>
        </w:rPr>
        <w:t xml:space="preserve">Residual decoupling index (</w:t>
      </w:r>
      <m:oMath>
        <m:sSup>
          <m:e>
            <m:r>
              <w:rPr>
                <w:sz w:val="22"/>
              </w:rPr>
              <m:t>W</m:t>
            </m:r>
          </m:e>
          <m:sup>
            <m:r>
              <m:rPr>
                <m:sty m:val="p"/>
              </m:rPr>
              <w:rPr>
                <w:sz w:val="22"/>
              </w:rPr>
              <m:t>*</m:t>
            </m:r>
          </m:sup>
        </m:sSup>
      </m:oMath>
      <w:r>
        <w:rPr>
          <w:b/>
          <w:bCs/>
        </w:rPr>
        <w:t xml:space="preserve">, a Jones-model analogue).</w:t>
      </w:r>
      <w:r>
        <w:t xml:space="preserve"> </w:t>
      </w:r>
      <w:r>
        <w:t xml:space="preserve">To check that subtracting ranks does not create an artifact that a parametric residualization would avoid, an earnings-management style regression</w:t>
      </w:r>
      <w:r>
        <w:t xml:space="preserve"> </w:t>
      </w:r>
      <w:r>
        <w:t xml:space="preserve">(</w:t>
      </w:r>
      <w:hyperlink w:anchor="ref-jones1991">
        <w:r>
          <w:rPr>
            <w:rStyle w:val="Hipervnculo"/>
          </w:rPr>
          <w:t xml:space="preserve">Jones 1991</w:t>
        </w:r>
      </w:hyperlink>
      <w:r>
        <w:t xml:space="preserve">)</w:t>
      </w:r>
      <w:r>
        <w:t xml:space="preserve"> </w:t>
      </w:r>
      <w:r>
        <w:t xml:space="preserve">predicts the substance rank from the disclosure rank, controlling for firm scale and two-digit SIC industry fixed effects:</w:t>
      </w:r>
    </w:p>
    <w:p>
      <w:pPr>
        <w:pStyle w:val="Textoindependiente"/>
      </w:pPr>
      <m:oMathPara>
        <m:oMathParaPr>
          <m:jc m:val="center"/>
        </m:oMathParaPr>
        <m:oMath>
          <m:r>
            <m:rPr>
              <m:nor/>
              <m:sty m:val="p"/>
            </m:rPr>
            <w:rPr>
              <w:sz w:val="22"/>
            </w:rPr>
            <m:t>pctrank</m:t>
          </m:r>
          <m:d>
            <m:dPr>
              <m:begChr m:val="("/>
              <m:sepChr m:val=""/>
              <m:endChr m:val=")"/>
              <m:grow/>
            </m:dPr>
            <m:e>
              <m:sSub>
                <m:e>
                  <m:r>
                    <m:rPr>
                      <m:nor/>
                      <m:sty m:val="p"/>
                    </m:rPr>
                    <w:rPr>
                      <w:sz w:val="22"/>
                    </w:rPr>
                    <m:t>Substance</m:t>
                  </m:r>
                </m:e>
                <m:sub>
                  <m:r>
                    <w:rPr>
                      <w:sz w:val="22"/>
                    </w:rPr>
                    <m:t>i</m:t>
                  </m:r>
                  <m:r>
                    <w:rPr>
                      <w:sz w:val="22"/>
                    </w:rPr>
                    <m:t>t</m:t>
                  </m:r>
                </m:sub>
              </m:sSub>
            </m:e>
          </m:d>
          <m:r>
            <m:rPr>
              <m:sty m:val="p"/>
            </m:rPr>
            <w:rPr>
              <w:sz w:val="22"/>
            </w:rPr>
            <m:t>=</m:t>
          </m:r>
          <m:sSub>
            <m:e>
              <m:r>
                <w:rPr>
                  <w:sz w:val="22"/>
                </w:rPr>
                <m:t>α</m:t>
              </m:r>
            </m:e>
            <m:sub>
              <m:r>
                <w:rPr>
                  <w:sz w:val="22"/>
                </w:rPr>
                <m:t>s</m:t>
              </m:r>
            </m:sub>
          </m:sSub>
          <m:r>
            <m:rPr>
              <m:sty m:val="p"/>
            </m:rPr>
            <w:rPr>
              <w:sz w:val="22"/>
            </w:rPr>
            <m:t>+</m:t>
          </m:r>
          <m:sSub>
            <m:e>
              <m:r>
                <w:rPr>
                  <w:sz w:val="22"/>
                </w:rPr>
                <m:t>β</m:t>
              </m:r>
            </m:e>
            <m:sub>
              <m:r>
                <w:rPr>
                  <w:sz w:val="22"/>
                </w:rPr>
                <m:t>1</m:t>
              </m:r>
            </m:sub>
          </m:sSub>
          <m:r>
            <m:rPr>
              <m:nor/>
              <m:sty m:val="p"/>
            </m:rPr>
            <w:rPr>
              <w:sz w:val="22"/>
            </w:rPr>
            <m:t>pctrank</m:t>
          </m:r>
          <m:d>
            <m:dPr>
              <m:begChr m:val="("/>
              <m:sepChr m:val=""/>
              <m:endChr m:val=")"/>
              <m:grow/>
            </m:dPr>
            <m:e>
              <m:sSub>
                <m:e>
                  <m:r>
                    <m:rPr>
                      <m:nor/>
                      <m:sty m:val="p"/>
                    </m:rPr>
                    <w:rPr>
                      <w:sz w:val="22"/>
                    </w:rPr>
                    <m:t>Disclosure</m:t>
                  </m:r>
                </m:e>
                <m:sub>
                  <m:r>
                    <w:rPr>
                      <w:sz w:val="22"/>
                    </w:rPr>
                    <m:t>i</m:t>
                  </m:r>
                  <m:r>
                    <w:rPr>
                      <w:sz w:val="22"/>
                    </w:rPr>
                    <m:t>t</m:t>
                  </m:r>
                </m:sub>
              </m:sSub>
            </m:e>
          </m:d>
          <m:r>
            <m:rPr>
              <m:sty m:val="p"/>
            </m:rPr>
            <w:rPr>
              <w:sz w:val="22"/>
            </w:rPr>
            <m:t>+</m:t>
          </m:r>
          <m:sSub>
            <m:e>
              <m:r>
                <w:rPr>
                  <w:sz w:val="22"/>
                </w:rPr>
                <m:t>β</m:t>
              </m:r>
            </m:e>
            <m:sub>
              <m:r>
                <w:rPr>
                  <w:sz w:val="22"/>
                </w:rPr>
                <m:t>2</m:t>
              </m:r>
            </m:sub>
          </m:sSub>
          <m:r>
            <m:rPr>
              <m:sty m:val="p"/>
            </m:rPr>
            <w:rPr>
              <w:sz w:val="22"/>
            </w:rPr>
            <m:t>log</m:t>
          </m:r>
          <m:d>
            <m:dPr>
              <m:begChr m:val="("/>
              <m:sepChr m:val=""/>
              <m:endChr m:val=")"/>
              <m:grow/>
            </m:dPr>
            <m:e>
              <m:sSub>
                <m:e>
                  <m:r>
                    <m:rPr>
                      <m:nor/>
                      <m:sty m:val="p"/>
                    </m:rPr>
                    <w:rPr>
                      <w:sz w:val="22"/>
                    </w:rPr>
                    <m:t>MarketCap</m:t>
                  </m:r>
                </m:e>
                <m:sub>
                  <m:r>
                    <w:rPr>
                      <w:sz w:val="22"/>
                    </w:rPr>
                    <m:t>i</m:t>
                  </m:r>
                  <m:r>
                    <w:rPr>
                      <w:sz w:val="22"/>
                    </w:rPr>
                    <m:t>t</m:t>
                  </m:r>
                </m:sub>
              </m:sSub>
            </m:e>
          </m:d>
          <m:r>
            <m:rPr>
              <m:sty m:val="p"/>
            </m:rPr>
            <w:rPr>
              <w:sz w:val="22"/>
            </w:rPr>
            <m:t>+</m:t>
          </m:r>
          <m:sSub>
            <m:e>
              <m:r>
                <w:rPr>
                  <w:sz w:val="22"/>
                </w:rPr>
                <m:t>ε</m:t>
              </m:r>
            </m:e>
            <m:sub>
              <m:r>
                <w:rPr>
                  <w:sz w:val="22"/>
                </w:rPr>
                <m:t>i</m:t>
              </m:r>
              <m:r>
                <w:rPr>
                  <w:sz w:val="22"/>
                </w:rPr>
                <m:t>t</m:t>
              </m:r>
            </m:sub>
          </m:sSub>
        </m:oMath>
      </m:oMathPara>
    </w:p>
    <w:p>
      <w:pPr>
        <w:pStyle w:val="FirstParagraph"/>
      </w:pPr>
      <w:r>
        <w:t xml:space="preserve">The residual decoupling measure is defined as</w:t>
      </w:r>
      <w:r>
        <w:t xml:space="preserve"> </w:t>
      </w:r>
      <m:oMath>
        <m:sSubSup>
          <m:e>
            <m:r>
              <w:rPr>
                <w:sz w:val="22"/>
              </w:rPr>
              <m:t>W</m:t>
            </m:r>
          </m:e>
          <m:sub>
            <m:r>
              <w:rPr>
                <w:sz w:val="22"/>
              </w:rPr>
              <m:t>i</m:t>
            </m:r>
            <m:r>
              <w:rPr>
                <w:sz w:val="22"/>
              </w:rPr>
              <m:t>t</m:t>
            </m:r>
          </m:sub>
          <m:sup>
            <m:r>
              <m:rPr>
                <m:sty m:val="p"/>
              </m:rPr>
              <w:rPr>
                <w:sz w:val="22"/>
              </w:rPr>
              <m:t>*</m:t>
            </m:r>
          </m:sup>
        </m:sSubSup>
        <m:r>
          <m:rPr>
            <m:sty m:val="p"/>
          </m:rPr>
          <w:rPr>
            <w:sz w:val="22"/>
          </w:rPr>
          <m:t>≡</m:t>
        </m:r>
        <m:r>
          <m:rPr>
            <m:sty m:val="p"/>
          </m:rPr>
          <w:rPr>
            <w:sz w:val="22"/>
          </w:rPr>
          <m:t>−</m:t>
        </m:r>
        <m:sSub>
          <m:e>
            <m:acc>
              <m:accPr>
                <m:chr m:val="̂"/>
              </m:accPr>
              <m:e>
                <m:r>
                  <w:rPr>
                    <w:sz w:val="22"/>
                  </w:rPr>
                  <m:t>ε</m:t>
                </m:r>
              </m:e>
            </m:acc>
          </m:e>
          <m:sub>
            <m:r>
              <w:rPr>
                <w:sz w:val="22"/>
              </w:rPr>
              <m:t>i</m:t>
            </m:r>
            <m:r>
              <w:rPr>
                <w:sz w:val="22"/>
              </w:rPr>
              <m:t>t</m:t>
            </m:r>
          </m:sub>
        </m:sSub>
      </m:oMath>
      <w:r>
        <w:t xml:space="preserve">, such that positive values denote firms whose grounded operational substance falls short of what is expected given their narrative volume, scale, and sector.</w:t>
      </w:r>
      <w:r>
        <w:t xml:space="preserve"> </w:t>
      </w:r>
      <m:oMath>
        <m:sSup>
          <m:e>
            <m:r>
              <w:rPr>
                <w:sz w:val="22"/>
              </w:rPr>
              <m:t>W</m:t>
            </m:r>
          </m:e>
          <m:sup>
            <m:r>
              <m:rPr>
                <m:sty m:val="p"/>
              </m:rPr>
              <w:rPr>
                <w:sz w:val="22"/>
              </w:rPr>
              <m:t>*</m:t>
            </m:r>
          </m:sup>
        </m:sSup>
      </m:oMath>
      <w:r>
        <w:t xml:space="preserve"> </w:t>
      </w:r>
      <w:r>
        <w:t xml:space="preserve">exhibits a Spearman rank correlation of</w:t>
      </w:r>
      <w:r>
        <w:t xml:space="preserve"> </w:t>
      </w:r>
      <m:oMath>
        <m:r>
          <w:rPr>
            <w:sz w:val="22"/>
          </w:rPr>
          <m:t>ρ</m:t>
        </m:r>
        <m:r>
          <m:rPr>
            <m:sty m:val="p"/>
          </m:rPr>
          <w:rPr>
            <w:sz w:val="22"/>
          </w:rPr>
          <m:t>=</m:t>
        </m:r>
        <m:r>
          <w:rPr>
            <w:sz w:val="22"/>
          </w:rPr>
          <m:t>0.808</m:t>
        </m:r>
      </m:oMath>
      <w:r>
        <w:t xml:space="preserve"> </w:t>
      </w:r>
      <w:r>
        <w:t xml:space="preserve">(</w:t>
      </w:r>
      <m:oMath>
        <m:r>
          <w:rPr>
            <w:sz w:val="22"/>
          </w:rPr>
          <m:t>p</m:t>
        </m:r>
        <m:r>
          <m:rPr>
            <m:sty m:val="p"/>
          </m:rPr>
          <w:rPr>
            <w:sz w:val="22"/>
          </w:rPr>
          <m:t>&lt;</m:t>
        </m:r>
        <m:r>
          <w:rPr>
            <w:sz w:val="22"/>
          </w:rPr>
          <m:t>0.0001</m:t>
        </m:r>
      </m:oMath>
      <w:r>
        <w:t xml:space="preserve">,</w:t>
      </w:r>
      <w:r>
        <w:t xml:space="preserve"> </w:t>
      </w:r>
      <m:oMath>
        <m:r>
          <w:rPr>
            <w:sz w:val="22"/>
          </w:rPr>
          <m:t>n</m:t>
        </m:r>
        <m:r>
          <m:rPr>
            <m:sty m:val="p"/>
          </m:rPr>
          <w:rPr>
            <w:sz w:val="22"/>
          </w:rPr>
          <m:t>=</m:t>
        </m:r>
        <m:r>
          <w:rPr>
            <w:sz w:val="22"/>
          </w:rPr>
          <m:t>1</m:t>
        </m:r>
        <m:r>
          <m:rPr>
            <m:sty m:val="p"/>
          </m:rPr>
          <w:rPr>
            <w:sz w:val="22"/>
          </w:rPr>
          <m:t>,</m:t>
        </m:r>
        <m:r>
          <w:rPr>
            <w:sz w:val="22"/>
          </w:rPr>
          <m:t>664</m:t>
        </m:r>
      </m:oMath>
      <w:r>
        <w:t xml:space="preserve">) with non-parametric</w:t>
      </w:r>
      <w:r>
        <w:t xml:space="preserve"> </w:t>
      </w:r>
      <m:oMath>
        <m:r>
          <w:rPr>
            <w:sz w:val="22"/>
          </w:rPr>
          <m:t>W</m:t>
        </m:r>
      </m:oMath>
      <w:r>
        <w:t xml:space="preserve">, and shares</w:t>
      </w:r>
      <w:r>
        <w:t xml:space="preserve"> </w:t>
      </w:r>
      <m:oMath>
        <m:r>
          <w:rPr>
            <w:sz w:val="22"/>
          </w:rPr>
          <m:t>61.9</m:t>
        </m:r>
        <m:r>
          <m:rPr>
            <m:sty m:val="p"/>
          </m:rPr>
          <w:rPr>
            <w:sz w:val="22"/>
          </w:rPr>
          <m:t>%</m:t>
        </m:r>
      </m:oMath>
      <w:r>
        <w:t xml:space="preserve"> </w:t>
      </w:r>
      <w:r>
        <w:t xml:space="preserve">of firm-years in the extreme top-5% decoupling tail (</w:t>
      </w:r>
      <m:oMath>
        <m:r>
          <w:rPr>
            <w:sz w:val="22"/>
          </w:rPr>
          <m:t>52</m:t>
        </m:r>
      </m:oMath>
      <w:r>
        <w:t xml:space="preserve"> </w:t>
      </w:r>
      <w:r>
        <w:t xml:space="preserve">of</w:t>
      </w:r>
      <w:r>
        <w:t xml:space="preserve"> </w:t>
      </w:r>
      <m:oMath>
        <m:r>
          <w:rPr>
            <w:sz w:val="22"/>
          </w:rPr>
          <m:t>84</m:t>
        </m:r>
      </m:oMath>
      <w:r>
        <w:t xml:space="preserve">), supporting substantial agreement between the rank-based and regression-adjusted measures.</w:t>
      </w:r>
      <w:r>
        <w:t xml:space="preserve"> </w:t>
      </w:r>
      <m:oMath>
        <m:r>
          <w:rPr>
            <w:sz w:val="22"/>
          </w:rPr>
          <m:t>W</m:t>
        </m:r>
      </m:oMath>
      <w:r>
        <w:t xml:space="preserve"> </w:t>
      </w:r>
      <w:r>
        <w:t xml:space="preserve">reaches that agreement without distributional assumptions and without the instability that a small industry cell would bring to a fully residualized parametric index.</w:t>
      </w:r>
    </w:p>
    <w:p>
      <w:pPr>
        <w:pStyle w:val="Textoindependiente"/>
      </w:pPr>
      <w:r>
        <w:rPr>
          <w:b/>
          <w:bCs/>
        </w:rPr>
        <w:t xml:space="preserve">Persistence and within-year reliability.</w:t>
      </w:r>
      <w:r>
        <w:t xml:space="preserve"> </w:t>
      </w:r>
      <w:r>
        <w:t xml:space="preserve">Decoupling is a lasting communication posture rather than annual reporting noise. Across 1374 consecutive firm-year pairs the year-over-year Spearman</w:t>
      </w:r>
      <w:r>
        <w:t xml:space="preserve"> </w:t>
      </w:r>
      <m:oMath>
        <m:r>
          <w:rPr>
            <w:sz w:val="22"/>
          </w:rPr>
          <m:t>ρ</m:t>
        </m:r>
        <m:r>
          <m:rPr>
            <m:sty m:val="p"/>
          </m:rPr>
          <w:rPr>
            <w:sz w:val="22"/>
          </w:rPr>
          <m:t>=</m:t>
        </m:r>
      </m:oMath>
      <w:r>
        <w:t xml:space="preserve"> </w:t>
      </w:r>
      <w:r>
        <w:t xml:space="preserve">+0.599 (p &lt; 0.001), and a split-half check within a single year, with</w:t>
      </w:r>
      <w:r>
        <w:t xml:space="preserve"> </w:t>
      </w:r>
      <m:oMath>
        <m:r>
          <w:rPr>
            <w:sz w:val="22"/>
          </w:rPr>
          <m:t>W</m:t>
        </m:r>
      </m:oMath>
      <w:r>
        <w:t xml:space="preserve"> </w:t>
      </w:r>
      <w:r>
        <w:t xml:space="preserve">computed on two random halves of each firm-year’s documents, reproduces the same ordering,</w:t>
      </w:r>
      <w:r>
        <w:t xml:space="preserve"> </w:t>
      </w:r>
      <m:oMath>
        <m:r>
          <w:rPr>
            <w:sz w:val="22"/>
          </w:rPr>
          <m:t>ρ</m:t>
        </m:r>
        <m:r>
          <m:rPr>
            <m:sty m:val="p"/>
          </m:rPr>
          <w:rPr>
            <w:sz w:val="22"/>
          </w:rPr>
          <m:t>=</m:t>
        </m:r>
      </m:oMath>
      <w:r>
        <w:t xml:space="preserve"> </w:t>
      </w:r>
      <w:r>
        <w:t xml:space="preserve">+0.633 (p &lt; 0.001,</w:t>
      </w:r>
      <w:r>
        <w:t xml:space="preserve"> </w:t>
      </w:r>
      <m:oMath>
        <m:r>
          <w:rPr>
            <w:sz w:val="22"/>
          </w:rPr>
          <m:t>n</m:t>
        </m:r>
        <m:r>
          <m:rPr>
            <m:sty m:val="p"/>
          </m:rPr>
          <w:rPr>
            <w:sz w:val="22"/>
          </w:rPr>
          <m:t>=</m:t>
        </m:r>
      </m:oMath>
      <w:r>
        <w:t xml:space="preserve"> </w:t>
      </w:r>
      <w:r>
        <w:t xml:space="preserve">456), so the measure is not an artifact of which documents happen to fall in a given year.</w:t>
      </w:r>
      <w:r>
        <w:t xml:space="preserve"> </w:t>
      </w:r>
      <w:hyperlink w:anchor="tbl-c4-washing-validation">
        <w:r>
          <w:rPr>
            <w:rStyle w:val="Hipervnculo"/>
          </w:rPr>
          <w:t xml:space="preserve">Table 43</w:t>
        </w:r>
      </w:hyperlink>
      <w:r>
        <w:t xml:space="preserve"> </w:t>
      </w:r>
      <w:r>
        <w:t xml:space="preserve">summarizes both alongside the rest of the validation battery.</w:t>
      </w:r>
    </w:p>
    <w:bookmarkStart w:id="213" w:name="tbl-c4-washing-validation"/>
    <w:p>
      <w:pPr>
        <w:keepNext/>
        <w:pStyle w:val="ImageCaption"/>
        <w:jc w:val="left"/>
        <w:spacing w:before="200"/>
        <w:ind w:firstLine="0" w:left="0" w:right="0"/>
      </w:pPr>
      <w:r>
        <w:t xml:space="preserve">Table 43:</w:t>
      </w:r>
      <w:r>
        <w:t xml:space="preserve"> </w:t>
      </w:r>
      <w:r>
        <w:rPr>
          <w:rStyle w:val="CaptionText"/>
        </w:rPr>
        <w:t xml:space="preserve">Decoupling index (</w:t>
      </w:r>
      <m:oMath>
        <m:r>
          <w:rPr>
            <w:sz w:val="22"/>
          </w:rPr>
          <m:t>W</m:t>
        </m:r>
      </m:oMath>
      <w:r>
        <w:rPr>
          <w:rStyle w:val="CaptionText"/>
        </w:rPr>
        <w:t xml:space="preserve">) validation summary (firm-year panel, firm-years disclosing AI).</w:t>
      </w:r>
    </w:p>
    <w:tbl>
      <w:tblPr>
        <w:tblStyle w:val="Table"/>
        <w:tblW w:type="auto" w:w="0"/>
        <w:jc w:val="center"/>
        <w:tblLook w:firstRow="1" w:lastRow="0" w:firstColumn="0" w:lastColumn="0" w:noHBand="0" w:noVBand="0" w:val="0020"/>
        <w:tblBorders>
          <w:top w:val="single" w:sz="8" w:space="0" w:color="0F172A"/>
          <w:bottom w:val="single" w:sz="8" w:space="0" w:color="0F172A"/>
          <w:left w:val="none"/>
          <w:right w:val="none"/>
          <w:insideH w:val="single" w:sz="4" w:space="0" w:color="E2E8F0"/>
          <w:insideV w:val="none"/>
        </w:tblBorders>
        <w:tblCellMar>
          <w:top w:w="26" w:type="dxa"/>
          <w:bottom w:w="26" w:type="dxa"/>
          <w:left w:w="48" w:type="dxa"/>
          <w:right w:w="48" w:type="dxa"/>
        </w:tblCellMar>
      </w:tblPr>
      <w:tblGrid>
        <w:gridCol w:w="1980"/>
        <w:gridCol w:w="1980"/>
        <w:gridCol w:w="1980"/>
        <w:gridCol w:w="1980"/>
      </w:tblGrid>
      <w:tr>
        <w:trPr>
          <w:tblHeader w:val="on"/>
          <w:cantSplit/>
          <w:tblHeader/>
        </w:trPr>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6"/>
              </w:rPr>
              <w:t xml:space="preserve">Check</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6"/>
              </w:rPr>
              <w:t xml:space="preserve">Sample</w:t>
            </w:r>
          </w:p>
        </w:tc>
        <w:tc>
          <w:tcPr>
            <w:shd w:fill="F1F5F9"/>
            <w:tcBorders>
              <w:bottom w:val="single" w:sz="8" w:space="0" w:color="475569"/>
            </w:tcBorders>
          </w:tcPr>
          <w:p>
            <w:pPr>
              <w:pStyle w:val="Compact"/>
              <w:keepNext/>
              <w:spacing w:before="8" w:after="8" w:line="240" w:lineRule="auto"/>
              <w:ind w:firstLine="0" w:left="0" w:right="0"/>
              <w:jc w:val="right"/>
              <w:jc w:val="center"/>
            </w:pPr>
            <w:r>
              <w:rPr>
                <w:rFonts w:ascii="Calibri" w:hAnsi="Calibri"/>
                <w:b/>
                <w:color w:val="0F172A"/>
                <w:sz w:val="16"/>
              </w:rPr>
              <w:t xml:space="preserve">Spearman</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6"/>
              </w:rPr>
              <w:t xml:space="preserve">p</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Construct consistency vs. Grounding</w:t>
            </w:r>
          </w:p>
        </w:tc>
        <w:tc>
          <w:tcPr/>
          <w:p>
            <w:pPr>
              <w:pStyle w:val="Compact"/>
              <w:keepNext/>
              <w:spacing w:before="8" w:after="8" w:line="240" w:lineRule="auto"/>
              <w:ind w:firstLine="0" w:left="0" w:right="0"/>
              <w:jc w:val="left"/>
              <w:jc w:val="center"/>
            </w:pPr>
            <w:r>
              <w:rPr>
                <w:rFonts w:ascii="Calibri" w:hAnsi="Calibri"/>
                <w:sz w:val="16"/>
              </w:rPr>
              <w:t xml:space="preserve">n=1500</w:t>
            </w:r>
          </w:p>
        </w:tc>
        <w:tc>
          <w:tcPr/>
          <w:p>
            <w:pPr>
              <w:pStyle w:val="Compact"/>
              <w:keepNext/>
              <w:spacing w:before="8" w:after="8" w:line="240" w:lineRule="auto"/>
              <w:ind w:firstLine="0" w:left="0" w:right="0"/>
              <w:jc w:val="right"/>
              <w:jc w:val="center"/>
            </w:pPr>
            <w:r>
              <w:rPr>
                <w:rFonts w:ascii="Calibri" w:hAnsi="Calibri"/>
                <w:sz w:val="16"/>
              </w:rPr>
              <w:t xml:space="preserve">-0.459</w:t>
            </w:r>
          </w:p>
        </w:tc>
        <w:tc>
          <w:tcPr/>
          <w:p>
            <w:pPr>
              <w:pStyle w:val="Compact"/>
              <w:keepNext/>
              <w:spacing w:before="8" w:after="8" w:line="240" w:lineRule="auto"/>
              <w:ind w:firstLine="0" w:left="0" w:right="0"/>
              <w:jc w:val="left"/>
              <w:jc w:val="center"/>
            </w:pPr>
            <w:r>
              <w:rPr>
                <w:rFonts w:ascii="Calibri" w:hAnsi="Calibri"/>
                <w:sz w:val="16"/>
              </w:rPr>
              <w:t xml:space="preserve">&lt;0.001</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Persistence (W_t vs. W_t+1)</w:t>
            </w:r>
          </w:p>
        </w:tc>
        <w:tc>
          <w:tcPr/>
          <w:p>
            <w:pPr>
              <w:pStyle w:val="Compact"/>
              <w:keepNext/>
              <w:spacing w:before="8" w:after="8" w:line="240" w:lineRule="auto"/>
              <w:ind w:firstLine="0" w:left="0" w:right="0"/>
              <w:jc w:val="left"/>
              <w:jc w:val="center"/>
            </w:pPr>
            <w:r>
              <w:rPr>
                <w:rFonts w:ascii="Calibri" w:hAnsi="Calibri"/>
                <w:sz w:val="16"/>
              </w:rPr>
              <w:t xml:space="preserve">n=1374 pairs</w:t>
            </w:r>
          </w:p>
        </w:tc>
        <w:tc>
          <w:tcPr/>
          <w:p>
            <w:pPr>
              <w:pStyle w:val="Compact"/>
              <w:keepNext/>
              <w:spacing w:before="8" w:after="8" w:line="240" w:lineRule="auto"/>
              <w:ind w:firstLine="0" w:left="0" w:right="0"/>
              <w:jc w:val="right"/>
              <w:jc w:val="center"/>
            </w:pPr>
            <w:r>
              <w:rPr>
                <w:rFonts w:ascii="Calibri" w:hAnsi="Calibri"/>
                <w:sz w:val="16"/>
              </w:rPr>
              <w:t xml:space="preserve">0.599</w:t>
            </w:r>
          </w:p>
        </w:tc>
        <w:tc>
          <w:tcPr/>
          <w:p>
            <w:pPr>
              <w:pStyle w:val="Compact"/>
              <w:keepNext/>
              <w:spacing w:before="8" w:after="8" w:line="240" w:lineRule="auto"/>
              <w:ind w:firstLine="0" w:left="0" w:right="0"/>
              <w:jc w:val="left"/>
              <w:jc w:val="center"/>
            </w:pPr>
            <w:r>
              <w:rPr>
                <w:rFonts w:ascii="Calibri" w:hAnsi="Calibri"/>
                <w:sz w:val="16"/>
              </w:rPr>
              <w:t xml:space="preserve">&lt;0.001</w:t>
            </w:r>
          </w:p>
        </w:tc>
      </w:tr>
      <w:tr>
        <w:trPr>
          <w:cantSplit/>
        </w:trPr>
        <w:tc>
          <w:tcPr/>
          <w:p>
            <w:pPr>
              <w:pStyle w:val="Compact"/>
              <w:spacing w:before="8" w:after="8" w:line="240" w:lineRule="auto"/>
              <w:ind w:firstLine="0" w:left="0" w:right="0"/>
              <w:jc w:val="left"/>
              <w:jc w:val="center"/>
            </w:pPr>
            <w:r>
              <w:rPr>
                <w:rFonts w:ascii="Calibri" w:hAnsi="Calibri"/>
                <w:sz w:val="16"/>
              </w:rPr>
              <w:t xml:space="preserve">Split-half (years split per firm)</w:t>
            </w:r>
          </w:p>
        </w:tc>
        <w:tc>
          <w:tcPr/>
          <w:p>
            <w:pPr>
              <w:pStyle w:val="Compact"/>
              <w:spacing w:before="8" w:after="8" w:line="240" w:lineRule="auto"/>
              <w:ind w:firstLine="0" w:left="0" w:right="0"/>
              <w:jc w:val="left"/>
              <w:jc w:val="center"/>
            </w:pPr>
            <w:r>
              <w:rPr>
                <w:rFonts w:ascii="Calibri" w:hAnsi="Calibri"/>
                <w:sz w:val="16"/>
              </w:rPr>
              <w:t xml:space="preserve">n=456 firms</w:t>
            </w:r>
          </w:p>
        </w:tc>
        <w:tc>
          <w:tcPr/>
          <w:p>
            <w:pPr>
              <w:pStyle w:val="Compact"/>
              <w:spacing w:before="8" w:after="8" w:line="240" w:lineRule="auto"/>
              <w:ind w:firstLine="0" w:left="0" w:right="0"/>
              <w:jc w:val="right"/>
              <w:jc w:val="center"/>
            </w:pPr>
            <w:r>
              <w:rPr>
                <w:rFonts w:ascii="Calibri" w:hAnsi="Calibri"/>
                <w:sz w:val="16"/>
              </w:rPr>
              <w:t xml:space="preserve">0.633</w:t>
            </w:r>
          </w:p>
        </w:tc>
        <w:tc>
          <w:tcPr/>
          <w:p>
            <w:pPr>
              <w:pStyle w:val="Compact"/>
              <w:spacing w:before="8" w:after="8" w:line="240" w:lineRule="auto"/>
              <w:ind w:firstLine="0" w:left="0" w:right="0"/>
              <w:jc w:val="left"/>
              <w:jc w:val="center"/>
            </w:pPr>
            <w:r>
              <w:rPr>
                <w:rFonts w:ascii="Calibri" w:hAnsi="Calibri"/>
                <w:sz w:val="16"/>
              </w:rPr>
              <w:t xml:space="preserve">&lt;0.001</w:t>
            </w:r>
          </w:p>
        </w:tc>
      </w:tr>
    </w:tbl>
    <w:bookmarkEnd w:id="210"/>
    <w:p>
      <w:pPr>
        <w:pStyle w:val="FigureNote"/>
        <w:ind w:firstLine="0" w:left="0" w:right="0"/>
        <w:spacing w:before="0" w:after="120"/>
      </w:pPr>
      <w:r>
        <w:rPr>
          <w:i/>
          <w:iCs/>
        </w:rPr>
        <w:t xml:space="preserve">Notes:</w:t>
      </w:r>
      <w:r>
        <w:t xml:space="preserve"> </w:t>
      </w:r>
      <w:r>
        <w:t xml:space="preserve">Construct consistency against Grounding is restricted to firm-years with at least one disclosed AI activity (</w:t>
      </w:r>
      <m:oMath>
        <m:r>
          <w:rPr>
            <w:sz w:val="22"/>
          </w:rPr>
          <m:t>n</m:t>
        </m:r>
        <m:r>
          <m:rPr>
            <m:sty m:val="p"/>
          </m:rPr>
          <w:rPr>
            <w:sz w:val="22"/>
          </w:rPr>
          <m:t>=</m:t>
        </m:r>
        <m:r>
          <w:rPr>
            <w:sz w:val="22"/>
          </w:rPr>
          <m:t>1500</m:t>
        </m:r>
      </m:oMath>
      <w:r>
        <w:t xml:space="preserve">). Because Grounding is an internal component of Substance, this confirms mechanical consistency rather than independent validity. The economic-coherence tests show no association between</w:t>
      </w:r>
      <w:r>
        <w:t xml:space="preserve"> </w:t>
      </w:r>
      <m:oMath>
        <m:r>
          <w:rPr>
            <w:sz w:val="22"/>
          </w:rPr>
          <m:t>W</m:t>
        </m:r>
      </m:oMath>
      <w:r>
        <w:t xml:space="preserve"> </w:t>
      </w:r>
      <w:r>
        <w:t xml:space="preserve">and R&amp;D intensity (</w:t>
      </w:r>
      <w:r>
        <w:t xml:space="preserve">$\rho = \+0\.057, p = 0\.089), firm size (\-0\.031) or beta (\+0\.031), and a small positive one with valuation ($</w:t>
      </w:r>
      <w:r>
        <w:t xml:space="preserve">= +0.075) and idiosyncratic volatility (+0.049), so</w:t>
      </w:r>
      <w:r>
        <w:t xml:space="preserve"> </w:t>
      </w:r>
      <m:oMath>
        <m:r>
          <w:rPr>
            <w:sz w:val="22"/>
          </w:rPr>
          <m:t>W</m:t>
        </m:r>
      </m:oMath>
      <w:r>
        <w:t xml:space="preserve"> </w:t>
      </w:r>
      <w:r>
        <w:t xml:space="preserve">is not a restatement of size or risk.</w:t>
      </w:r>
    </w:p>
    <w:bookmarkEnd w:id="211"/>
    <w:bookmarkStart w:id="214" w:name="appendix-c3"/>
    <w:p>
      <w:pPr>
        <w:pStyle w:val="Ttulo3"/>
      </w:pPr>
      <w:r>
        <w:t xml:space="preserve">C.3 Break-date sweep for the December 2023 warning</w:t>
      </w:r>
    </w:p>
    <w:p>
      <w:pPr>
        <w:pStyle w:val="FirstParagraph"/>
      </w:pPr>
      <w:r>
        <w:t xml:space="preserve">The acceleration in risk and governance framing predates the regulator. The step estimated at December 2023 is indistinguishable from zero in both series, and refitting the same specification at every candidate break month from January 2023 to June 2025 fits best in 2023-03 and 2023-01 respectively, three quarters or more before the warning, with the estimated slope change shrinking the later the break is placed (</w:t>
      </w:r>
      <w:hyperlink w:anchor="tbl-e-break-dates">
        <w:r>
          <w:rPr>
            <w:rStyle w:val="Hipervnculo"/>
          </w:rPr>
          <w:t xml:space="preserve">Table 44</w:t>
        </w:r>
      </w:hyperlink>
      <w:r>
        <w:t xml:space="preserve">). Each specification holds quarter seasonality and log firm count fixed, with Newey-West standard errors at six lags. The reported months are the best-fitting break of each series, the warning itself, and the range either side of it.</w:t>
      </w:r>
    </w:p>
    <w:bookmarkStart w:id="215" w:name="tbl-e-break-dates"/>
    <w:p>
      <w:pPr>
        <w:keepNext/>
        <w:pStyle w:val="ImageCaption"/>
        <w:jc w:val="left"/>
        <w:spacing w:before="200"/>
        <w:ind w:firstLine="0" w:left="0" w:right="0"/>
      </w:pPr>
      <w:r>
        <w:t xml:space="preserve">Table 44:</w:t>
      </w:r>
      <w:r>
        <w:t xml:space="preserve"> </w:t>
      </w:r>
      <w:r>
        <w:rPr>
          <w:rStyle w:val="CaptionText"/>
        </w:rPr>
        <w:t xml:space="preserve">Interrupted time series of risk and governance framing, refitted at alternative break dates.</w:t>
      </w:r>
    </w:p>
    <w:tbl>
      <w:tblPr>
        <w:tblStyle w:val="Table"/>
        <w:tblW w:type="auto" w:w="0"/>
        <w:jc w:val="center"/>
        <w:tblLook w:firstRow="1" w:lastRow="0" w:firstColumn="0" w:lastColumn="0" w:noHBand="0" w:noVBand="0" w:val="0020"/>
        <w:tblBorders>
          <w:top w:val="single" w:sz="8" w:space="0" w:color="0F172A"/>
          <w:bottom w:val="single" w:sz="8" w:space="0" w:color="0F172A"/>
          <w:left w:val="none"/>
          <w:right w:val="none"/>
          <w:insideH w:val="single" w:sz="4" w:space="0" w:color="E2E8F0"/>
          <w:insideV w:val="none"/>
        </w:tblBorders>
        <w:tblCellMar>
          <w:top w:w="22" w:type="dxa"/>
          <w:bottom w:w="22" w:type="dxa"/>
          <w:left w:w="40" w:type="dxa"/>
          <w:right w:w="40" w:type="dxa"/>
        </w:tblCellMar>
      </w:tblPr>
      <w:tblGrid>
        <w:gridCol w:w="1131"/>
        <w:gridCol w:w="1131"/>
        <w:gridCol w:w="1131"/>
        <w:gridCol w:w="1131"/>
        <w:gridCol w:w="1131"/>
        <w:gridCol w:w="1131"/>
        <w:gridCol w:w="1131"/>
      </w:tblGrid>
      <w:tr>
        <w:trPr>
          <w:tblHeader w:val="on"/>
          <w:cantSplit/>
          <w:tblHeader/>
        </w:trPr>
        <w:tc>
          <w:tcPr>
            <w:shd w:fill="F1F5F9"/>
            <w:tcBorders>
              <w:bottom w:val="single" w:sz="8" w:space="0" w:color="475569"/>
            </w:tcBorders>
          </w:tcPr>
          <w:p>
            <w:pPr>
              <w:pStyle w:val="Compact"/>
              <w:spacing w:before="8" w:after="8" w:line="240" w:lineRule="auto"/>
              <w:ind w:firstLine="0" w:left="0" w:right="0"/>
              <w:jc w:val="left"/>
              <w:jc w:val="center"/>
            </w:pPr>
            <w:r>
              <w:rPr>
                <w:rFonts w:ascii="Calibri" w:hAnsi="Calibri"/>
                <w:b/>
                <w:color w:val="0F172A"/>
                <w:sz w:val="15"/>
              </w:rPr>
              <w:t xml:space="preserve">Series</w:t>
            </w:r>
          </w:p>
        </w:tc>
        <w:tc>
          <w:tcPr>
            <w:shd w:fill="F1F5F9"/>
            <w:tcBorders>
              <w:bottom w:val="single" w:sz="8" w:space="0" w:color="475569"/>
            </w:tcBorders>
          </w:tcPr>
          <w:p>
            <w:pPr>
              <w:pStyle w:val="Compact"/>
              <w:spacing w:before="8" w:after="8" w:line="240" w:lineRule="auto"/>
              <w:ind w:firstLine="0" w:left="0" w:right="0"/>
              <w:jc w:val="left"/>
              <w:jc w:val="center"/>
            </w:pPr>
            <w:r>
              <w:rPr>
                <w:rFonts w:ascii="Calibri" w:hAnsi="Calibri"/>
                <w:b/>
                <w:color w:val="0F172A"/>
                <w:sz w:val="15"/>
              </w:rPr>
              <w:t xml:space="preserve">Break date</w:t>
            </w:r>
          </w:p>
        </w:tc>
        <w:tc>
          <w:tcPr>
            <w:shd w:fill="F1F5F9"/>
            <w:tcBorders>
              <w:bottom w:val="single" w:sz="8" w:space="0" w:color="475569"/>
            </w:tcBorders>
          </w:tcPr>
          <w:p>
            <w:pPr>
              <w:pStyle w:val="Compact"/>
              <w:spacing w:before="8" w:after="8" w:line="240" w:lineRule="auto"/>
              <w:ind w:firstLine="0" w:left="0" w:right="0"/>
              <w:jc w:val="right"/>
              <w:jc w:val="center"/>
            </w:pPr>
            <w:r>
              <w:rPr>
                <w:rFonts w:ascii="Calibri" w:hAnsi="Calibri"/>
                <w:b/>
                <w:color w:val="0F172A"/>
                <w:sz w:val="15"/>
              </w:rPr>
              <w:t xml:space="preserve">Step</w:t>
            </w:r>
          </w:p>
        </w:tc>
        <w:tc>
          <w:tcPr>
            <w:shd w:fill="F1F5F9"/>
            <w:tcBorders>
              <w:bottom w:val="single" w:sz="8" w:space="0" w:color="475569"/>
            </w:tcBorders>
          </w:tcPr>
          <w:p>
            <w:pPr>
              <w:pStyle w:val="Compact"/>
              <w:spacing w:before="8" w:after="8" w:line="240" w:lineRule="auto"/>
              <w:ind w:firstLine="0" w:left="0" w:right="0"/>
              <w:jc w:val="left"/>
              <w:jc w:val="center"/>
            </w:pPr>
            <w:r>
              <w:rPr>
                <w:rFonts w:ascii="Calibri" w:hAnsi="Calibri"/>
                <w:b/>
                <w:color w:val="0F172A"/>
                <w:sz w:val="15"/>
              </w:rPr>
              <w:t xml:space="preserve">p</w:t>
            </w:r>
          </w:p>
        </w:tc>
        <w:tc>
          <w:tcPr>
            <w:shd w:fill="F1F5F9"/>
            <w:tcBorders>
              <w:bottom w:val="single" w:sz="8" w:space="0" w:color="475569"/>
            </w:tcBorders>
          </w:tcPr>
          <w:p>
            <w:pPr>
              <w:pStyle w:val="Compact"/>
              <w:spacing w:before="8" w:after="8" w:line="240" w:lineRule="auto"/>
              <w:ind w:firstLine="0" w:left="0" w:right="0"/>
              <w:jc w:val="right"/>
              <w:jc w:val="center"/>
            </w:pPr>
            <w:r>
              <w:rPr>
                <w:rFonts w:ascii="Calibri" w:hAnsi="Calibri"/>
                <w:b/>
                <w:color w:val="0F172A"/>
                <w:sz w:val="15"/>
              </w:rPr>
              <w:t xml:space="preserve">Slope change</w:t>
            </w:r>
          </w:p>
        </w:tc>
        <w:tc>
          <w:tcPr>
            <w:shd w:fill="F1F5F9"/>
            <w:tcBorders>
              <w:bottom w:val="single" w:sz="8" w:space="0" w:color="475569"/>
            </w:tcBorders>
          </w:tcPr>
          <w:p>
            <w:pPr>
              <w:pStyle w:val="Compact"/>
              <w:spacing w:before="8" w:after="8" w:line="240" w:lineRule="auto"/>
              <w:ind w:firstLine="0" w:left="0" w:right="0"/>
              <w:jc w:val="left"/>
              <w:jc w:val="center"/>
            </w:pPr>
            <w:r>
              <w:rPr>
                <w:rFonts w:ascii="Calibri" w:hAnsi="Calibri"/>
                <w:b/>
                <w:color w:val="0F172A"/>
                <w:sz w:val="15"/>
              </w:rPr>
              <w:t xml:space="preserve">p</w:t>
            </w:r>
          </w:p>
        </w:tc>
        <w:tc>
          <w:tcPr>
            <w:shd w:fill="F1F5F9"/>
            <w:tcBorders>
              <w:bottom w:val="single" w:sz="8" w:space="0" w:color="475569"/>
            </w:tcBorders>
          </w:tcPr>
          <w:p>
            <w:pPr>
              <w:pStyle w:val="Compact"/>
              <w:spacing w:before="8" w:after="8" w:line="240" w:lineRule="auto"/>
              <w:ind w:firstLine="0" w:left="0" w:right="0"/>
              <w:jc w:val="right"/>
              <w:jc w:val="center"/>
            </w:pPr>
            <m:oMath>
              <m:sSup>
                <m:e>
                  <m:r>
                    <w:rPr>
                      <w:sz w:val="15"/>
                    </w:rPr>
                    <m:t>R</m:t>
                  </m:r>
                </m:e>
                <m:sup>
                  <m:r>
                    <w:rPr>
                      <w:sz w:val="15"/>
                    </w:rPr>
                    <m:t>2</m:t>
                  </m:r>
                </m:sup>
              </m:sSup>
            </m:oMath>
          </w:p>
        </w:tc>
      </w:tr>
      <w:tr>
        <w:trPr>
          <w:cantSplit/>
        </w:trPr>
        <w:tc>
          <w:tcPr/>
          <w:p>
            <w:pPr>
              <w:pStyle w:val="Compact"/>
              <w:spacing w:before="8" w:after="8" w:line="240" w:lineRule="auto"/>
              <w:ind w:firstLine="0" w:left="0" w:right="0"/>
              <w:jc w:val="left"/>
              <w:jc w:val="center"/>
            </w:pPr>
            <w:r>
              <w:rPr>
                <w:rFonts w:ascii="Calibri" w:hAnsi="Calibri"/>
                <w:sz w:val="15"/>
              </w:rPr>
              <w:t xml:space="preserve">Risk frames</w:t>
            </w:r>
          </w:p>
        </w:tc>
        <w:tc>
          <w:tcPr/>
          <w:p>
            <w:pPr>
              <w:pStyle w:val="Compact"/>
              <w:spacing w:before="8" w:after="8" w:line="240" w:lineRule="auto"/>
              <w:ind w:firstLine="0" w:left="0" w:right="0"/>
              <w:jc w:val="left"/>
              <w:jc w:val="center"/>
            </w:pPr>
            <w:r>
              <w:rPr>
                <w:rFonts w:ascii="Calibri" w:hAnsi="Calibri"/>
                <w:sz w:val="15"/>
              </w:rPr>
              <w:t xml:space="preserve">2023-01</w:t>
            </w:r>
          </w:p>
        </w:tc>
        <w:tc>
          <w:tcPr/>
          <w:p>
            <w:pPr>
              <w:pStyle w:val="Compact"/>
              <w:spacing w:before="8" w:after="8" w:line="240" w:lineRule="auto"/>
              <w:ind w:firstLine="0" w:left="0" w:right="0"/>
              <w:jc w:val="right"/>
              <w:jc w:val="center"/>
            </w:pPr>
            <w:r>
              <w:rPr>
                <w:rFonts w:ascii="Calibri" w:hAnsi="Calibri"/>
                <w:sz w:val="15"/>
              </w:rPr>
              <w:t xml:space="preserve">-0.0069</w:t>
            </w:r>
          </w:p>
        </w:tc>
        <w:tc>
          <w:tcPr/>
          <w:p>
            <w:pPr>
              <w:pStyle w:val="Compact"/>
              <w:spacing w:before="8" w:after="8" w:line="240" w:lineRule="auto"/>
              <w:ind w:firstLine="0" w:left="0" w:right="0"/>
              <w:jc w:val="left"/>
              <w:jc w:val="center"/>
            </w:pPr>
            <w:r>
              <w:rPr>
                <w:rFonts w:ascii="Calibri" w:hAnsi="Calibri"/>
                <w:sz w:val="15"/>
              </w:rPr>
              <w:t xml:space="preserve">= 0.252</w:t>
            </w:r>
          </w:p>
        </w:tc>
        <w:tc>
          <w:tcPr/>
          <w:p>
            <w:pPr>
              <w:pStyle w:val="Compact"/>
              <w:spacing w:before="8" w:after="8" w:line="240" w:lineRule="auto"/>
              <w:ind w:firstLine="0" w:left="0" w:right="0"/>
              <w:jc w:val="right"/>
              <w:jc w:val="center"/>
            </w:pPr>
            <w:r>
              <w:rPr>
                <w:rFonts w:ascii="Calibri" w:hAnsi="Calibri"/>
                <w:sz w:val="15"/>
              </w:rPr>
              <w:t xml:space="preserve">0.0016</w:t>
            </w:r>
          </w:p>
        </w:tc>
        <w:tc>
          <w:tcPr/>
          <w:p>
            <w:pPr>
              <w:pStyle w:val="Compact"/>
              <w:spacing w:before="8" w:after="8" w:line="240" w:lineRule="auto"/>
              <w:ind w:firstLine="0" w:left="0" w:right="0"/>
              <w:jc w:val="left"/>
              <w:jc w:val="center"/>
            </w:pPr>
            <w:r>
              <w:rPr>
                <w:rFonts w:ascii="Calibri" w:hAnsi="Calibri"/>
                <w:sz w:val="15"/>
              </w:rPr>
              <w:t xml:space="preserve">&lt; 0.001</w:t>
            </w:r>
          </w:p>
        </w:tc>
        <w:tc>
          <w:tcPr/>
          <w:p>
            <w:pPr>
              <w:pStyle w:val="Compact"/>
              <w:spacing w:before="8" w:after="8" w:line="240" w:lineRule="auto"/>
              <w:ind w:firstLine="0" w:left="0" w:right="0"/>
              <w:jc w:val="right"/>
              <w:jc w:val="center"/>
            </w:pPr>
            <w:r>
              <w:rPr>
                <w:rFonts w:ascii="Calibri" w:hAnsi="Calibri"/>
                <w:sz w:val="15"/>
              </w:rPr>
              <w:t xml:space="preserve">0.775</w:t>
            </w:r>
          </w:p>
        </w:tc>
      </w:tr>
      <w:tr>
        <w:trPr>
          <w:cantSplit/>
        </w:trPr>
        <w:tc>
          <w:tcPr/>
          <w:p>
            <w:pPr>
              <w:pStyle w:val="Compact"/>
              <w:spacing w:before="8" w:after="8" w:line="240" w:lineRule="auto"/>
              <w:ind w:firstLine="0" w:left="0" w:right="0"/>
              <w:jc w:val="left"/>
            </w:pPr>
          </w:p>
        </w:tc>
        <w:tc>
          <w:tcPr/>
          <w:p>
            <w:pPr>
              <w:pStyle w:val="Compact"/>
              <w:spacing w:before="8" w:after="8" w:line="240" w:lineRule="auto"/>
              <w:ind w:firstLine="0" w:left="0" w:right="0"/>
              <w:jc w:val="left"/>
              <w:jc w:val="center"/>
            </w:pPr>
            <w:r>
              <w:rPr>
                <w:rFonts w:ascii="Calibri" w:hAnsi="Calibri"/>
                <w:sz w:val="15"/>
              </w:rPr>
              <w:t xml:space="preserve">2023-03 (best fit)</w:t>
            </w:r>
          </w:p>
        </w:tc>
        <w:tc>
          <w:tcPr/>
          <w:p>
            <w:pPr>
              <w:pStyle w:val="Compact"/>
              <w:spacing w:before="8" w:after="8" w:line="240" w:lineRule="auto"/>
              <w:ind w:firstLine="0" w:left="0" w:right="0"/>
              <w:jc w:val="right"/>
              <w:jc w:val="center"/>
            </w:pPr>
            <w:r>
              <w:rPr>
                <w:rFonts w:ascii="Calibri" w:hAnsi="Calibri"/>
                <w:sz w:val="15"/>
              </w:rPr>
              <w:t xml:space="preserve">0.0099</w:t>
            </w:r>
          </w:p>
        </w:tc>
        <w:tc>
          <w:tcPr/>
          <w:p>
            <w:pPr>
              <w:pStyle w:val="Compact"/>
              <w:spacing w:before="8" w:after="8" w:line="240" w:lineRule="auto"/>
              <w:ind w:firstLine="0" w:left="0" w:right="0"/>
              <w:jc w:val="left"/>
              <w:jc w:val="center"/>
            </w:pPr>
            <w:r>
              <w:rPr>
                <w:rFonts w:ascii="Calibri" w:hAnsi="Calibri"/>
                <w:sz w:val="15"/>
              </w:rPr>
              <w:t xml:space="preserve">= 0.263</w:t>
            </w:r>
          </w:p>
        </w:tc>
        <w:tc>
          <w:tcPr/>
          <w:p>
            <w:pPr>
              <w:pStyle w:val="Compact"/>
              <w:spacing w:before="8" w:after="8" w:line="240" w:lineRule="auto"/>
              <w:ind w:firstLine="0" w:left="0" w:right="0"/>
              <w:jc w:val="right"/>
              <w:jc w:val="center"/>
            </w:pPr>
            <w:r>
              <w:rPr>
                <w:rFonts w:ascii="Calibri" w:hAnsi="Calibri"/>
                <w:sz w:val="15"/>
              </w:rPr>
              <w:t xml:space="preserve">0.0019</w:t>
            </w:r>
          </w:p>
        </w:tc>
        <w:tc>
          <w:tcPr/>
          <w:p>
            <w:pPr>
              <w:pStyle w:val="Compact"/>
              <w:spacing w:before="8" w:after="8" w:line="240" w:lineRule="auto"/>
              <w:ind w:firstLine="0" w:left="0" w:right="0"/>
              <w:jc w:val="left"/>
              <w:jc w:val="center"/>
            </w:pPr>
            <w:r>
              <w:rPr>
                <w:rFonts w:ascii="Calibri" w:hAnsi="Calibri"/>
                <w:sz w:val="15"/>
              </w:rPr>
              <w:t xml:space="preserve">&lt; 0.001</w:t>
            </w:r>
          </w:p>
        </w:tc>
        <w:tc>
          <w:tcPr/>
          <w:p>
            <w:pPr>
              <w:pStyle w:val="Compact"/>
              <w:spacing w:before="8" w:after="8" w:line="240" w:lineRule="auto"/>
              <w:ind w:firstLine="0" w:left="0" w:right="0"/>
              <w:jc w:val="right"/>
              <w:jc w:val="center"/>
            </w:pPr>
            <w:r>
              <w:rPr>
                <w:rFonts w:ascii="Calibri" w:hAnsi="Calibri"/>
                <w:sz w:val="15"/>
              </w:rPr>
              <w:t xml:space="preserve">0.776</w:t>
            </w:r>
          </w:p>
        </w:tc>
      </w:tr>
      <w:tr>
        <w:trPr>
          <w:cantSplit/>
        </w:trPr>
        <w:tc>
          <w:tcPr/>
          <w:p>
            <w:pPr>
              <w:pStyle w:val="Compact"/>
              <w:spacing w:before="8" w:after="8" w:line="240" w:lineRule="auto"/>
              <w:ind w:firstLine="0" w:left="0" w:right="0"/>
              <w:jc w:val="left"/>
            </w:pPr>
          </w:p>
        </w:tc>
        <w:tc>
          <w:tcPr/>
          <w:p>
            <w:pPr>
              <w:pStyle w:val="Compact"/>
              <w:spacing w:before="8" w:after="8" w:line="240" w:lineRule="auto"/>
              <w:ind w:firstLine="0" w:left="0" w:right="0"/>
              <w:jc w:val="left"/>
              <w:jc w:val="center"/>
            </w:pPr>
            <w:r>
              <w:rPr>
                <w:rFonts w:ascii="Calibri" w:hAnsi="Calibri"/>
                <w:sz w:val="15"/>
              </w:rPr>
              <w:t xml:space="preserve">2023-06</w:t>
            </w:r>
          </w:p>
        </w:tc>
        <w:tc>
          <w:tcPr/>
          <w:p>
            <w:pPr>
              <w:pStyle w:val="Compact"/>
              <w:spacing w:before="8" w:after="8" w:line="240" w:lineRule="auto"/>
              <w:ind w:firstLine="0" w:left="0" w:right="0"/>
              <w:jc w:val="right"/>
              <w:jc w:val="center"/>
            </w:pPr>
            <w:r>
              <w:rPr>
                <w:rFonts w:ascii="Calibri" w:hAnsi="Calibri"/>
                <w:sz w:val="15"/>
              </w:rPr>
              <w:t xml:space="preserve">0.0063</w:t>
            </w:r>
          </w:p>
        </w:tc>
        <w:tc>
          <w:tcPr/>
          <w:p>
            <w:pPr>
              <w:pStyle w:val="Compact"/>
              <w:spacing w:before="8" w:after="8" w:line="240" w:lineRule="auto"/>
              <w:ind w:firstLine="0" w:left="0" w:right="0"/>
              <w:jc w:val="left"/>
              <w:jc w:val="center"/>
            </w:pPr>
            <w:r>
              <w:rPr>
                <w:rFonts w:ascii="Calibri" w:hAnsi="Calibri"/>
                <w:sz w:val="15"/>
              </w:rPr>
              <w:t xml:space="preserve">= 0.189</w:t>
            </w:r>
          </w:p>
        </w:tc>
        <w:tc>
          <w:tcPr/>
          <w:p>
            <w:pPr>
              <w:pStyle w:val="Compact"/>
              <w:spacing w:before="8" w:after="8" w:line="240" w:lineRule="auto"/>
              <w:ind w:firstLine="0" w:left="0" w:right="0"/>
              <w:jc w:val="right"/>
              <w:jc w:val="center"/>
            </w:pPr>
            <w:r>
              <w:rPr>
                <w:rFonts w:ascii="Calibri" w:hAnsi="Calibri"/>
                <w:sz w:val="15"/>
              </w:rPr>
              <w:t xml:space="preserve">0.0017</w:t>
            </w:r>
          </w:p>
        </w:tc>
        <w:tc>
          <w:tcPr/>
          <w:p>
            <w:pPr>
              <w:pStyle w:val="Compact"/>
              <w:spacing w:before="8" w:after="8" w:line="240" w:lineRule="auto"/>
              <w:ind w:firstLine="0" w:left="0" w:right="0"/>
              <w:jc w:val="left"/>
              <w:jc w:val="center"/>
            </w:pPr>
            <w:r>
              <w:rPr>
                <w:rFonts w:ascii="Calibri" w:hAnsi="Calibri"/>
                <w:sz w:val="15"/>
              </w:rPr>
              <w:t xml:space="preserve">&lt; 0.001</w:t>
            </w:r>
          </w:p>
        </w:tc>
        <w:tc>
          <w:tcPr/>
          <w:p>
            <w:pPr>
              <w:pStyle w:val="Compact"/>
              <w:spacing w:before="8" w:after="8" w:line="240" w:lineRule="auto"/>
              <w:ind w:firstLine="0" w:left="0" w:right="0"/>
              <w:jc w:val="right"/>
              <w:jc w:val="center"/>
            </w:pPr>
            <w:r>
              <w:rPr>
                <w:rFonts w:ascii="Calibri" w:hAnsi="Calibri"/>
                <w:sz w:val="15"/>
              </w:rPr>
              <w:t xml:space="preserve">0.771</w:t>
            </w:r>
          </w:p>
        </w:tc>
      </w:tr>
      <w:tr>
        <w:trPr>
          <w:cantSplit/>
        </w:trPr>
        <w:tc>
          <w:tcPr/>
          <w:p>
            <w:pPr>
              <w:pStyle w:val="Compact"/>
              <w:spacing w:before="8" w:after="8" w:line="240" w:lineRule="auto"/>
              <w:ind w:firstLine="0" w:left="0" w:right="0"/>
              <w:jc w:val="left"/>
            </w:pPr>
          </w:p>
        </w:tc>
        <w:tc>
          <w:tcPr/>
          <w:p>
            <w:pPr>
              <w:pStyle w:val="Compact"/>
              <w:spacing w:before="8" w:after="8" w:line="240" w:lineRule="auto"/>
              <w:ind w:firstLine="0" w:left="0" w:right="0"/>
              <w:jc w:val="left"/>
              <w:jc w:val="center"/>
            </w:pPr>
            <w:r>
              <w:rPr>
                <w:rFonts w:ascii="Calibri" w:hAnsi="Calibri"/>
                <w:sz w:val="15"/>
              </w:rPr>
              <w:t xml:space="preserve">2023-12 (SEC warning)</w:t>
            </w:r>
          </w:p>
        </w:tc>
        <w:tc>
          <w:tcPr/>
          <w:p>
            <w:pPr>
              <w:pStyle w:val="Compact"/>
              <w:spacing w:before="8" w:after="8" w:line="240" w:lineRule="auto"/>
              <w:ind w:firstLine="0" w:left="0" w:right="0"/>
              <w:jc w:val="right"/>
              <w:jc w:val="center"/>
            </w:pPr>
            <w:r>
              <w:rPr>
                <w:rFonts w:ascii="Calibri" w:hAnsi="Calibri"/>
                <w:sz w:val="15"/>
              </w:rPr>
              <w:t xml:space="preserve">0.0093</w:t>
            </w:r>
          </w:p>
        </w:tc>
        <w:tc>
          <w:tcPr/>
          <w:p>
            <w:pPr>
              <w:pStyle w:val="Compact"/>
              <w:spacing w:before="8" w:after="8" w:line="240" w:lineRule="auto"/>
              <w:ind w:firstLine="0" w:left="0" w:right="0"/>
              <w:jc w:val="left"/>
              <w:jc w:val="center"/>
            </w:pPr>
            <w:r>
              <w:rPr>
                <w:rFonts w:ascii="Calibri" w:hAnsi="Calibri"/>
                <w:sz w:val="15"/>
              </w:rPr>
              <w:t xml:space="preserve">= 0.195</w:t>
            </w:r>
          </w:p>
        </w:tc>
        <w:tc>
          <w:tcPr/>
          <w:p>
            <w:pPr>
              <w:pStyle w:val="Compact"/>
              <w:spacing w:before="8" w:after="8" w:line="240" w:lineRule="auto"/>
              <w:ind w:firstLine="0" w:left="0" w:right="0"/>
              <w:jc w:val="right"/>
              <w:jc w:val="center"/>
            </w:pPr>
            <w:r>
              <w:rPr>
                <w:rFonts w:ascii="Calibri" w:hAnsi="Calibri"/>
                <w:sz w:val="15"/>
              </w:rPr>
              <w:t xml:space="preserve">0.0014</w:t>
            </w:r>
          </w:p>
        </w:tc>
        <w:tc>
          <w:tcPr/>
          <w:p>
            <w:pPr>
              <w:pStyle w:val="Compact"/>
              <w:spacing w:before="8" w:after="8" w:line="240" w:lineRule="auto"/>
              <w:ind w:firstLine="0" w:left="0" w:right="0"/>
              <w:jc w:val="left"/>
              <w:jc w:val="center"/>
            </w:pPr>
            <w:r>
              <w:rPr>
                <w:rFonts w:ascii="Calibri" w:hAnsi="Calibri"/>
                <w:sz w:val="15"/>
              </w:rPr>
              <w:t xml:space="preserve">&lt; 0.001</w:t>
            </w:r>
          </w:p>
        </w:tc>
        <w:tc>
          <w:tcPr/>
          <w:p>
            <w:pPr>
              <w:pStyle w:val="Compact"/>
              <w:spacing w:before="8" w:after="8" w:line="240" w:lineRule="auto"/>
              <w:ind w:firstLine="0" w:left="0" w:right="0"/>
              <w:jc w:val="right"/>
              <w:jc w:val="center"/>
            </w:pPr>
            <w:r>
              <w:rPr>
                <w:rFonts w:ascii="Calibri" w:hAnsi="Calibri"/>
                <w:sz w:val="15"/>
              </w:rPr>
              <w:t xml:space="preserve">0.766</w:t>
            </w:r>
          </w:p>
        </w:tc>
      </w:tr>
      <w:tr>
        <w:trPr>
          <w:cantSplit/>
        </w:trPr>
        <w:tc>
          <w:tcPr/>
          <w:p>
            <w:pPr>
              <w:pStyle w:val="Compact"/>
              <w:spacing w:before="8" w:after="8" w:line="240" w:lineRule="auto"/>
              <w:ind w:firstLine="0" w:left="0" w:right="0"/>
              <w:jc w:val="left"/>
            </w:pPr>
          </w:p>
        </w:tc>
        <w:tc>
          <w:tcPr/>
          <w:p>
            <w:pPr>
              <w:pStyle w:val="Compact"/>
              <w:spacing w:before="8" w:after="8" w:line="240" w:lineRule="auto"/>
              <w:ind w:firstLine="0" w:left="0" w:right="0"/>
              <w:jc w:val="left"/>
              <w:jc w:val="center"/>
            </w:pPr>
            <w:r>
              <w:rPr>
                <w:rFonts w:ascii="Calibri" w:hAnsi="Calibri"/>
                <w:sz w:val="15"/>
              </w:rPr>
              <w:t xml:space="preserve">2024-06</w:t>
            </w:r>
          </w:p>
        </w:tc>
        <w:tc>
          <w:tcPr/>
          <w:p>
            <w:pPr>
              <w:pStyle w:val="Compact"/>
              <w:spacing w:before="8" w:after="8" w:line="240" w:lineRule="auto"/>
              <w:ind w:firstLine="0" w:left="0" w:right="0"/>
              <w:jc w:val="right"/>
              <w:jc w:val="center"/>
            </w:pPr>
            <w:r>
              <w:rPr>
                <w:rFonts w:ascii="Calibri" w:hAnsi="Calibri"/>
                <w:sz w:val="15"/>
              </w:rPr>
              <w:t xml:space="preserve">0.012</w:t>
            </w:r>
          </w:p>
        </w:tc>
        <w:tc>
          <w:tcPr/>
          <w:p>
            <w:pPr>
              <w:pStyle w:val="Compact"/>
              <w:spacing w:before="8" w:after="8" w:line="240" w:lineRule="auto"/>
              <w:ind w:firstLine="0" w:left="0" w:right="0"/>
              <w:jc w:val="left"/>
              <w:jc w:val="center"/>
            </w:pPr>
            <w:r>
              <w:rPr>
                <w:rFonts w:ascii="Calibri" w:hAnsi="Calibri"/>
                <w:sz w:val="15"/>
              </w:rPr>
              <w:t xml:space="preserve">= 0.029</w:t>
            </w:r>
          </w:p>
        </w:tc>
        <w:tc>
          <w:tcPr/>
          <w:p>
            <w:pPr>
              <w:pStyle w:val="Compact"/>
              <w:spacing w:before="8" w:after="8" w:line="240" w:lineRule="auto"/>
              <w:ind w:firstLine="0" w:left="0" w:right="0"/>
              <w:jc w:val="right"/>
              <w:jc w:val="center"/>
            </w:pPr>
            <w:r>
              <w:rPr>
                <w:rFonts w:ascii="Calibri" w:hAnsi="Calibri"/>
                <w:sz w:val="15"/>
              </w:rPr>
              <w:t xml:space="preserve">0.0011</w:t>
            </w:r>
          </w:p>
        </w:tc>
        <w:tc>
          <w:tcPr/>
          <w:p>
            <w:pPr>
              <w:pStyle w:val="Compact"/>
              <w:spacing w:before="8" w:after="8" w:line="240" w:lineRule="auto"/>
              <w:ind w:firstLine="0" w:left="0" w:right="0"/>
              <w:jc w:val="left"/>
              <w:jc w:val="center"/>
            </w:pPr>
            <w:r>
              <w:rPr>
                <w:rFonts w:ascii="Calibri" w:hAnsi="Calibri"/>
                <w:sz w:val="15"/>
              </w:rPr>
              <w:t xml:space="preserve">= 0.005</w:t>
            </w:r>
          </w:p>
        </w:tc>
        <w:tc>
          <w:tcPr/>
          <w:p>
            <w:pPr>
              <w:pStyle w:val="Compact"/>
              <w:spacing w:before="8" w:after="8" w:line="240" w:lineRule="auto"/>
              <w:ind w:firstLine="0" w:left="0" w:right="0"/>
              <w:jc w:val="right"/>
              <w:jc w:val="center"/>
            </w:pPr>
            <w:r>
              <w:rPr>
                <w:rFonts w:ascii="Calibri" w:hAnsi="Calibri"/>
                <w:sz w:val="15"/>
              </w:rPr>
              <w:t xml:space="preserve">0.761</w:t>
            </w:r>
          </w:p>
        </w:tc>
      </w:tr>
      <w:tr>
        <w:trPr>
          <w:cantSplit/>
        </w:trPr>
        <w:tc>
          <w:tcPr/>
          <w:p>
            <w:pPr>
              <w:pStyle w:val="Compact"/>
              <w:spacing w:before="8" w:after="8" w:line="240" w:lineRule="auto"/>
              <w:ind w:firstLine="0" w:left="0" w:right="0"/>
              <w:jc w:val="left"/>
            </w:pPr>
          </w:p>
        </w:tc>
        <w:tc>
          <w:tcPr/>
          <w:p>
            <w:pPr>
              <w:pStyle w:val="Compact"/>
              <w:spacing w:before="8" w:after="8" w:line="240" w:lineRule="auto"/>
              <w:ind w:firstLine="0" w:left="0" w:right="0"/>
              <w:jc w:val="left"/>
              <w:jc w:val="center"/>
            </w:pPr>
            <w:r>
              <w:rPr>
                <w:rFonts w:ascii="Calibri" w:hAnsi="Calibri"/>
                <w:sz w:val="15"/>
              </w:rPr>
              <w:t xml:space="preserve">2024-12</w:t>
            </w:r>
          </w:p>
        </w:tc>
        <w:tc>
          <w:tcPr/>
          <w:p>
            <w:pPr>
              <w:pStyle w:val="Compact"/>
              <w:spacing w:before="8" w:after="8" w:line="240" w:lineRule="auto"/>
              <w:ind w:firstLine="0" w:left="0" w:right="0"/>
              <w:jc w:val="right"/>
              <w:jc w:val="center"/>
            </w:pPr>
            <w:r>
              <w:rPr>
                <w:rFonts w:ascii="Calibri" w:hAnsi="Calibri"/>
                <w:sz w:val="15"/>
              </w:rPr>
              <w:t xml:space="preserve">0.0143</w:t>
            </w:r>
          </w:p>
        </w:tc>
        <w:tc>
          <w:tcPr/>
          <w:p>
            <w:pPr>
              <w:pStyle w:val="Compact"/>
              <w:spacing w:before="8" w:after="8" w:line="240" w:lineRule="auto"/>
              <w:ind w:firstLine="0" w:left="0" w:right="0"/>
              <w:jc w:val="left"/>
              <w:jc w:val="center"/>
            </w:pPr>
            <w:r>
              <w:rPr>
                <w:rFonts w:ascii="Calibri" w:hAnsi="Calibri"/>
                <w:sz w:val="15"/>
              </w:rPr>
              <w:t xml:space="preserve">= 0.140</w:t>
            </w:r>
          </w:p>
        </w:tc>
        <w:tc>
          <w:tcPr/>
          <w:p>
            <w:pPr>
              <w:pStyle w:val="Compact"/>
              <w:spacing w:before="8" w:after="8" w:line="240" w:lineRule="auto"/>
              <w:ind w:firstLine="0" w:left="0" w:right="0"/>
              <w:jc w:val="right"/>
              <w:jc w:val="center"/>
            </w:pPr>
            <w:r>
              <w:rPr>
                <w:rFonts w:ascii="Calibri" w:hAnsi="Calibri"/>
                <w:sz w:val="15"/>
              </w:rPr>
              <w:t xml:space="preserve">0.0009</w:t>
            </w:r>
          </w:p>
        </w:tc>
        <w:tc>
          <w:tcPr/>
          <w:p>
            <w:pPr>
              <w:pStyle w:val="Compact"/>
              <w:spacing w:before="8" w:after="8" w:line="240" w:lineRule="auto"/>
              <w:ind w:firstLine="0" w:left="0" w:right="0"/>
              <w:jc w:val="left"/>
              <w:jc w:val="center"/>
            </w:pPr>
            <w:r>
              <w:rPr>
                <w:rFonts w:ascii="Calibri" w:hAnsi="Calibri"/>
                <w:sz w:val="15"/>
              </w:rPr>
              <w:t xml:space="preserve">= 0.241</w:t>
            </w:r>
          </w:p>
        </w:tc>
        <w:tc>
          <w:tcPr/>
          <w:p>
            <w:pPr>
              <w:pStyle w:val="Compact"/>
              <w:spacing w:before="8" w:after="8" w:line="240" w:lineRule="auto"/>
              <w:ind w:firstLine="0" w:left="0" w:right="0"/>
              <w:jc w:val="right"/>
              <w:jc w:val="center"/>
            </w:pPr>
            <w:r>
              <w:rPr>
                <w:rFonts w:ascii="Calibri" w:hAnsi="Calibri"/>
                <w:sz w:val="15"/>
              </w:rPr>
              <w:t xml:space="preserve">0.755</w:t>
            </w:r>
          </w:p>
        </w:tc>
      </w:tr>
      <w:tr>
        <w:trPr>
          <w:cantSplit/>
        </w:trPr>
        <w:tc>
          <w:tcPr/>
          <w:p>
            <w:pPr>
              <w:pStyle w:val="Compact"/>
              <w:spacing w:before="8" w:after="8" w:line="240" w:lineRule="auto"/>
              <w:ind w:firstLine="0" w:left="0" w:right="0"/>
              <w:jc w:val="left"/>
            </w:pPr>
          </w:p>
        </w:tc>
        <w:tc>
          <w:tcPr/>
          <w:p>
            <w:pPr>
              <w:pStyle w:val="Compact"/>
              <w:spacing w:before="8" w:after="8" w:line="240" w:lineRule="auto"/>
              <w:ind w:firstLine="0" w:left="0" w:right="0"/>
              <w:jc w:val="left"/>
              <w:jc w:val="center"/>
            </w:pPr>
            <w:r>
              <w:rPr>
                <w:rFonts w:ascii="Calibri" w:hAnsi="Calibri"/>
                <w:sz w:val="15"/>
              </w:rPr>
              <w:t xml:space="preserve">2025-06</w:t>
            </w:r>
          </w:p>
        </w:tc>
        <w:tc>
          <w:tcPr/>
          <w:p>
            <w:pPr>
              <w:pStyle w:val="Compact"/>
              <w:spacing w:before="8" w:after="8" w:line="240" w:lineRule="auto"/>
              <w:ind w:firstLine="0" w:left="0" w:right="0"/>
              <w:jc w:val="right"/>
              <w:jc w:val="center"/>
            </w:pPr>
            <w:r>
              <w:rPr>
                <w:rFonts w:ascii="Calibri" w:hAnsi="Calibri"/>
                <w:sz w:val="15"/>
              </w:rPr>
              <w:t xml:space="preserve">0.0081</w:t>
            </w:r>
          </w:p>
        </w:tc>
        <w:tc>
          <w:tcPr/>
          <w:p>
            <w:pPr>
              <w:pStyle w:val="Compact"/>
              <w:spacing w:before="8" w:after="8" w:line="240" w:lineRule="auto"/>
              <w:ind w:firstLine="0" w:left="0" w:right="0"/>
              <w:jc w:val="left"/>
              <w:jc w:val="center"/>
            </w:pPr>
            <w:r>
              <w:rPr>
                <w:rFonts w:ascii="Calibri" w:hAnsi="Calibri"/>
                <w:sz w:val="15"/>
              </w:rPr>
              <w:t xml:space="preserve">= 0.410</w:t>
            </w:r>
          </w:p>
        </w:tc>
        <w:tc>
          <w:tcPr/>
          <w:p>
            <w:pPr>
              <w:pStyle w:val="Compact"/>
              <w:spacing w:before="8" w:after="8" w:line="240" w:lineRule="auto"/>
              <w:ind w:firstLine="0" w:left="0" w:right="0"/>
              <w:jc w:val="right"/>
              <w:jc w:val="center"/>
            </w:pPr>
            <w:r>
              <w:rPr>
                <w:rFonts w:ascii="Calibri" w:hAnsi="Calibri"/>
                <w:sz w:val="15"/>
              </w:rPr>
              <w:t xml:space="preserve">0.0012</w:t>
            </w:r>
          </w:p>
        </w:tc>
        <w:tc>
          <w:tcPr/>
          <w:p>
            <w:pPr>
              <w:pStyle w:val="Compact"/>
              <w:spacing w:before="8" w:after="8" w:line="240" w:lineRule="auto"/>
              <w:ind w:firstLine="0" w:left="0" w:right="0"/>
              <w:jc w:val="left"/>
              <w:jc w:val="center"/>
            </w:pPr>
            <w:r>
              <w:rPr>
                <w:rFonts w:ascii="Calibri" w:hAnsi="Calibri"/>
                <w:sz w:val="15"/>
              </w:rPr>
              <w:t xml:space="preserve">= 0.194</w:t>
            </w:r>
          </w:p>
        </w:tc>
        <w:tc>
          <w:tcPr/>
          <w:p>
            <w:pPr>
              <w:pStyle w:val="Compact"/>
              <w:spacing w:before="8" w:after="8" w:line="240" w:lineRule="auto"/>
              <w:ind w:firstLine="0" w:left="0" w:right="0"/>
              <w:jc w:val="right"/>
              <w:jc w:val="center"/>
            </w:pPr>
            <w:r>
              <w:rPr>
                <w:rFonts w:ascii="Calibri" w:hAnsi="Calibri"/>
                <w:sz w:val="15"/>
              </w:rPr>
              <w:t xml:space="preserve">0.746</w:t>
            </w:r>
          </w:p>
        </w:tc>
      </w:tr>
      <w:tr>
        <w:trPr>
          <w:cantSplit/>
        </w:trPr>
        <w:tc>
          <w:tcPr/>
          <w:p>
            <w:pPr>
              <w:pStyle w:val="Compact"/>
              <w:spacing w:before="8" w:after="8" w:line="240" w:lineRule="auto"/>
              <w:ind w:firstLine="0" w:left="0" w:right="0"/>
              <w:jc w:val="left"/>
              <w:jc w:val="center"/>
            </w:pPr>
            <w:r>
              <w:rPr>
                <w:rFonts w:ascii="Calibri" w:hAnsi="Calibri"/>
                <w:sz w:val="15"/>
              </w:rPr>
              <w:t xml:space="preserve">Governance frames</w:t>
            </w:r>
          </w:p>
        </w:tc>
        <w:tc>
          <w:tcPr/>
          <w:p>
            <w:pPr>
              <w:pStyle w:val="Compact"/>
              <w:spacing w:before="8" w:after="8" w:line="240" w:lineRule="auto"/>
              <w:ind w:firstLine="0" w:left="0" w:right="0"/>
              <w:jc w:val="left"/>
              <w:jc w:val="center"/>
            </w:pPr>
            <w:r>
              <w:rPr>
                <w:rFonts w:ascii="Calibri" w:hAnsi="Calibri"/>
                <w:sz w:val="15"/>
              </w:rPr>
              <w:t xml:space="preserve">2023-01 (best fit)</w:t>
            </w:r>
          </w:p>
        </w:tc>
        <w:tc>
          <w:tcPr/>
          <w:p>
            <w:pPr>
              <w:pStyle w:val="Compact"/>
              <w:spacing w:before="8" w:after="8" w:line="240" w:lineRule="auto"/>
              <w:ind w:firstLine="0" w:left="0" w:right="0"/>
              <w:jc w:val="right"/>
              <w:jc w:val="center"/>
            </w:pPr>
            <w:r>
              <w:rPr>
                <w:rFonts w:ascii="Calibri" w:hAnsi="Calibri"/>
                <w:sz w:val="15"/>
              </w:rPr>
              <w:t xml:space="preserve">-0.0033</w:t>
            </w:r>
          </w:p>
        </w:tc>
        <w:tc>
          <w:tcPr/>
          <w:p>
            <w:pPr>
              <w:pStyle w:val="Compact"/>
              <w:spacing w:before="8" w:after="8" w:line="240" w:lineRule="auto"/>
              <w:ind w:firstLine="0" w:left="0" w:right="0"/>
              <w:jc w:val="left"/>
              <w:jc w:val="center"/>
            </w:pPr>
            <w:r>
              <w:rPr>
                <w:rFonts w:ascii="Calibri" w:hAnsi="Calibri"/>
                <w:sz w:val="15"/>
              </w:rPr>
              <w:t xml:space="preserve">= 0.080</w:t>
            </w:r>
          </w:p>
        </w:tc>
        <w:tc>
          <w:tcPr/>
          <w:p>
            <w:pPr>
              <w:pStyle w:val="Compact"/>
              <w:spacing w:before="8" w:after="8" w:line="240" w:lineRule="auto"/>
              <w:ind w:firstLine="0" w:left="0" w:right="0"/>
              <w:jc w:val="right"/>
              <w:jc w:val="center"/>
            </w:pPr>
            <w:r>
              <w:rPr>
                <w:rFonts w:ascii="Calibri" w:hAnsi="Calibri"/>
                <w:sz w:val="15"/>
              </w:rPr>
              <w:t xml:space="preserve">0.0005</w:t>
            </w:r>
          </w:p>
        </w:tc>
        <w:tc>
          <w:tcPr/>
          <w:p>
            <w:pPr>
              <w:pStyle w:val="Compact"/>
              <w:spacing w:before="8" w:after="8" w:line="240" w:lineRule="auto"/>
              <w:ind w:firstLine="0" w:left="0" w:right="0"/>
              <w:jc w:val="left"/>
              <w:jc w:val="center"/>
            </w:pPr>
            <w:r>
              <w:rPr>
                <w:rFonts w:ascii="Calibri" w:hAnsi="Calibri"/>
                <w:sz w:val="15"/>
              </w:rPr>
              <w:t xml:space="preserve">&lt; 0.001</w:t>
            </w:r>
          </w:p>
        </w:tc>
        <w:tc>
          <w:tcPr/>
          <w:p>
            <w:pPr>
              <w:pStyle w:val="Compact"/>
              <w:spacing w:before="8" w:after="8" w:line="240" w:lineRule="auto"/>
              <w:ind w:firstLine="0" w:left="0" w:right="0"/>
              <w:jc w:val="right"/>
              <w:jc w:val="center"/>
            </w:pPr>
            <w:r>
              <w:rPr>
                <w:rFonts w:ascii="Calibri" w:hAnsi="Calibri"/>
                <w:sz w:val="15"/>
              </w:rPr>
              <w:t xml:space="preserve">0.819</w:t>
            </w:r>
          </w:p>
        </w:tc>
      </w:tr>
      <w:tr>
        <w:trPr>
          <w:cantSplit/>
        </w:trPr>
        <w:tc>
          <w:tcPr/>
          <w:p>
            <w:pPr>
              <w:pStyle w:val="Compact"/>
              <w:spacing w:before="8" w:after="8" w:line="240" w:lineRule="auto"/>
              <w:ind w:firstLine="0" w:left="0" w:right="0"/>
              <w:jc w:val="left"/>
            </w:pPr>
          </w:p>
        </w:tc>
        <w:tc>
          <w:tcPr/>
          <w:p>
            <w:pPr>
              <w:pStyle w:val="Compact"/>
              <w:spacing w:before="8" w:after="8" w:line="240" w:lineRule="auto"/>
              <w:ind w:firstLine="0" w:left="0" w:right="0"/>
              <w:jc w:val="left"/>
              <w:jc w:val="center"/>
            </w:pPr>
            <w:r>
              <w:rPr>
                <w:rFonts w:ascii="Calibri" w:hAnsi="Calibri"/>
                <w:sz w:val="15"/>
              </w:rPr>
              <w:t xml:space="preserve">2023-03</w:t>
            </w:r>
          </w:p>
        </w:tc>
        <w:tc>
          <w:tcPr/>
          <w:p>
            <w:pPr>
              <w:pStyle w:val="Compact"/>
              <w:spacing w:before="8" w:after="8" w:line="240" w:lineRule="auto"/>
              <w:ind w:firstLine="0" w:left="0" w:right="0"/>
              <w:jc w:val="right"/>
              <w:jc w:val="center"/>
            </w:pPr>
            <w:r>
              <w:rPr>
                <w:rFonts w:ascii="Calibri" w:hAnsi="Calibri"/>
                <w:sz w:val="15"/>
              </w:rPr>
              <w:t xml:space="preserve">-0.0011</w:t>
            </w:r>
          </w:p>
        </w:tc>
        <w:tc>
          <w:tcPr/>
          <w:p>
            <w:pPr>
              <w:pStyle w:val="Compact"/>
              <w:spacing w:before="8" w:after="8" w:line="240" w:lineRule="auto"/>
              <w:ind w:firstLine="0" w:left="0" w:right="0"/>
              <w:jc w:val="left"/>
              <w:jc w:val="center"/>
            </w:pPr>
            <w:r>
              <w:rPr>
                <w:rFonts w:ascii="Calibri" w:hAnsi="Calibri"/>
                <w:sz w:val="15"/>
              </w:rPr>
              <w:t xml:space="preserve">= 0.500</w:t>
            </w:r>
          </w:p>
        </w:tc>
        <w:tc>
          <w:tcPr/>
          <w:p>
            <w:pPr>
              <w:pStyle w:val="Compact"/>
              <w:spacing w:before="8" w:after="8" w:line="240" w:lineRule="auto"/>
              <w:ind w:firstLine="0" w:left="0" w:right="0"/>
              <w:jc w:val="right"/>
              <w:jc w:val="center"/>
            </w:pPr>
            <w:r>
              <w:rPr>
                <w:rFonts w:ascii="Calibri" w:hAnsi="Calibri"/>
                <w:sz w:val="15"/>
              </w:rPr>
              <w:t xml:space="preserve">0.0005</w:t>
            </w:r>
          </w:p>
        </w:tc>
        <w:tc>
          <w:tcPr/>
          <w:p>
            <w:pPr>
              <w:pStyle w:val="Compact"/>
              <w:spacing w:before="8" w:after="8" w:line="240" w:lineRule="auto"/>
              <w:ind w:firstLine="0" w:left="0" w:right="0"/>
              <w:jc w:val="left"/>
              <w:jc w:val="center"/>
            </w:pPr>
            <w:r>
              <w:rPr>
                <w:rFonts w:ascii="Calibri" w:hAnsi="Calibri"/>
                <w:sz w:val="15"/>
              </w:rPr>
              <w:t xml:space="preserve">&lt; 0.001</w:t>
            </w:r>
          </w:p>
        </w:tc>
        <w:tc>
          <w:tcPr/>
          <w:p>
            <w:pPr>
              <w:pStyle w:val="Compact"/>
              <w:spacing w:before="8" w:after="8" w:line="240" w:lineRule="auto"/>
              <w:ind w:firstLine="0" w:left="0" w:right="0"/>
              <w:jc w:val="right"/>
              <w:jc w:val="center"/>
            </w:pPr>
            <w:r>
              <w:rPr>
                <w:rFonts w:ascii="Calibri" w:hAnsi="Calibri"/>
                <w:sz w:val="15"/>
              </w:rPr>
              <w:t xml:space="preserve">0.816</w:t>
            </w:r>
          </w:p>
        </w:tc>
      </w:tr>
      <w:tr>
        <w:trPr>
          <w:cantSplit/>
        </w:trPr>
        <w:tc>
          <w:tcPr/>
          <w:p>
            <w:pPr>
              <w:pStyle w:val="Compact"/>
              <w:spacing w:before="8" w:after="8" w:line="240" w:lineRule="auto"/>
              <w:ind w:firstLine="0" w:left="0" w:right="0"/>
              <w:jc w:val="left"/>
            </w:pPr>
          </w:p>
        </w:tc>
        <w:tc>
          <w:tcPr/>
          <w:p>
            <w:pPr>
              <w:pStyle w:val="Compact"/>
              <w:spacing w:before="8" w:after="8" w:line="240" w:lineRule="auto"/>
              <w:ind w:firstLine="0" w:left="0" w:right="0"/>
              <w:jc w:val="left"/>
              <w:jc w:val="center"/>
            </w:pPr>
            <w:r>
              <w:rPr>
                <w:rFonts w:ascii="Calibri" w:hAnsi="Calibri"/>
                <w:sz w:val="15"/>
              </w:rPr>
              <w:t xml:space="preserve">2023-06</w:t>
            </w:r>
          </w:p>
        </w:tc>
        <w:tc>
          <w:tcPr/>
          <w:p>
            <w:pPr>
              <w:pStyle w:val="Compact"/>
              <w:spacing w:before="8" w:after="8" w:line="240" w:lineRule="auto"/>
              <w:ind w:firstLine="0" w:left="0" w:right="0"/>
              <w:jc w:val="right"/>
              <w:jc w:val="center"/>
            </w:pPr>
            <w:r>
              <w:rPr>
                <w:rFonts w:ascii="Calibri" w:hAnsi="Calibri"/>
                <w:sz w:val="15"/>
              </w:rPr>
              <w:t xml:space="preserve">0.001</w:t>
            </w:r>
          </w:p>
        </w:tc>
        <w:tc>
          <w:tcPr/>
          <w:p>
            <w:pPr>
              <w:pStyle w:val="Compact"/>
              <w:spacing w:before="8" w:after="8" w:line="240" w:lineRule="auto"/>
              <w:ind w:firstLine="0" w:left="0" w:right="0"/>
              <w:jc w:val="left"/>
              <w:jc w:val="center"/>
            </w:pPr>
            <w:r>
              <w:rPr>
                <w:rFonts w:ascii="Calibri" w:hAnsi="Calibri"/>
                <w:sz w:val="15"/>
              </w:rPr>
              <w:t xml:space="preserve">= 0.523</w:t>
            </w:r>
          </w:p>
        </w:tc>
        <w:tc>
          <w:tcPr/>
          <w:p>
            <w:pPr>
              <w:pStyle w:val="Compact"/>
              <w:spacing w:before="8" w:after="8" w:line="240" w:lineRule="auto"/>
              <w:ind w:firstLine="0" w:left="0" w:right="0"/>
              <w:jc w:val="right"/>
              <w:jc w:val="center"/>
            </w:pPr>
            <w:r>
              <w:rPr>
                <w:rFonts w:ascii="Calibri" w:hAnsi="Calibri"/>
                <w:sz w:val="15"/>
              </w:rPr>
              <w:t xml:space="preserve">0.0005</w:t>
            </w:r>
          </w:p>
        </w:tc>
        <w:tc>
          <w:tcPr/>
          <w:p>
            <w:pPr>
              <w:pStyle w:val="Compact"/>
              <w:spacing w:before="8" w:after="8" w:line="240" w:lineRule="auto"/>
              <w:ind w:firstLine="0" w:left="0" w:right="0"/>
              <w:jc w:val="left"/>
              <w:jc w:val="center"/>
            </w:pPr>
            <w:r>
              <w:rPr>
                <w:rFonts w:ascii="Calibri" w:hAnsi="Calibri"/>
                <w:sz w:val="15"/>
              </w:rPr>
              <w:t xml:space="preserve">&lt; 0.001</w:t>
            </w:r>
          </w:p>
        </w:tc>
        <w:tc>
          <w:tcPr/>
          <w:p>
            <w:pPr>
              <w:pStyle w:val="Compact"/>
              <w:spacing w:before="8" w:after="8" w:line="240" w:lineRule="auto"/>
              <w:ind w:firstLine="0" w:left="0" w:right="0"/>
              <w:jc w:val="right"/>
              <w:jc w:val="center"/>
            </w:pPr>
            <w:r>
              <w:rPr>
                <w:rFonts w:ascii="Calibri" w:hAnsi="Calibri"/>
                <w:sz w:val="15"/>
              </w:rPr>
              <w:t xml:space="preserve">0.814</w:t>
            </w:r>
          </w:p>
        </w:tc>
      </w:tr>
      <w:tr>
        <w:trPr>
          <w:cantSplit/>
        </w:trPr>
        <w:tc>
          <w:tcPr/>
          <w:p>
            <w:pPr>
              <w:pStyle w:val="Compact"/>
              <w:spacing w:before="8" w:after="8" w:line="240" w:lineRule="auto"/>
              <w:ind w:firstLine="0" w:left="0" w:right="0"/>
              <w:jc w:val="left"/>
            </w:pPr>
          </w:p>
        </w:tc>
        <w:tc>
          <w:tcPr/>
          <w:p>
            <w:pPr>
              <w:pStyle w:val="Compact"/>
              <w:spacing w:before="8" w:after="8" w:line="240" w:lineRule="auto"/>
              <w:ind w:firstLine="0" w:left="0" w:right="0"/>
              <w:jc w:val="left"/>
              <w:jc w:val="center"/>
            </w:pPr>
            <w:r>
              <w:rPr>
                <w:rFonts w:ascii="Calibri" w:hAnsi="Calibri"/>
                <w:sz w:val="15"/>
              </w:rPr>
              <w:t xml:space="preserve">2023-12 (SEC warning)</w:t>
            </w:r>
          </w:p>
        </w:tc>
        <w:tc>
          <w:tcPr/>
          <w:p>
            <w:pPr>
              <w:pStyle w:val="Compact"/>
              <w:spacing w:before="8" w:after="8" w:line="240" w:lineRule="auto"/>
              <w:ind w:firstLine="0" w:left="0" w:right="0"/>
              <w:jc w:val="right"/>
              <w:jc w:val="center"/>
            </w:pPr>
            <w:r>
              <w:rPr>
                <w:rFonts w:ascii="Calibri" w:hAnsi="Calibri"/>
                <w:sz w:val="15"/>
              </w:rPr>
              <w:t xml:space="preserve">0.0007</w:t>
            </w:r>
          </w:p>
        </w:tc>
        <w:tc>
          <w:tcPr/>
          <w:p>
            <w:pPr>
              <w:pStyle w:val="Compact"/>
              <w:spacing w:before="8" w:after="8" w:line="240" w:lineRule="auto"/>
              <w:ind w:firstLine="0" w:left="0" w:right="0"/>
              <w:jc w:val="left"/>
              <w:jc w:val="center"/>
            </w:pPr>
            <w:r>
              <w:rPr>
                <w:rFonts w:ascii="Calibri" w:hAnsi="Calibri"/>
                <w:sz w:val="15"/>
              </w:rPr>
              <w:t xml:space="preserve">= 0.744</w:t>
            </w:r>
          </w:p>
        </w:tc>
        <w:tc>
          <w:tcPr/>
          <w:p>
            <w:pPr>
              <w:pStyle w:val="Compact"/>
              <w:spacing w:before="8" w:after="8" w:line="240" w:lineRule="auto"/>
              <w:ind w:firstLine="0" w:left="0" w:right="0"/>
              <w:jc w:val="right"/>
              <w:jc w:val="center"/>
            </w:pPr>
            <w:r>
              <w:rPr>
                <w:rFonts w:ascii="Calibri" w:hAnsi="Calibri"/>
                <w:sz w:val="15"/>
              </w:rPr>
              <w:t xml:space="preserve">0.0005</w:t>
            </w:r>
          </w:p>
        </w:tc>
        <w:tc>
          <w:tcPr/>
          <w:p>
            <w:pPr>
              <w:pStyle w:val="Compact"/>
              <w:spacing w:before="8" w:after="8" w:line="240" w:lineRule="auto"/>
              <w:ind w:firstLine="0" w:left="0" w:right="0"/>
              <w:jc w:val="left"/>
              <w:jc w:val="center"/>
            </w:pPr>
            <w:r>
              <w:rPr>
                <w:rFonts w:ascii="Calibri" w:hAnsi="Calibri"/>
                <w:sz w:val="15"/>
              </w:rPr>
              <w:t xml:space="preserve">&lt; 0.001</w:t>
            </w:r>
          </w:p>
        </w:tc>
        <w:tc>
          <w:tcPr/>
          <w:p>
            <w:pPr>
              <w:pStyle w:val="Compact"/>
              <w:spacing w:before="8" w:after="8" w:line="240" w:lineRule="auto"/>
              <w:ind w:firstLine="0" w:left="0" w:right="0"/>
              <w:jc w:val="right"/>
              <w:jc w:val="center"/>
            </w:pPr>
            <w:r>
              <w:rPr>
                <w:rFonts w:ascii="Calibri" w:hAnsi="Calibri"/>
                <w:sz w:val="15"/>
              </w:rPr>
              <w:t xml:space="preserve">0.812</w:t>
            </w:r>
          </w:p>
        </w:tc>
      </w:tr>
      <w:tr>
        <w:trPr>
          <w:cantSplit/>
        </w:trPr>
        <w:tc>
          <w:tcPr/>
          <w:p>
            <w:pPr>
              <w:pStyle w:val="Compact"/>
              <w:spacing w:before="8" w:after="8" w:line="240" w:lineRule="auto"/>
              <w:ind w:firstLine="0" w:left="0" w:right="0"/>
              <w:jc w:val="left"/>
            </w:pPr>
          </w:p>
        </w:tc>
        <w:tc>
          <w:tcPr/>
          <w:p>
            <w:pPr>
              <w:pStyle w:val="Compact"/>
              <w:spacing w:before="8" w:after="8" w:line="240" w:lineRule="auto"/>
              <w:ind w:firstLine="0" w:left="0" w:right="0"/>
              <w:jc w:val="left"/>
              <w:jc w:val="center"/>
            </w:pPr>
            <w:r>
              <w:rPr>
                <w:rFonts w:ascii="Calibri" w:hAnsi="Calibri"/>
                <w:sz w:val="15"/>
              </w:rPr>
              <w:t xml:space="preserve">2024-06</w:t>
            </w:r>
          </w:p>
        </w:tc>
        <w:tc>
          <w:tcPr/>
          <w:p>
            <w:pPr>
              <w:pStyle w:val="Compact"/>
              <w:spacing w:before="8" w:after="8" w:line="240" w:lineRule="auto"/>
              <w:ind w:firstLine="0" w:left="0" w:right="0"/>
              <w:jc w:val="right"/>
              <w:jc w:val="center"/>
            </w:pPr>
            <w:r>
              <w:rPr>
                <w:rFonts w:ascii="Calibri" w:hAnsi="Calibri"/>
                <w:sz w:val="15"/>
              </w:rPr>
              <w:t xml:space="preserve">0.0017</w:t>
            </w:r>
          </w:p>
        </w:tc>
        <w:tc>
          <w:tcPr/>
          <w:p>
            <w:pPr>
              <w:pStyle w:val="Compact"/>
              <w:spacing w:before="8" w:after="8" w:line="240" w:lineRule="auto"/>
              <w:ind w:firstLine="0" w:left="0" w:right="0"/>
              <w:jc w:val="left"/>
              <w:jc w:val="center"/>
            </w:pPr>
            <w:r>
              <w:rPr>
                <w:rFonts w:ascii="Calibri" w:hAnsi="Calibri"/>
                <w:sz w:val="15"/>
              </w:rPr>
              <w:t xml:space="preserve">= 0.270</w:t>
            </w:r>
          </w:p>
        </w:tc>
        <w:tc>
          <w:tcPr/>
          <w:p>
            <w:pPr>
              <w:pStyle w:val="Compact"/>
              <w:spacing w:before="8" w:after="8" w:line="240" w:lineRule="auto"/>
              <w:ind w:firstLine="0" w:left="0" w:right="0"/>
              <w:jc w:val="right"/>
              <w:jc w:val="center"/>
            </w:pPr>
            <w:r>
              <w:rPr>
                <w:rFonts w:ascii="Calibri" w:hAnsi="Calibri"/>
                <w:sz w:val="15"/>
              </w:rPr>
              <w:t xml:space="preserve">0.0005</w:t>
            </w:r>
          </w:p>
        </w:tc>
        <w:tc>
          <w:tcPr/>
          <w:p>
            <w:pPr>
              <w:pStyle w:val="Compact"/>
              <w:spacing w:before="8" w:after="8" w:line="240" w:lineRule="auto"/>
              <w:ind w:firstLine="0" w:left="0" w:right="0"/>
              <w:jc w:val="left"/>
              <w:jc w:val="center"/>
            </w:pPr>
            <w:r>
              <w:rPr>
                <w:rFonts w:ascii="Calibri" w:hAnsi="Calibri"/>
                <w:sz w:val="15"/>
              </w:rPr>
              <w:t xml:space="preserve">&lt; 0.001</w:t>
            </w:r>
          </w:p>
        </w:tc>
        <w:tc>
          <w:tcPr/>
          <w:p>
            <w:pPr>
              <w:pStyle w:val="Compact"/>
              <w:spacing w:before="8" w:after="8" w:line="240" w:lineRule="auto"/>
              <w:ind w:firstLine="0" w:left="0" w:right="0"/>
              <w:jc w:val="right"/>
              <w:jc w:val="center"/>
            </w:pPr>
            <w:r>
              <w:rPr>
                <w:rFonts w:ascii="Calibri" w:hAnsi="Calibri"/>
                <w:sz w:val="15"/>
              </w:rPr>
              <w:t xml:space="preserve">0.809</w:t>
            </w:r>
          </w:p>
        </w:tc>
      </w:tr>
      <w:tr>
        <w:trPr>
          <w:cantSplit/>
        </w:trPr>
        <w:tc>
          <w:tcPr/>
          <w:p>
            <w:pPr>
              <w:pStyle w:val="Compact"/>
              <w:spacing w:before="8" w:after="8" w:line="240" w:lineRule="auto"/>
              <w:ind w:firstLine="0" w:left="0" w:right="0"/>
              <w:jc w:val="left"/>
            </w:pPr>
          </w:p>
        </w:tc>
        <w:tc>
          <w:tcPr/>
          <w:p>
            <w:pPr>
              <w:pStyle w:val="Compact"/>
              <w:spacing w:before="8" w:after="8" w:line="240" w:lineRule="auto"/>
              <w:ind w:firstLine="0" w:left="0" w:right="0"/>
              <w:jc w:val="left"/>
              <w:jc w:val="center"/>
            </w:pPr>
            <w:r>
              <w:rPr>
                <w:rFonts w:ascii="Calibri" w:hAnsi="Calibri"/>
                <w:sz w:val="15"/>
              </w:rPr>
              <w:t xml:space="preserve">2024-12</w:t>
            </w:r>
          </w:p>
        </w:tc>
        <w:tc>
          <w:tcPr/>
          <w:p>
            <w:pPr>
              <w:pStyle w:val="Compact"/>
              <w:spacing w:before="8" w:after="8" w:line="240" w:lineRule="auto"/>
              <w:ind w:firstLine="0" w:left="0" w:right="0"/>
              <w:jc w:val="right"/>
              <w:jc w:val="center"/>
            </w:pPr>
            <w:r>
              <w:rPr>
                <w:rFonts w:ascii="Calibri" w:hAnsi="Calibri"/>
                <w:sz w:val="15"/>
              </w:rPr>
              <w:t xml:space="preserve">0.0047</w:t>
            </w:r>
          </w:p>
        </w:tc>
        <w:tc>
          <w:tcPr/>
          <w:p>
            <w:pPr>
              <w:pStyle w:val="Compact"/>
              <w:spacing w:before="8" w:after="8" w:line="240" w:lineRule="auto"/>
              <w:ind w:firstLine="0" w:left="0" w:right="0"/>
              <w:jc w:val="left"/>
              <w:jc w:val="center"/>
            </w:pPr>
            <w:r>
              <w:rPr>
                <w:rFonts w:ascii="Calibri" w:hAnsi="Calibri"/>
                <w:sz w:val="15"/>
              </w:rPr>
              <w:t xml:space="preserve">= 0.045</w:t>
            </w:r>
          </w:p>
        </w:tc>
        <w:tc>
          <w:tcPr/>
          <w:p>
            <w:pPr>
              <w:pStyle w:val="Compact"/>
              <w:spacing w:before="8" w:after="8" w:line="240" w:lineRule="auto"/>
              <w:ind w:firstLine="0" w:left="0" w:right="0"/>
              <w:jc w:val="right"/>
              <w:jc w:val="center"/>
            </w:pPr>
            <w:r>
              <w:rPr>
                <w:rFonts w:ascii="Calibri" w:hAnsi="Calibri"/>
                <w:sz w:val="15"/>
              </w:rPr>
              <w:t xml:space="preserve">0.0004</w:t>
            </w:r>
          </w:p>
        </w:tc>
        <w:tc>
          <w:tcPr/>
          <w:p>
            <w:pPr>
              <w:pStyle w:val="Compact"/>
              <w:spacing w:before="8" w:after="8" w:line="240" w:lineRule="auto"/>
              <w:ind w:firstLine="0" w:left="0" w:right="0"/>
              <w:jc w:val="left"/>
              <w:jc w:val="center"/>
            </w:pPr>
            <w:r>
              <w:rPr>
                <w:rFonts w:ascii="Calibri" w:hAnsi="Calibri"/>
                <w:sz w:val="15"/>
              </w:rPr>
              <w:t xml:space="preserve">= 0.089</w:t>
            </w:r>
          </w:p>
        </w:tc>
        <w:tc>
          <w:tcPr/>
          <w:p>
            <w:pPr>
              <w:pStyle w:val="Compact"/>
              <w:spacing w:before="8" w:after="8" w:line="240" w:lineRule="auto"/>
              <w:ind w:firstLine="0" w:left="0" w:right="0"/>
              <w:jc w:val="right"/>
              <w:jc w:val="center"/>
            </w:pPr>
            <w:r>
              <w:rPr>
                <w:rFonts w:ascii="Calibri" w:hAnsi="Calibri"/>
                <w:sz w:val="15"/>
              </w:rPr>
              <w:t xml:space="preserve">0.808</w:t>
            </w:r>
          </w:p>
        </w:tc>
      </w:tr>
      <w:tr>
        <w:trPr>
          <w:cantSplit/>
        </w:trPr>
        <w:tc>
          <w:tcPr/>
          <w:p>
            <w:pPr>
              <w:pStyle w:val="Compact"/>
              <w:spacing w:before="8" w:after="8" w:line="240" w:lineRule="auto"/>
              <w:ind w:firstLine="0" w:left="0" w:right="0"/>
              <w:jc w:val="left"/>
            </w:pPr>
          </w:p>
        </w:tc>
        <w:tc>
          <w:tcPr/>
          <w:p>
            <w:pPr>
              <w:pStyle w:val="Compact"/>
              <w:spacing w:before="8" w:after="8" w:line="240" w:lineRule="auto"/>
              <w:ind w:firstLine="0" w:left="0" w:right="0"/>
              <w:jc w:val="left"/>
              <w:jc w:val="center"/>
            </w:pPr>
            <w:r>
              <w:rPr>
                <w:rFonts w:ascii="Calibri" w:hAnsi="Calibri"/>
                <w:sz w:val="15"/>
              </w:rPr>
              <w:t xml:space="preserve">2025-06</w:t>
            </w:r>
          </w:p>
        </w:tc>
        <w:tc>
          <w:tcPr/>
          <w:p>
            <w:pPr>
              <w:pStyle w:val="Compact"/>
              <w:spacing w:before="8" w:after="8" w:line="240" w:lineRule="auto"/>
              <w:ind w:firstLine="0" w:left="0" w:right="0"/>
              <w:jc w:val="right"/>
              <w:jc w:val="center"/>
            </w:pPr>
            <w:r>
              <w:rPr>
                <w:rFonts w:ascii="Calibri" w:hAnsi="Calibri"/>
                <w:sz w:val="15"/>
              </w:rPr>
              <w:t xml:space="preserve">0.004</w:t>
            </w:r>
          </w:p>
        </w:tc>
        <w:tc>
          <w:tcPr/>
          <w:p>
            <w:pPr>
              <w:pStyle w:val="Compact"/>
              <w:spacing w:before="8" w:after="8" w:line="240" w:lineRule="auto"/>
              <w:ind w:firstLine="0" w:left="0" w:right="0"/>
              <w:jc w:val="left"/>
              <w:jc w:val="center"/>
            </w:pPr>
            <w:r>
              <w:rPr>
                <w:rFonts w:ascii="Calibri" w:hAnsi="Calibri"/>
                <w:sz w:val="15"/>
              </w:rPr>
              <w:t xml:space="preserve">= 0.113</w:t>
            </w:r>
          </w:p>
        </w:tc>
        <w:tc>
          <w:tcPr/>
          <w:p>
            <w:pPr>
              <w:pStyle w:val="Compact"/>
              <w:spacing w:before="8" w:after="8" w:line="240" w:lineRule="auto"/>
              <w:ind w:firstLine="0" w:left="0" w:right="0"/>
              <w:jc w:val="right"/>
              <w:jc w:val="center"/>
            </w:pPr>
            <w:r>
              <w:rPr>
                <w:rFonts w:ascii="Calibri" w:hAnsi="Calibri"/>
                <w:sz w:val="15"/>
              </w:rPr>
              <w:t xml:space="preserve">0.0004</w:t>
            </w:r>
          </w:p>
        </w:tc>
        <w:tc>
          <w:tcPr/>
          <w:p>
            <w:pPr>
              <w:pStyle w:val="Compact"/>
              <w:spacing w:before="8" w:after="8" w:line="240" w:lineRule="auto"/>
              <w:ind w:firstLine="0" w:left="0" w:right="0"/>
              <w:jc w:val="left"/>
              <w:jc w:val="center"/>
            </w:pPr>
            <w:r>
              <w:rPr>
                <w:rFonts w:ascii="Calibri" w:hAnsi="Calibri"/>
                <w:sz w:val="15"/>
              </w:rPr>
              <w:t xml:space="preserve">= 0.258</w:t>
            </w:r>
          </w:p>
        </w:tc>
        <w:tc>
          <w:tcPr/>
          <w:p>
            <w:pPr>
              <w:pStyle w:val="Compact"/>
              <w:spacing w:before="8" w:after="8" w:line="240" w:lineRule="auto"/>
              <w:ind w:firstLine="0" w:left="0" w:right="0"/>
              <w:jc w:val="right"/>
              <w:jc w:val="center"/>
            </w:pPr>
            <w:r>
              <w:rPr>
                <w:rFonts w:ascii="Calibri" w:hAnsi="Calibri"/>
                <w:sz w:val="15"/>
              </w:rPr>
              <w:t xml:space="preserve">0.794</w:t>
            </w:r>
          </w:p>
        </w:tc>
      </w:tr>
    </w:tbl>
    <w:bookmarkEnd w:id="212"/>
    <w:p>
      <w:pPr>
        <w:pStyle w:val="FigureNote"/>
        <w:ind w:firstLine="0" w:left="0" w:right="0"/>
        <w:spacing w:before="0" w:after="120"/>
      </w:pPr>
      <w:r>
        <w:rPr>
          <w:i/>
          <w:iCs/>
        </w:rPr>
        <w:t xml:space="preserve">Notes:</w:t>
      </w:r>
      <w:r>
        <w:t xml:space="preserve"> </w:t>
      </w:r>
      <w:r>
        <w:t xml:space="preserve">Monthly series, per 1,000 words, from January 2021.</w:t>
      </w:r>
      <w:r>
        <w:t xml:space="preserve"> </w:t>
      </w:r>
      <w:r>
        <w:t xml:space="preserve">“Step”</w:t>
      </w:r>
      <w:r>
        <w:t xml:space="preserve"> </w:t>
      </w:r>
      <w:r>
        <w:t xml:space="preserve">is the immediate level change at the break;</w:t>
      </w:r>
      <w:r>
        <w:t xml:space="preserve"> </w:t>
      </w:r>
      <w:r>
        <w:t xml:space="preserve">“slope change”</w:t>
      </w:r>
      <w:r>
        <w:t xml:space="preserve"> </w:t>
      </w:r>
      <w:r>
        <w:t xml:space="preserve">is the change in monthly trend afterward. A break at one date cannot be separated from anything else happening then: the sweep shows which month the series turns, not what turned it.</w:t>
      </w:r>
    </w:p>
    <w:p>
      <w:pPr>
        <w:pStyle w:val="Textoindependiente"/>
      </w:pPr>
      <w:r>
        <w:t xml:space="preserve">The DeepSeek earnings-call series (</w:t>
      </w:r>
      <w:hyperlink w:anchor="fig-deepseek-break">
        <w:r>
          <w:rPr>
            <w:rStyle w:val="Hipervnculo"/>
          </w:rPr>
          <w:t xml:space="preserve">Figure 19</w:t>
        </w:r>
      </w:hyperlink>
      <w:r>
        <w:t xml:space="preserve">) follows the same interrupted-time-series design, fit on monthly mentions per 1,000 words, weighted by the words each month contributes and controlling for reporting season and composition. January and February 2025 enter as separate pulse terms, so the two-month spike does not pull the fitted trend.</w:t>
      </w:r>
    </w:p>
    <w:bookmarkEnd w:id="213"/>
    <w:bookmarkStart w:id="216" w:name="appendix-c4"/>
    <w:p>
      <w:pPr>
        <w:pStyle w:val="Ttulo3"/>
      </w:pPr>
      <w:r>
        <w:t xml:space="preserve">C.4 Robustness of post-call beta regressions across specifications</w:t>
      </w:r>
    </w:p>
    <w:p>
      <w:pPr>
        <w:pStyle w:val="FirstParagraph"/>
      </w:pPr>
      <w:hyperlink w:anchor="tbl-call-beta-paper">
        <w:r>
          <w:rPr>
            <w:rStyle w:val="Hipervnculo"/>
          </w:rPr>
          <w:t xml:space="preserve">Table 45</w:t>
        </w:r>
      </w:hyperlink>
      <w:r>
        <w:t xml:space="preserve"> </w:t>
      </w:r>
      <w:r>
        <w:t xml:space="preserve">evaluates the baseline post-call beta model (window</w:t>
      </w:r>
      <w:r>
        <w:t xml:space="preserve"> </w:t>
      </w:r>
      <m:oMath>
        <m:d>
          <m:dPr>
            <m:begChr m:val="["/>
            <m:sepChr m:val=""/>
            <m:endChr m:val="]"/>
            <m:grow/>
          </m:dPr>
          <m:e>
            <m:r>
              <m:rPr>
                <m:sty m:val="p"/>
              </m:rPr>
              <w:rPr>
                <w:sz w:val="22"/>
              </w:rPr>
              <m:t>+</m:t>
            </m:r>
            <m:r>
              <w:rPr>
                <w:sz w:val="22"/>
              </w:rPr>
              <m:t>21</m:t>
            </m:r>
            <m:r>
              <m:rPr>
                <m:sty m:val="p"/>
              </m:rPr>
              <w:rPr>
                <w:sz w:val="22"/>
              </w:rPr>
              <m:t>,</m:t>
            </m:r>
            <m:r>
              <m:rPr>
                <m:sty m:val="p"/>
              </m:rPr>
              <w:rPr>
                <w:sz w:val="22"/>
              </w:rPr>
              <m:t>+</m:t>
            </m:r>
            <m:r>
              <w:rPr>
                <w:sz w:val="22"/>
              </w:rPr>
              <m:t>63</m:t>
            </m:r>
          </m:e>
        </m:d>
      </m:oMath>
      <w:r>
        <w:t xml:space="preserve">) against accounting controls (ROA and leverage) on the same window, and against four further checks estimated directly from raw daily prices over the</w:t>
      </w:r>
      <w:r>
        <w:t xml:space="preserve"> </w:t>
      </w:r>
      <m:oMath>
        <m:d>
          <m:dPr>
            <m:begChr m:val="["/>
            <m:sepChr m:val=""/>
            <m:endChr m:val="]"/>
            <m:grow/>
          </m:dPr>
          <m:e>
            <m:r>
              <m:rPr>
                <m:sty m:val="p"/>
              </m:rPr>
              <w:rPr>
                <w:sz w:val="22"/>
              </w:rPr>
              <m:t>+</m:t>
            </m:r>
            <m:r>
              <w:rPr>
                <w:sz w:val="22"/>
              </w:rPr>
              <m:t>21</m:t>
            </m:r>
            <m:r>
              <m:rPr>
                <m:sty m:val="p"/>
              </m:rPr>
              <w:rPr>
                <w:sz w:val="22"/>
              </w:rPr>
              <m:t>,</m:t>
            </m:r>
            <m:r>
              <m:rPr>
                <m:sty m:val="p"/>
              </m:rPr>
              <w:rPr>
                <w:sz w:val="22"/>
              </w:rPr>
              <m:t>+</m:t>
            </m:r>
            <m:r>
              <w:rPr>
                <w:sz w:val="22"/>
              </w:rPr>
              <m:t>126</m:t>
            </m:r>
          </m:e>
        </m:d>
      </m:oMath>
      <w:r>
        <w:t xml:space="preserve"> </w:t>
      </w:r>
      <w:r>
        <w:t xml:space="preserve">window: the Fama–French 3-factor benchmark, a full-year post-call window (+252 days), within-firm fixed effects, and first differences (Delta Beta).</w:t>
      </w:r>
    </w:p>
    <w:p>
      <w:pPr>
        <w:pStyle w:val="Textoindependiente"/>
      </w:pPr>
      <w:r>
        <w:t xml:space="preserve">One column does not reproduce the headline result. Comparing a firm against itself rather than against other firms, the positive association between accumulated decoupling and beta disappears, and cumulative intensity reverses to a negative coefficient that is significant. That specification also runs on a longer window than the baseline, so the two changes cannot be separated here. What the rest of the chapter claims for the historical measure holds in the cross-section, which is the comparison the design was built for, and not within a firm over time.</w:t>
      </w:r>
    </w:p>
    <w:bookmarkStart w:id="217" w:name="tbl-call-beta-paper"/>
    <w:p>
      <w:pPr>
        <w:keepNext/>
        <w:pStyle w:val="ImageCaption"/>
        <w:jc w:val="left"/>
        <w:spacing w:before="200"/>
        <w:ind w:firstLine="0" w:left="0" w:right="0"/>
      </w:pPr>
      <w:r>
        <w:t xml:space="preserve">Table 45:</w:t>
      </w:r>
      <w:r>
        <w:t xml:space="preserve"> </w:t>
      </w:r>
      <w:r>
        <w:rPr>
          <w:rStyle w:val="CaptionText"/>
        </w:rPr>
        <w:t xml:space="preserve">Robustness specifications for earnings-call beta regressions.</w:t>
      </w:r>
    </w:p>
    <w:tbl>
      <w:tblPr>
        <w:tblStyle w:val="Table"/>
        <w:tblW w:type="auto" w:w="0"/>
        <w:jc w:val="center"/>
        <w:tblLook w:firstRow="1" w:lastRow="0" w:firstColumn="0" w:lastColumn="0" w:noHBand="0" w:noVBand="0" w:val="0020"/>
        <w:tblBorders>
          <w:top w:val="single" w:sz="8" w:space="0" w:color="0F172A"/>
          <w:bottom w:val="single" w:sz="8" w:space="0" w:color="0F172A"/>
          <w:left w:val="none"/>
          <w:right w:val="none"/>
          <w:insideH w:val="single" w:sz="4" w:space="0" w:color="E2E8F0"/>
          <w:insideV w:val="none"/>
        </w:tblBorders>
        <w:tblCellMar>
          <w:top w:w="22" w:type="dxa"/>
          <w:bottom w:w="22" w:type="dxa"/>
          <w:left w:w="40" w:type="dxa"/>
          <w:right w:w="40" w:type="dxa"/>
        </w:tblCellMar>
      </w:tblPr>
      <w:tblGrid>
        <w:gridCol w:w="1131"/>
        <w:gridCol w:w="1131"/>
        <w:gridCol w:w="1131"/>
        <w:gridCol w:w="1131"/>
        <w:gridCol w:w="1131"/>
        <w:gridCol w:w="1131"/>
        <w:gridCol w:w="1131"/>
      </w:tblGrid>
      <w:tr>
        <w:trPr>
          <w:tblHeader w:val="on"/>
          <w:cantSplit/>
          <w:tblHeader/>
        </w:trPr>
        <w:tc>
          <w:tcPr>
            <w:shd w:fill="F1F5F9"/>
            <w:tcBorders>
              <w:bottom w:val="single" w:sz="8" w:space="0" w:color="475569"/>
            </w:tcBorders>
          </w:tcPr>
          <w:p>
            <w:pPr>
              <w:pStyle w:val="Compact"/>
              <w:spacing w:before="8" w:after="8" w:line="240" w:lineRule="auto"/>
              <w:ind w:firstLine="0" w:left="0" w:right="0"/>
              <w:jc w:val="left"/>
              <w:jc w:val="center"/>
            </w:pPr>
            <w:r>
              <w:rPr>
                <w:rFonts w:ascii="Calibri" w:hAnsi="Calibri"/>
                <w:b/>
                <w:color w:val="0F172A"/>
                <w:sz w:val="15"/>
              </w:rPr>
              <w:t xml:space="preserve">Variable</w:t>
            </w:r>
          </w:p>
        </w:tc>
        <w:tc>
          <w:tcPr>
            <w:shd w:fill="F1F5F9"/>
            <w:tcBorders>
              <w:bottom w:val="single" w:sz="8" w:space="0" w:color="475569"/>
            </w:tcBorders>
          </w:tcPr>
          <w:p>
            <w:pPr>
              <w:pStyle w:val="Compact"/>
              <w:spacing w:before="8" w:after="8" w:line="240" w:lineRule="auto"/>
              <w:ind w:firstLine="0" w:left="0" w:right="0"/>
              <w:jc w:val="left"/>
              <w:jc w:val="center"/>
            </w:pPr>
            <w:r>
              <w:rPr>
                <w:rFonts w:ascii="Calibri" w:hAnsi="Calibri"/>
                <w:b/>
                <w:color w:val="0F172A"/>
                <w:sz w:val="15"/>
              </w:rPr>
              <w:t xml:space="preserve">Baseline</w:t>
            </w:r>
          </w:p>
        </w:tc>
        <w:tc>
          <w:tcPr>
            <w:shd w:fill="F1F5F9"/>
            <w:tcBorders>
              <w:bottom w:val="single" w:sz="8" w:space="0" w:color="475569"/>
            </w:tcBorders>
          </w:tcPr>
          <w:p>
            <w:pPr>
              <w:pStyle w:val="Compact"/>
              <w:spacing w:before="8" w:after="8" w:line="240" w:lineRule="auto"/>
              <w:ind w:firstLine="0" w:left="0" w:right="0"/>
              <w:jc w:val="left"/>
              <w:jc w:val="center"/>
            </w:pPr>
            <w:r>
              <w:rPr>
                <w:rFonts w:ascii="Calibri" w:hAnsi="Calibri"/>
                <w:b/>
                <w:color w:val="0F172A"/>
                <w:sz w:val="15"/>
              </w:rPr>
              <w:t xml:space="preserve">+ Acct.</w:t>
            </w:r>
          </w:p>
        </w:tc>
        <w:tc>
          <w:tcPr>
            <w:shd w:fill="F1F5F9"/>
            <w:tcBorders>
              <w:bottom w:val="single" w:sz="8" w:space="0" w:color="475569"/>
            </w:tcBorders>
          </w:tcPr>
          <w:p>
            <w:pPr>
              <w:pStyle w:val="Compact"/>
              <w:spacing w:before="8" w:after="8" w:line="240" w:lineRule="auto"/>
              <w:ind w:firstLine="0" w:left="0" w:right="0"/>
              <w:jc w:val="left"/>
              <w:jc w:val="center"/>
            </w:pPr>
            <w:r>
              <w:rPr>
                <w:rFonts w:ascii="Calibri" w:hAnsi="Calibri"/>
                <w:b/>
                <w:color w:val="0F172A"/>
                <w:sz w:val="15"/>
              </w:rPr>
              <w:t xml:space="preserve">FF3</w:t>
            </w:r>
          </w:p>
        </w:tc>
        <w:tc>
          <w:tcPr>
            <w:shd w:fill="F1F5F9"/>
            <w:tcBorders>
              <w:bottom w:val="single" w:sz="8" w:space="0" w:color="475569"/>
            </w:tcBorders>
          </w:tcPr>
          <w:p>
            <w:pPr>
              <w:pStyle w:val="Compact"/>
              <w:spacing w:before="8" w:after="8" w:line="240" w:lineRule="auto"/>
              <w:ind w:firstLine="0" w:left="0" w:right="0"/>
              <w:jc w:val="left"/>
              <w:jc w:val="center"/>
            </w:pPr>
            <w:r>
              <w:rPr>
                <w:rFonts w:ascii="Calibri" w:hAnsi="Calibri"/>
                <w:b/>
                <w:color w:val="0F172A"/>
                <w:sz w:val="15"/>
              </w:rPr>
              <w:t xml:space="preserve">[+21,+252]</w:t>
            </w:r>
          </w:p>
        </w:tc>
        <w:tc>
          <w:tcPr>
            <w:shd w:fill="F1F5F9"/>
            <w:tcBorders>
              <w:bottom w:val="single" w:sz="8" w:space="0" w:color="475569"/>
            </w:tcBorders>
          </w:tcPr>
          <w:p>
            <w:pPr>
              <w:pStyle w:val="Compact"/>
              <w:spacing w:before="8" w:after="8" w:line="240" w:lineRule="auto"/>
              <w:ind w:firstLine="0" w:left="0" w:right="0"/>
              <w:jc w:val="left"/>
              <w:jc w:val="center"/>
            </w:pPr>
            <w:r>
              <w:rPr>
                <w:rFonts w:ascii="Calibri" w:hAnsi="Calibri"/>
                <w:b/>
                <w:color w:val="0F172A"/>
                <w:sz w:val="15"/>
              </w:rPr>
              <w:t xml:space="preserve">Firm FE</w:t>
            </w:r>
          </w:p>
        </w:tc>
        <w:tc>
          <w:tcPr>
            <w:shd w:fill="F1F5F9"/>
            <w:tcBorders>
              <w:bottom w:val="single" w:sz="8" w:space="0" w:color="475569"/>
            </w:tcBorders>
          </w:tcPr>
          <w:p>
            <w:pPr>
              <w:pStyle w:val="Compact"/>
              <w:spacing w:before="8" w:after="8" w:line="240" w:lineRule="auto"/>
              <w:ind w:firstLine="0" w:left="0" w:right="0"/>
              <w:jc w:val="left"/>
              <w:jc w:val="center"/>
            </w:pPr>
            <w:r>
              <w:rPr>
                <w:rFonts w:ascii="Calibri" w:hAnsi="Calibri"/>
                <w:b/>
                <w:color w:val="0F172A"/>
                <w:sz w:val="15"/>
              </w:rPr>
              <w:t xml:space="preserve">Delta Beta</w:t>
            </w:r>
          </w:p>
        </w:tc>
      </w:tr>
      <w:tr>
        <w:trPr>
          <w:cantSplit/>
        </w:trPr>
        <w:tc>
          <w:tcPr/>
          <w:p>
            <w:pPr>
              <w:pStyle w:val="Compact"/>
              <w:spacing w:before="8" w:after="8" w:line="240" w:lineRule="auto"/>
              <w:ind w:firstLine="0" w:left="0" w:right="0"/>
              <w:jc w:val="left"/>
              <w:jc w:val="center"/>
            </w:pPr>
            <w:r>
              <w:rPr>
                <w:rFonts w:ascii="Calibri" w:hAnsi="Calibri"/>
                <w:sz w:val="15"/>
              </w:rPr>
              <w:t xml:space="preserve">W call</w:t>
            </w:r>
          </w:p>
        </w:tc>
        <w:tc>
          <w:tcPr/>
          <w:p>
            <w:pPr>
              <w:pStyle w:val="Compact"/>
              <w:spacing w:before="8" w:after="8" w:line="240" w:lineRule="auto"/>
              <w:ind w:firstLine="0" w:left="0" w:right="0"/>
              <w:jc w:val="left"/>
              <w:jc w:val="center"/>
            </w:pPr>
            <w:r>
              <w:rPr>
                <w:rFonts w:ascii="Calibri" w:hAnsi="Calibri"/>
                <w:sz w:val="15"/>
              </w:rPr>
              <w:t xml:space="preserve">0.005 (p=0.592)</w:t>
            </w:r>
          </w:p>
        </w:tc>
        <w:tc>
          <w:tcPr/>
          <w:p>
            <w:pPr>
              <w:pStyle w:val="Compact"/>
              <w:spacing w:before="8" w:after="8" w:line="240" w:lineRule="auto"/>
              <w:ind w:firstLine="0" w:left="0" w:right="0"/>
              <w:jc w:val="left"/>
              <w:jc w:val="center"/>
            </w:pPr>
            <w:r>
              <w:rPr>
                <w:rFonts w:ascii="Calibri" w:hAnsi="Calibri"/>
                <w:sz w:val="15"/>
              </w:rPr>
              <w:t xml:space="preserve">0.017 (p=0.084)</w:t>
            </w:r>
          </w:p>
        </w:tc>
        <w:tc>
          <w:tcPr/>
          <w:p>
            <w:pPr>
              <w:pStyle w:val="Compact"/>
              <w:spacing w:before="8" w:after="8" w:line="240" w:lineRule="auto"/>
              <w:ind w:firstLine="0" w:left="0" w:right="0"/>
              <w:jc w:val="left"/>
              <w:jc w:val="center"/>
            </w:pPr>
            <w:r>
              <w:rPr>
                <w:rFonts w:ascii="Calibri" w:hAnsi="Calibri"/>
                <w:sz w:val="15"/>
              </w:rPr>
              <w:t xml:space="preserve">0.026 (p=0.001)</w:t>
            </w:r>
          </w:p>
        </w:tc>
        <w:tc>
          <w:tcPr/>
          <w:p>
            <w:pPr>
              <w:pStyle w:val="Compact"/>
              <w:spacing w:before="8" w:after="8" w:line="240" w:lineRule="auto"/>
              <w:ind w:firstLine="0" w:left="0" w:right="0"/>
              <w:jc w:val="left"/>
              <w:jc w:val="center"/>
            </w:pPr>
            <w:r>
              <w:rPr>
                <w:rFonts w:ascii="Calibri" w:hAnsi="Calibri"/>
                <w:sz w:val="15"/>
              </w:rPr>
              <w:t xml:space="preserve">0.029 (p=0.001)</w:t>
            </w:r>
          </w:p>
        </w:tc>
        <w:tc>
          <w:tcPr/>
          <w:p>
            <w:pPr>
              <w:pStyle w:val="Compact"/>
              <w:spacing w:before="8" w:after="8" w:line="240" w:lineRule="auto"/>
              <w:ind w:firstLine="0" w:left="0" w:right="0"/>
              <w:jc w:val="left"/>
              <w:jc w:val="center"/>
            </w:pPr>
            <w:r>
              <w:rPr>
                <w:rFonts w:ascii="Calibri" w:hAnsi="Calibri"/>
                <w:sz w:val="15"/>
              </w:rPr>
              <w:t xml:space="preserve">-0.008 (p=0.331)</w:t>
            </w:r>
          </w:p>
        </w:tc>
        <w:tc>
          <w:tcPr/>
          <w:p>
            <w:pPr>
              <w:pStyle w:val="Compact"/>
              <w:spacing w:before="8" w:after="8" w:line="240" w:lineRule="auto"/>
              <w:ind w:firstLine="0" w:left="0" w:right="0"/>
              <w:jc w:val="left"/>
              <w:jc w:val="center"/>
            </w:pPr>
            <w:r>
              <w:rPr>
                <w:rFonts w:ascii="Calibri" w:hAnsi="Calibri"/>
                <w:sz w:val="15"/>
              </w:rPr>
              <w:t xml:space="preserve">0.010 (p=0.355)</w:t>
            </w:r>
          </w:p>
        </w:tc>
      </w:tr>
      <w:tr>
        <w:trPr>
          <w:cantSplit/>
        </w:trPr>
        <w:tc>
          <w:tcPr/>
          <w:p>
            <w:pPr>
              <w:pStyle w:val="Compact"/>
              <w:spacing w:before="8" w:after="8" w:line="240" w:lineRule="auto"/>
              <w:ind w:firstLine="0" w:left="0" w:right="0"/>
              <w:jc w:val="left"/>
              <w:jc w:val="center"/>
            </w:pPr>
            <w:r>
              <w:rPr>
                <w:rFonts w:ascii="Calibri" w:hAnsi="Calibri"/>
                <w:sz w:val="15"/>
              </w:rPr>
              <w:t xml:space="preserve">W historical</w:t>
            </w:r>
          </w:p>
        </w:tc>
        <w:tc>
          <w:tcPr/>
          <w:p>
            <w:pPr>
              <w:pStyle w:val="Compact"/>
              <w:spacing w:before="8" w:after="8" w:line="240" w:lineRule="auto"/>
              <w:ind w:firstLine="0" w:left="0" w:right="0"/>
              <w:jc w:val="left"/>
              <w:jc w:val="center"/>
            </w:pPr>
            <w:r>
              <w:rPr>
                <w:rFonts w:ascii="Calibri" w:hAnsi="Calibri"/>
                <w:sz w:val="15"/>
              </w:rPr>
              <w:t xml:space="preserve">0.054 (p=0.000)</w:t>
            </w:r>
          </w:p>
        </w:tc>
        <w:tc>
          <w:tcPr/>
          <w:p>
            <w:pPr>
              <w:pStyle w:val="Compact"/>
              <w:spacing w:before="8" w:after="8" w:line="240" w:lineRule="auto"/>
              <w:ind w:firstLine="0" w:left="0" w:right="0"/>
              <w:jc w:val="left"/>
              <w:jc w:val="center"/>
            </w:pPr>
            <w:r>
              <w:rPr>
                <w:rFonts w:ascii="Calibri" w:hAnsi="Calibri"/>
                <w:sz w:val="15"/>
              </w:rPr>
              <w:t xml:space="preserve">0.082 (p=0.000)</w:t>
            </w:r>
          </w:p>
        </w:tc>
        <w:tc>
          <w:tcPr/>
          <w:p>
            <w:pPr>
              <w:pStyle w:val="Compact"/>
              <w:spacing w:before="8" w:after="8" w:line="240" w:lineRule="auto"/>
              <w:ind w:firstLine="0" w:left="0" w:right="0"/>
              <w:jc w:val="left"/>
              <w:jc w:val="center"/>
            </w:pPr>
            <w:r>
              <w:rPr>
                <w:rFonts w:ascii="Calibri" w:hAnsi="Calibri"/>
                <w:sz w:val="15"/>
              </w:rPr>
              <w:t xml:space="preserve">0.071 (p=0.000)</w:t>
            </w:r>
          </w:p>
        </w:tc>
        <w:tc>
          <w:tcPr/>
          <w:p>
            <w:pPr>
              <w:pStyle w:val="Compact"/>
              <w:spacing w:before="8" w:after="8" w:line="240" w:lineRule="auto"/>
              <w:ind w:firstLine="0" w:left="0" w:right="0"/>
              <w:jc w:val="left"/>
              <w:jc w:val="center"/>
            </w:pPr>
            <w:r>
              <w:rPr>
                <w:rFonts w:ascii="Calibri" w:hAnsi="Calibri"/>
                <w:sz w:val="15"/>
              </w:rPr>
              <w:t xml:space="preserve">0.064 (p=0.000)</w:t>
            </w:r>
          </w:p>
        </w:tc>
        <w:tc>
          <w:tcPr/>
          <w:p>
            <w:pPr>
              <w:pStyle w:val="Compact"/>
              <w:spacing w:before="8" w:after="8" w:line="240" w:lineRule="auto"/>
              <w:ind w:firstLine="0" w:left="0" w:right="0"/>
              <w:jc w:val="left"/>
              <w:jc w:val="center"/>
            </w:pPr>
            <w:r>
              <w:rPr>
                <w:rFonts w:ascii="Calibri" w:hAnsi="Calibri"/>
                <w:sz w:val="15"/>
              </w:rPr>
              <w:t xml:space="preserve">-0.013 (p=0.619)</w:t>
            </w:r>
          </w:p>
        </w:tc>
        <w:tc>
          <w:tcPr/>
          <w:p>
            <w:pPr>
              <w:pStyle w:val="Compact"/>
              <w:spacing w:before="8" w:after="8" w:line="240" w:lineRule="auto"/>
              <w:ind w:firstLine="0" w:left="0" w:right="0"/>
              <w:jc w:val="left"/>
              <w:jc w:val="center"/>
            </w:pPr>
            <w:r>
              <w:rPr>
                <w:rFonts w:ascii="Calibri" w:hAnsi="Calibri"/>
                <w:sz w:val="15"/>
              </w:rPr>
              <w:t xml:space="preserve">0.061 (p=0.000)</w:t>
            </w:r>
          </w:p>
        </w:tc>
      </w:tr>
      <w:tr>
        <w:trPr>
          <w:cantSplit/>
        </w:trPr>
        <w:tc>
          <w:tcPr/>
          <w:p>
            <w:pPr>
              <w:pStyle w:val="Compact"/>
              <w:spacing w:before="8" w:after="8" w:line="240" w:lineRule="auto"/>
              <w:ind w:firstLine="0" w:left="0" w:right="0"/>
              <w:jc w:val="left"/>
              <w:jc w:val="center"/>
            </w:pPr>
            <w:r>
              <w:rPr>
                <w:rFonts w:ascii="Calibri" w:hAnsi="Calibri"/>
                <w:sz w:val="15"/>
              </w:rPr>
              <w:t xml:space="preserve">Cumulative intensity</w:t>
            </w:r>
          </w:p>
        </w:tc>
        <w:tc>
          <w:tcPr/>
          <w:p>
            <w:pPr>
              <w:pStyle w:val="Compact"/>
              <w:spacing w:before="8" w:after="8" w:line="240" w:lineRule="auto"/>
              <w:ind w:firstLine="0" w:left="0" w:right="0"/>
              <w:jc w:val="left"/>
              <w:jc w:val="center"/>
            </w:pPr>
            <w:r>
              <w:rPr>
                <w:rFonts w:ascii="Calibri" w:hAnsi="Calibri"/>
                <w:sz w:val="15"/>
              </w:rPr>
              <w:t xml:space="preserve">0.021 (p=0.027)</w:t>
            </w:r>
          </w:p>
        </w:tc>
        <w:tc>
          <w:tcPr/>
          <w:p>
            <w:pPr>
              <w:pStyle w:val="Compact"/>
              <w:spacing w:before="8" w:after="8" w:line="240" w:lineRule="auto"/>
              <w:ind w:firstLine="0" w:left="0" w:right="0"/>
              <w:jc w:val="left"/>
              <w:jc w:val="center"/>
            </w:pPr>
            <w:r>
              <w:rPr>
                <w:rFonts w:ascii="Calibri" w:hAnsi="Calibri"/>
                <w:sz w:val="15"/>
              </w:rPr>
              <w:t xml:space="preserve">0.065 (p=0.000)</w:t>
            </w:r>
          </w:p>
        </w:tc>
        <w:tc>
          <w:tcPr/>
          <w:p>
            <w:pPr>
              <w:pStyle w:val="Compact"/>
              <w:spacing w:before="8" w:after="8" w:line="240" w:lineRule="auto"/>
              <w:ind w:firstLine="0" w:left="0" w:right="0"/>
              <w:jc w:val="left"/>
              <w:jc w:val="center"/>
            </w:pPr>
            <w:r>
              <w:rPr>
                <w:rFonts w:ascii="Calibri" w:hAnsi="Calibri"/>
                <w:sz w:val="15"/>
              </w:rPr>
              <w:t xml:space="preserve">0.029 (p=0.018)</w:t>
            </w:r>
          </w:p>
        </w:tc>
        <w:tc>
          <w:tcPr/>
          <w:p>
            <w:pPr>
              <w:pStyle w:val="Compact"/>
              <w:spacing w:before="8" w:after="8" w:line="240" w:lineRule="auto"/>
              <w:ind w:firstLine="0" w:left="0" w:right="0"/>
              <w:jc w:val="left"/>
              <w:jc w:val="center"/>
            </w:pPr>
            <w:r>
              <w:rPr>
                <w:rFonts w:ascii="Calibri" w:hAnsi="Calibri"/>
                <w:sz w:val="15"/>
              </w:rPr>
              <w:t xml:space="preserve">0.048 (p=0.000)</w:t>
            </w:r>
          </w:p>
        </w:tc>
        <w:tc>
          <w:tcPr/>
          <w:p>
            <w:pPr>
              <w:pStyle w:val="Compact"/>
              <w:spacing w:before="8" w:after="8" w:line="240" w:lineRule="auto"/>
              <w:ind w:firstLine="0" w:left="0" w:right="0"/>
              <w:jc w:val="left"/>
              <w:jc w:val="center"/>
            </w:pPr>
            <w:r>
              <w:rPr>
                <w:rFonts w:ascii="Calibri" w:hAnsi="Calibri"/>
                <w:sz w:val="15"/>
              </w:rPr>
              <w:t xml:space="preserve">-0.108 (p=0.003)</w:t>
            </w:r>
          </w:p>
        </w:tc>
        <w:tc>
          <w:tcPr/>
          <w:p>
            <w:pPr>
              <w:pStyle w:val="Compact"/>
              <w:spacing w:before="8" w:after="8" w:line="240" w:lineRule="auto"/>
              <w:ind w:firstLine="0" w:left="0" w:right="0"/>
              <w:jc w:val="left"/>
              <w:jc w:val="center"/>
            </w:pPr>
            <w:r>
              <w:rPr>
                <w:rFonts w:ascii="Calibri" w:hAnsi="Calibri"/>
                <w:sz w:val="15"/>
              </w:rPr>
              <w:t xml:space="preserve">0.008 (p=0.516)</w:t>
            </w:r>
          </w:p>
        </w:tc>
      </w:tr>
      <w:tr>
        <w:trPr>
          <w:cantSplit/>
        </w:trPr>
        <w:tc>
          <w:tcPr/>
          <w:p>
            <w:pPr>
              <w:pStyle w:val="Compact"/>
              <w:spacing w:before="8" w:after="8" w:line="240" w:lineRule="auto"/>
              <w:ind w:firstLine="0" w:left="0" w:right="0"/>
              <w:jc w:val="left"/>
              <w:jc w:val="center"/>
            </w:pPr>
            <w:r>
              <w:rPr>
                <w:rFonts w:ascii="Calibri" w:hAnsi="Calibri"/>
                <w:sz w:val="15"/>
              </w:rPr>
              <w:t xml:space="preserve">Discloses AI in filings</w:t>
            </w:r>
          </w:p>
        </w:tc>
        <w:tc>
          <w:tcPr/>
          <w:p>
            <w:pPr>
              <w:pStyle w:val="Compact"/>
              <w:spacing w:before="8" w:after="8" w:line="240" w:lineRule="auto"/>
              <w:ind w:firstLine="0" w:left="0" w:right="0"/>
              <w:jc w:val="left"/>
              <w:jc w:val="center"/>
            </w:pPr>
            <w:r>
              <w:rPr>
                <w:rFonts w:ascii="Calibri" w:hAnsi="Calibri"/>
                <w:sz w:val="15"/>
              </w:rPr>
              <w:t xml:space="preserve">0.037 (p=0.300)</w:t>
            </w:r>
          </w:p>
        </w:tc>
        <w:tc>
          <w:tcPr/>
          <w:p>
            <w:pPr>
              <w:pStyle w:val="Compact"/>
              <w:spacing w:before="8" w:after="8" w:line="240" w:lineRule="auto"/>
              <w:ind w:firstLine="0" w:left="0" w:right="0"/>
              <w:jc w:val="left"/>
              <w:jc w:val="center"/>
            </w:pPr>
            <w:r>
              <w:rPr>
                <w:rFonts w:ascii="Calibri" w:hAnsi="Calibri"/>
                <w:sz w:val="15"/>
              </w:rPr>
              <w:t xml:space="preserve">0.048 (p=0.250)</w:t>
            </w:r>
          </w:p>
        </w:tc>
        <w:tc>
          <w:tcPr/>
          <w:p>
            <w:pPr>
              <w:pStyle w:val="Compact"/>
              <w:spacing w:before="8" w:after="8" w:line="240" w:lineRule="auto"/>
              <w:ind w:firstLine="0" w:left="0" w:right="0"/>
              <w:jc w:val="left"/>
              <w:jc w:val="center"/>
            </w:pPr>
            <w:r>
              <w:rPr>
                <w:rFonts w:ascii="Calibri" w:hAnsi="Calibri"/>
                <w:sz w:val="15"/>
              </w:rPr>
              <w:t xml:space="preserve">0.039 (p=0.371)</w:t>
            </w:r>
          </w:p>
        </w:tc>
        <w:tc>
          <w:tcPr/>
          <w:p>
            <w:pPr>
              <w:pStyle w:val="Compact"/>
              <w:spacing w:before="8" w:after="8" w:line="240" w:lineRule="auto"/>
              <w:ind w:firstLine="0" w:left="0" w:right="0"/>
              <w:jc w:val="left"/>
              <w:jc w:val="center"/>
            </w:pPr>
            <w:r>
              <w:rPr>
                <w:rFonts w:ascii="Calibri" w:hAnsi="Calibri"/>
                <w:sz w:val="15"/>
              </w:rPr>
              <w:t xml:space="preserve">0.191 (p=0.000)</w:t>
            </w:r>
          </w:p>
        </w:tc>
        <w:tc>
          <w:tcPr/>
          <w:p>
            <w:pPr>
              <w:pStyle w:val="Compact"/>
              <w:spacing w:before="8" w:after="8" w:line="240" w:lineRule="auto"/>
              <w:ind w:firstLine="0" w:left="0" w:right="0"/>
              <w:jc w:val="left"/>
              <w:jc w:val="center"/>
            </w:pPr>
            <w:r>
              <w:rPr>
                <w:rFonts w:ascii="Calibri" w:hAnsi="Calibri"/>
                <w:sz w:val="15"/>
              </w:rPr>
              <w:t xml:space="preserve">-0.289 (p=0.000)</w:t>
            </w:r>
          </w:p>
        </w:tc>
        <w:tc>
          <w:tcPr/>
          <w:p>
            <w:pPr>
              <w:pStyle w:val="Compact"/>
              <w:spacing w:before="8" w:after="8" w:line="240" w:lineRule="auto"/>
              <w:ind w:firstLine="0" w:left="0" w:right="0"/>
              <w:jc w:val="left"/>
              <w:jc w:val="center"/>
            </w:pPr>
            <w:r>
              <w:rPr>
                <w:rFonts w:ascii="Calibri" w:hAnsi="Calibri"/>
                <w:sz w:val="15"/>
              </w:rPr>
              <w:t xml:space="preserve">0.125 (p=0.028)</w:t>
            </w:r>
          </w:p>
        </w:tc>
      </w:tr>
      <w:tr>
        <w:trPr>
          <w:cantSplit/>
        </w:trPr>
        <w:tc>
          <w:tcPr/>
          <w:p>
            <w:pPr>
              <w:pStyle w:val="Compact"/>
              <w:spacing w:before="8" w:after="8" w:line="240" w:lineRule="auto"/>
              <w:ind w:firstLine="0" w:left="0" w:right="0"/>
              <w:jc w:val="left"/>
              <w:jc w:val="center"/>
            </w:pPr>
            <w:r>
              <w:rPr>
                <w:rFonts w:ascii="Calibri" w:hAnsi="Calibri"/>
                <w:sz w:val="15"/>
              </w:rPr>
              <w:t xml:space="preserve">Vocal weight (vs Defensive)</w:t>
            </w:r>
          </w:p>
        </w:tc>
        <w:tc>
          <w:tcPr/>
          <w:p>
            <w:pPr>
              <w:pStyle w:val="Compact"/>
              <w:spacing w:before="8" w:after="8" w:line="240" w:lineRule="auto"/>
              <w:ind w:firstLine="0" w:left="0" w:right="0"/>
              <w:jc w:val="left"/>
              <w:jc w:val="center"/>
            </w:pPr>
            <w:r>
              <w:rPr>
                <w:rFonts w:ascii="Calibri" w:hAnsi="Calibri"/>
                <w:sz w:val="15"/>
              </w:rPr>
              <w:t xml:space="preserve">-0.019 (p=0.732)</w:t>
            </w:r>
          </w:p>
        </w:tc>
        <w:tc>
          <w:tcPr/>
          <w:p>
            <w:pPr>
              <w:pStyle w:val="Compact"/>
              <w:spacing w:before="8" w:after="8" w:line="240" w:lineRule="auto"/>
              <w:ind w:firstLine="0" w:left="0" w:right="0"/>
              <w:jc w:val="left"/>
              <w:jc w:val="center"/>
            </w:pPr>
            <w:r>
              <w:rPr>
                <w:rFonts w:ascii="Calibri" w:hAnsi="Calibri"/>
                <w:sz w:val="15"/>
              </w:rPr>
              <w:t xml:space="preserve">-0.041 (p=0.603)</w:t>
            </w:r>
          </w:p>
        </w:tc>
        <w:tc>
          <w:tcPr/>
          <w:p>
            <w:pPr>
              <w:pStyle w:val="Compact"/>
              <w:spacing w:before="8" w:after="8" w:line="240" w:lineRule="auto"/>
              <w:ind w:firstLine="0" w:left="0" w:right="0"/>
              <w:jc w:val="left"/>
              <w:jc w:val="center"/>
            </w:pPr>
            <w:r>
              <w:rPr>
                <w:rFonts w:ascii="Calibri" w:hAnsi="Calibri"/>
                <w:sz w:val="15"/>
              </w:rPr>
              <w:t xml:space="preserve">-0.043 (p=0.571)</w:t>
            </w:r>
          </w:p>
        </w:tc>
        <w:tc>
          <w:tcPr/>
          <w:p>
            <w:pPr>
              <w:pStyle w:val="Compact"/>
              <w:spacing w:before="8" w:after="8" w:line="240" w:lineRule="auto"/>
              <w:ind w:firstLine="0" w:left="0" w:right="0"/>
              <w:jc w:val="left"/>
              <w:jc w:val="center"/>
            </w:pPr>
            <w:r>
              <w:rPr>
                <w:rFonts w:ascii="Calibri" w:hAnsi="Calibri"/>
                <w:sz w:val="15"/>
              </w:rPr>
              <w:t xml:space="preserve">-0.220 (p=0.008)</w:t>
            </w:r>
          </w:p>
        </w:tc>
        <w:tc>
          <w:tcPr/>
          <w:p>
            <w:pPr>
              <w:pStyle w:val="Compact"/>
              <w:spacing w:before="8" w:after="8" w:line="240" w:lineRule="auto"/>
              <w:ind w:firstLine="0" w:left="0" w:right="0"/>
              <w:jc w:val="left"/>
              <w:jc w:val="center"/>
            </w:pPr>
            <w:r>
              <w:rPr>
                <w:rFonts w:ascii="Calibri" w:hAnsi="Calibri"/>
                <w:sz w:val="15"/>
              </w:rPr>
              <w:t xml:space="preserve">0.106 (p=0.166)</w:t>
            </w:r>
          </w:p>
        </w:tc>
        <w:tc>
          <w:tcPr/>
          <w:p>
            <w:pPr>
              <w:pStyle w:val="Compact"/>
              <w:spacing w:before="8" w:after="8" w:line="240" w:lineRule="auto"/>
              <w:ind w:firstLine="0" w:left="0" w:right="0"/>
              <w:jc w:val="left"/>
              <w:jc w:val="center"/>
            </w:pPr>
            <w:r>
              <w:rPr>
                <w:rFonts w:ascii="Calibri" w:hAnsi="Calibri"/>
                <w:sz w:val="15"/>
              </w:rPr>
              <w:t xml:space="preserve">-0.128 (p=0.124)</w:t>
            </w:r>
          </w:p>
        </w:tc>
      </w:tr>
      <w:tr>
        <w:trPr>
          <w:cantSplit/>
        </w:trPr>
        <w:tc>
          <w:tcPr/>
          <w:p>
            <w:pPr>
              <w:pStyle w:val="Compact"/>
              <w:spacing w:before="8" w:after="8" w:line="240" w:lineRule="auto"/>
              <w:ind w:firstLine="0" w:left="0" w:right="0"/>
              <w:jc w:val="left"/>
              <w:jc w:val="center"/>
            </w:pPr>
            <w:r>
              <w:rPr>
                <w:rFonts w:ascii="Calibri" w:hAnsi="Calibri"/>
                <w:sz w:val="15"/>
              </w:rPr>
              <w:t xml:space="preserve">Governance weight (vs Defensive)</w:t>
            </w:r>
          </w:p>
        </w:tc>
        <w:tc>
          <w:tcPr/>
          <w:p>
            <w:pPr>
              <w:pStyle w:val="Compact"/>
              <w:spacing w:before="8" w:after="8" w:line="240" w:lineRule="auto"/>
              <w:ind w:firstLine="0" w:left="0" w:right="0"/>
              <w:jc w:val="left"/>
              <w:jc w:val="center"/>
            </w:pPr>
            <w:r>
              <w:rPr>
                <w:rFonts w:ascii="Calibri" w:hAnsi="Calibri"/>
                <w:sz w:val="15"/>
              </w:rPr>
              <w:t xml:space="preserve">-0.206 (p=0.000)</w:t>
            </w:r>
          </w:p>
        </w:tc>
        <w:tc>
          <w:tcPr/>
          <w:p>
            <w:pPr>
              <w:pStyle w:val="Compact"/>
              <w:spacing w:before="8" w:after="8" w:line="240" w:lineRule="auto"/>
              <w:ind w:firstLine="0" w:left="0" w:right="0"/>
              <w:jc w:val="left"/>
              <w:jc w:val="center"/>
            </w:pPr>
            <w:r>
              <w:rPr>
                <w:rFonts w:ascii="Calibri" w:hAnsi="Calibri"/>
                <w:sz w:val="15"/>
              </w:rPr>
              <w:t xml:space="preserve">-0.198 (p=0.000)</w:t>
            </w:r>
          </w:p>
        </w:tc>
        <w:tc>
          <w:tcPr/>
          <w:p>
            <w:pPr>
              <w:pStyle w:val="Compact"/>
              <w:spacing w:before="8" w:after="8" w:line="240" w:lineRule="auto"/>
              <w:ind w:firstLine="0" w:left="0" w:right="0"/>
              <w:jc w:val="left"/>
              <w:jc w:val="center"/>
            </w:pPr>
            <w:r>
              <w:rPr>
                <w:rFonts w:ascii="Calibri" w:hAnsi="Calibri"/>
                <w:sz w:val="15"/>
              </w:rPr>
              <w:t xml:space="preserve">-0.131 (p=0.025)</w:t>
            </w:r>
          </w:p>
        </w:tc>
        <w:tc>
          <w:tcPr/>
          <w:p>
            <w:pPr>
              <w:pStyle w:val="Compact"/>
              <w:spacing w:before="8" w:after="8" w:line="240" w:lineRule="auto"/>
              <w:ind w:firstLine="0" w:left="0" w:right="0"/>
              <w:jc w:val="left"/>
              <w:jc w:val="center"/>
            </w:pPr>
            <w:r>
              <w:rPr>
                <w:rFonts w:ascii="Calibri" w:hAnsi="Calibri"/>
                <w:sz w:val="15"/>
              </w:rPr>
              <w:t xml:space="preserve">-0.239 (p=0.000)</w:t>
            </w:r>
          </w:p>
        </w:tc>
        <w:tc>
          <w:tcPr/>
          <w:p>
            <w:pPr>
              <w:pStyle w:val="Compact"/>
              <w:spacing w:before="8" w:after="8" w:line="240" w:lineRule="auto"/>
              <w:ind w:firstLine="0" w:left="0" w:right="0"/>
              <w:jc w:val="left"/>
              <w:jc w:val="center"/>
            </w:pPr>
            <w:r>
              <w:rPr>
                <w:rFonts w:ascii="Calibri" w:hAnsi="Calibri"/>
                <w:sz w:val="15"/>
              </w:rPr>
              <w:t xml:space="preserve">0.097 (p=0.092)</w:t>
            </w:r>
          </w:p>
        </w:tc>
        <w:tc>
          <w:tcPr/>
          <w:p>
            <w:pPr>
              <w:pStyle w:val="Compact"/>
              <w:spacing w:before="8" w:after="8" w:line="240" w:lineRule="auto"/>
              <w:ind w:firstLine="0" w:left="0" w:right="0"/>
              <w:jc w:val="left"/>
              <w:jc w:val="center"/>
            </w:pPr>
            <w:r>
              <w:rPr>
                <w:rFonts w:ascii="Calibri" w:hAnsi="Calibri"/>
                <w:sz w:val="15"/>
              </w:rPr>
              <w:t xml:space="preserve">-0.194 (p=0.014)</w:t>
            </w:r>
          </w:p>
        </w:tc>
      </w:tr>
      <w:tr>
        <w:trPr>
          <w:cantSplit/>
        </w:trPr>
        <w:tc>
          <w:tcPr/>
          <w:p>
            <w:pPr>
              <w:pStyle w:val="Compact"/>
              <w:spacing w:before="8" w:after="8" w:line="240" w:lineRule="auto"/>
              <w:ind w:firstLine="0" w:left="0" w:right="0"/>
              <w:jc w:val="left"/>
              <w:jc w:val="center"/>
            </w:pPr>
            <w:r>
              <w:rPr>
                <w:rFonts w:ascii="Calibri" w:hAnsi="Calibri"/>
                <w:sz w:val="15"/>
              </w:rPr>
              <w:t xml:space="preserve">Window</w:t>
            </w:r>
          </w:p>
        </w:tc>
        <w:tc>
          <w:tcPr/>
          <w:p>
            <w:pPr>
              <w:pStyle w:val="Compact"/>
              <w:spacing w:before="8" w:after="8" w:line="240" w:lineRule="auto"/>
              <w:ind w:firstLine="0" w:left="0" w:right="0"/>
              <w:jc w:val="right"/>
              <w:jc w:val="center"/>
            </w:pPr>
            <w:r>
              <w:rPr>
                <w:rFonts w:ascii="Calibri" w:hAnsi="Calibri"/>
                <w:sz w:val="15"/>
              </w:rPr>
              <w:t xml:space="preserve">[+21,+63]</w:t>
            </w:r>
          </w:p>
        </w:tc>
        <w:tc>
          <w:tcPr/>
          <w:p>
            <w:pPr>
              <w:pStyle w:val="Compact"/>
              <w:spacing w:before="8" w:after="8" w:line="240" w:lineRule="auto"/>
              <w:ind w:firstLine="0" w:left="0" w:right="0"/>
              <w:jc w:val="right"/>
              <w:jc w:val="center"/>
            </w:pPr>
            <w:r>
              <w:rPr>
                <w:rFonts w:ascii="Calibri" w:hAnsi="Calibri"/>
                <w:sz w:val="15"/>
              </w:rPr>
              <w:t xml:space="preserve">[+21,+63]</w:t>
            </w:r>
          </w:p>
        </w:tc>
        <w:tc>
          <w:tcPr/>
          <w:p>
            <w:pPr>
              <w:pStyle w:val="Compact"/>
              <w:spacing w:before="8" w:after="8" w:line="240" w:lineRule="auto"/>
              <w:ind w:firstLine="0" w:left="0" w:right="0"/>
              <w:jc w:val="right"/>
              <w:jc w:val="center"/>
            </w:pPr>
            <w:r>
              <w:rPr>
                <w:rFonts w:ascii="Calibri" w:hAnsi="Calibri"/>
                <w:sz w:val="15"/>
              </w:rPr>
              <w:t xml:space="preserve">[+21,+126]</w:t>
            </w:r>
          </w:p>
        </w:tc>
        <w:tc>
          <w:tcPr/>
          <w:p>
            <w:pPr>
              <w:pStyle w:val="Compact"/>
              <w:spacing w:before="8" w:after="8" w:line="240" w:lineRule="auto"/>
              <w:ind w:firstLine="0" w:left="0" w:right="0"/>
              <w:jc w:val="right"/>
              <w:jc w:val="center"/>
            </w:pPr>
            <w:r>
              <w:rPr>
                <w:rFonts w:ascii="Calibri" w:hAnsi="Calibri"/>
                <w:sz w:val="15"/>
              </w:rPr>
              <w:t xml:space="preserve">[+21,+252]</w:t>
            </w:r>
          </w:p>
        </w:tc>
        <w:tc>
          <w:tcPr/>
          <w:p>
            <w:pPr>
              <w:pStyle w:val="Compact"/>
              <w:spacing w:before="8" w:after="8" w:line="240" w:lineRule="auto"/>
              <w:ind w:firstLine="0" w:left="0" w:right="0"/>
              <w:jc w:val="right"/>
              <w:jc w:val="center"/>
            </w:pPr>
            <w:r>
              <w:rPr>
                <w:rFonts w:ascii="Calibri" w:hAnsi="Calibri"/>
                <w:sz w:val="15"/>
              </w:rPr>
              <w:t xml:space="preserve">[+21,+126]</w:t>
            </w:r>
          </w:p>
        </w:tc>
        <w:tc>
          <w:tcPr/>
          <w:p>
            <w:pPr>
              <w:pStyle w:val="Compact"/>
              <w:spacing w:before="8" w:after="8" w:line="240" w:lineRule="auto"/>
              <w:ind w:firstLine="0" w:left="0" w:right="0"/>
              <w:jc w:val="right"/>
              <w:jc w:val="center"/>
            </w:pPr>
            <w:r>
              <w:rPr>
                <w:rFonts w:ascii="Calibri" w:hAnsi="Calibri"/>
                <w:sz w:val="15"/>
              </w:rPr>
              <w:t xml:space="preserve">[+21,+126]</w:t>
            </w:r>
          </w:p>
        </w:tc>
      </w:tr>
      <w:tr>
        <w:trPr>
          <w:cantSplit/>
        </w:trPr>
        <w:tc>
          <w:tcPr/>
          <w:p>
            <w:pPr>
              <w:pStyle w:val="Compact"/>
              <w:spacing w:before="8" w:after="8" w:line="240" w:lineRule="auto"/>
              <w:ind w:firstLine="0" w:left="0" w:right="0"/>
              <w:jc w:val="left"/>
              <w:jc w:val="center"/>
            </w:pPr>
            <w:r>
              <w:rPr>
                <w:rFonts w:ascii="Calibri" w:hAnsi="Calibri"/>
                <w:sz w:val="15"/>
              </w:rPr>
              <w:t xml:space="preserve">Beta pre</w:t>
            </w:r>
          </w:p>
        </w:tc>
        <w:tc>
          <w:tcPr/>
          <w:p>
            <w:pPr>
              <w:pStyle w:val="Compact"/>
              <w:spacing w:before="8" w:after="8" w:line="240" w:lineRule="auto"/>
              <w:ind w:firstLine="0" w:left="0" w:right="0"/>
              <w:jc w:val="left"/>
              <w:jc w:val="center"/>
            </w:pPr>
            <w:r>
              <w:rPr>
                <w:rFonts w:ascii="Calibri" w:hAnsi="Calibri"/>
                <w:sz w:val="15"/>
              </w:rPr>
              <w:t xml:space="preserve">✓</w:t>
            </w:r>
          </w:p>
        </w:tc>
        <w:tc>
          <w:tcPr/>
          <w:p>
            <w:pPr>
              <w:pStyle w:val="Compact"/>
              <w:spacing w:before="8" w:after="8" w:line="240" w:lineRule="auto"/>
              <w:ind w:firstLine="0" w:left="0" w:right="0"/>
              <w:jc w:val="left"/>
              <w:jc w:val="center"/>
            </w:pPr>
            <w:r>
              <w:rPr>
                <w:rFonts w:ascii="Calibri" w:hAnsi="Calibri"/>
                <w:sz w:val="15"/>
              </w:rPr>
              <w:t xml:space="preserve">✓</w:t>
            </w:r>
          </w:p>
        </w:tc>
        <w:tc>
          <w:tcPr/>
          <w:p>
            <w:pPr>
              <w:pStyle w:val="Compact"/>
              <w:spacing w:before="8" w:after="8" w:line="240" w:lineRule="auto"/>
              <w:ind w:firstLine="0" w:left="0" w:right="0"/>
              <w:jc w:val="left"/>
              <w:jc w:val="center"/>
            </w:pPr>
            <w:r>
              <w:rPr>
                <w:rFonts w:ascii="Calibri" w:hAnsi="Calibri"/>
                <w:sz w:val="15"/>
              </w:rPr>
              <w:t xml:space="preserve">✓</w:t>
            </w:r>
          </w:p>
        </w:tc>
        <w:tc>
          <w:tcPr/>
          <w:p>
            <w:pPr>
              <w:pStyle w:val="Compact"/>
              <w:spacing w:before="8" w:after="8" w:line="240" w:lineRule="auto"/>
              <w:ind w:firstLine="0" w:left="0" w:right="0"/>
              <w:jc w:val="left"/>
              <w:jc w:val="center"/>
            </w:pPr>
            <w:r>
              <w:rPr>
                <w:rFonts w:ascii="Calibri" w:hAnsi="Calibri"/>
                <w:sz w:val="15"/>
              </w:rPr>
              <w:t xml:space="preserve">✓</w:t>
            </w:r>
          </w:p>
        </w:tc>
        <w:tc>
          <w:tcPr/>
          <w:p>
            <w:pPr>
              <w:pStyle w:val="Compact"/>
              <w:spacing w:before="8" w:after="8" w:line="240" w:lineRule="auto"/>
              <w:ind w:firstLine="0" w:left="0" w:right="0"/>
              <w:jc w:val="left"/>
              <w:jc w:val="center"/>
            </w:pPr>
            <w:r>
              <w:rPr>
                <w:rFonts w:ascii="Calibri" w:hAnsi="Calibri"/>
                <w:sz w:val="15"/>
              </w:rPr>
              <w:t xml:space="preserve">✓</w:t>
            </w:r>
          </w:p>
        </w:tc>
        <w:tc>
          <w:tcPr/>
          <w:p>
            <w:pPr>
              <w:pStyle w:val="Compact"/>
              <w:spacing w:before="8" w:after="8" w:line="240" w:lineRule="auto"/>
              <w:ind w:firstLine="0" w:left="0" w:right="0"/>
              <w:jc w:val="left"/>
              <w:jc w:val="center"/>
            </w:pPr>
            <w:r>
              <w:rPr>
                <w:rFonts w:ascii="Calibri" w:hAnsi="Calibri"/>
                <w:sz w:val="15"/>
              </w:rPr>
              <w:t xml:space="preserve">—</w:t>
            </w:r>
          </w:p>
        </w:tc>
      </w:tr>
      <w:tr>
        <w:trPr>
          <w:cantSplit/>
        </w:trPr>
        <w:tc>
          <w:tcPr/>
          <w:p>
            <w:pPr>
              <w:pStyle w:val="Compact"/>
              <w:spacing w:before="8" w:after="8" w:line="240" w:lineRule="auto"/>
              <w:ind w:firstLine="0" w:left="0" w:right="0"/>
              <w:jc w:val="left"/>
              <w:jc w:val="center"/>
            </w:pPr>
            <w:r>
              <w:rPr>
                <w:rFonts w:ascii="Calibri" w:hAnsi="Calibri"/>
                <w:sz w:val="15"/>
              </w:rPr>
              <w:t xml:space="preserve">Market controls</w:t>
            </w:r>
          </w:p>
        </w:tc>
        <w:tc>
          <w:tcPr/>
          <w:p>
            <w:pPr>
              <w:pStyle w:val="Compact"/>
              <w:spacing w:before="8" w:after="8" w:line="240" w:lineRule="auto"/>
              <w:ind w:firstLine="0" w:left="0" w:right="0"/>
              <w:jc w:val="left"/>
              <w:jc w:val="center"/>
            </w:pPr>
            <w:r>
              <w:rPr>
                <w:rFonts w:ascii="Calibri" w:hAnsi="Calibri"/>
                <w:sz w:val="15"/>
              </w:rPr>
              <w:t xml:space="preserve">✓</w:t>
            </w:r>
          </w:p>
        </w:tc>
        <w:tc>
          <w:tcPr/>
          <w:p>
            <w:pPr>
              <w:pStyle w:val="Compact"/>
              <w:spacing w:before="8" w:after="8" w:line="240" w:lineRule="auto"/>
              <w:ind w:firstLine="0" w:left="0" w:right="0"/>
              <w:jc w:val="left"/>
              <w:jc w:val="center"/>
            </w:pPr>
            <w:r>
              <w:rPr>
                <w:rFonts w:ascii="Calibri" w:hAnsi="Calibri"/>
                <w:sz w:val="15"/>
              </w:rPr>
              <w:t xml:space="preserve">✓</w:t>
            </w:r>
          </w:p>
        </w:tc>
        <w:tc>
          <w:tcPr/>
          <w:p>
            <w:pPr>
              <w:pStyle w:val="Compact"/>
              <w:spacing w:before="8" w:after="8" w:line="240" w:lineRule="auto"/>
              <w:ind w:firstLine="0" w:left="0" w:right="0"/>
              <w:jc w:val="left"/>
              <w:jc w:val="center"/>
            </w:pPr>
            <w:r>
              <w:rPr>
                <w:rFonts w:ascii="Calibri" w:hAnsi="Calibri"/>
                <w:sz w:val="15"/>
              </w:rPr>
              <w:t xml:space="preserve">✓</w:t>
            </w:r>
          </w:p>
        </w:tc>
        <w:tc>
          <w:tcPr/>
          <w:p>
            <w:pPr>
              <w:pStyle w:val="Compact"/>
              <w:spacing w:before="8" w:after="8" w:line="240" w:lineRule="auto"/>
              <w:ind w:firstLine="0" w:left="0" w:right="0"/>
              <w:jc w:val="left"/>
              <w:jc w:val="center"/>
            </w:pPr>
            <w:r>
              <w:rPr>
                <w:rFonts w:ascii="Calibri" w:hAnsi="Calibri"/>
                <w:sz w:val="15"/>
              </w:rPr>
              <w:t xml:space="preserve">✓</w:t>
            </w:r>
          </w:p>
        </w:tc>
        <w:tc>
          <w:tcPr/>
          <w:p>
            <w:pPr>
              <w:pStyle w:val="Compact"/>
              <w:spacing w:before="8" w:after="8" w:line="240" w:lineRule="auto"/>
              <w:ind w:firstLine="0" w:left="0" w:right="0"/>
              <w:jc w:val="left"/>
              <w:jc w:val="center"/>
            </w:pPr>
            <w:r>
              <w:rPr>
                <w:rFonts w:ascii="Calibri" w:hAnsi="Calibri"/>
                <w:sz w:val="15"/>
              </w:rPr>
              <w:t xml:space="preserve">✓</w:t>
            </w:r>
          </w:p>
        </w:tc>
        <w:tc>
          <w:tcPr/>
          <w:p>
            <w:pPr>
              <w:pStyle w:val="Compact"/>
              <w:spacing w:before="8" w:after="8" w:line="240" w:lineRule="auto"/>
              <w:ind w:firstLine="0" w:left="0" w:right="0"/>
              <w:jc w:val="left"/>
              <w:jc w:val="center"/>
            </w:pPr>
            <w:r>
              <w:rPr>
                <w:rFonts w:ascii="Calibri" w:hAnsi="Calibri"/>
                <w:sz w:val="15"/>
              </w:rPr>
              <w:t xml:space="preserve">✓</w:t>
            </w:r>
          </w:p>
        </w:tc>
      </w:tr>
      <w:tr>
        <w:trPr>
          <w:cantSplit/>
        </w:trPr>
        <w:tc>
          <w:tcPr/>
          <w:p>
            <w:pPr>
              <w:pStyle w:val="Compact"/>
              <w:spacing w:before="8" w:after="8" w:line="240" w:lineRule="auto"/>
              <w:ind w:firstLine="0" w:left="0" w:right="0"/>
              <w:jc w:val="left"/>
              <w:jc w:val="center"/>
            </w:pPr>
            <w:r>
              <w:rPr>
                <w:rFonts w:ascii="Calibri" w:hAnsi="Calibri"/>
                <w:sz w:val="15"/>
              </w:rPr>
              <w:t xml:space="preserve">Accounting (ROA, Lev)</w:t>
            </w:r>
          </w:p>
        </w:tc>
        <w:tc>
          <w:tcPr/>
          <w:p>
            <w:pPr>
              <w:pStyle w:val="Compact"/>
              <w:spacing w:before="8" w:after="8" w:line="240" w:lineRule="auto"/>
              <w:ind w:firstLine="0" w:left="0" w:right="0"/>
              <w:jc w:val="left"/>
              <w:jc w:val="center"/>
            </w:pPr>
            <w:r>
              <w:rPr>
                <w:rFonts w:ascii="Calibri" w:hAnsi="Calibri"/>
                <w:sz w:val="15"/>
              </w:rPr>
              <w:t xml:space="preserve">—</w:t>
            </w:r>
          </w:p>
        </w:tc>
        <w:tc>
          <w:tcPr/>
          <w:p>
            <w:pPr>
              <w:pStyle w:val="Compact"/>
              <w:spacing w:before="8" w:after="8" w:line="240" w:lineRule="auto"/>
              <w:ind w:firstLine="0" w:left="0" w:right="0"/>
              <w:jc w:val="left"/>
              <w:jc w:val="center"/>
            </w:pPr>
            <w:r>
              <w:rPr>
                <w:rFonts w:ascii="Calibri" w:hAnsi="Calibri"/>
                <w:sz w:val="15"/>
              </w:rPr>
              <w:t xml:space="preserve">✓</w:t>
            </w:r>
          </w:p>
        </w:tc>
        <w:tc>
          <w:tcPr/>
          <w:p>
            <w:pPr>
              <w:pStyle w:val="Compact"/>
              <w:spacing w:before="8" w:after="8" w:line="240" w:lineRule="auto"/>
              <w:ind w:firstLine="0" w:left="0" w:right="0"/>
              <w:jc w:val="left"/>
              <w:jc w:val="center"/>
            </w:pPr>
            <w:r>
              <w:rPr>
                <w:rFonts w:ascii="Calibri" w:hAnsi="Calibri"/>
                <w:sz w:val="15"/>
              </w:rPr>
              <w:t xml:space="preserve">—</w:t>
            </w:r>
          </w:p>
        </w:tc>
        <w:tc>
          <w:tcPr/>
          <w:p>
            <w:pPr>
              <w:pStyle w:val="Compact"/>
              <w:spacing w:before="8" w:after="8" w:line="240" w:lineRule="auto"/>
              <w:ind w:firstLine="0" w:left="0" w:right="0"/>
              <w:jc w:val="left"/>
              <w:jc w:val="center"/>
            </w:pPr>
            <w:r>
              <w:rPr>
                <w:rFonts w:ascii="Calibri" w:hAnsi="Calibri"/>
                <w:sz w:val="15"/>
              </w:rPr>
              <w:t xml:space="preserve">—</w:t>
            </w:r>
          </w:p>
        </w:tc>
        <w:tc>
          <w:tcPr/>
          <w:p>
            <w:pPr>
              <w:pStyle w:val="Compact"/>
              <w:spacing w:before="8" w:after="8" w:line="240" w:lineRule="auto"/>
              <w:ind w:firstLine="0" w:left="0" w:right="0"/>
              <w:jc w:val="left"/>
              <w:jc w:val="center"/>
            </w:pPr>
            <w:r>
              <w:rPr>
                <w:rFonts w:ascii="Calibri" w:hAnsi="Calibri"/>
                <w:sz w:val="15"/>
              </w:rPr>
              <w:t xml:space="preserve">—</w:t>
            </w:r>
          </w:p>
        </w:tc>
        <w:tc>
          <w:tcPr/>
          <w:p>
            <w:pPr>
              <w:pStyle w:val="Compact"/>
              <w:spacing w:before="8" w:after="8" w:line="240" w:lineRule="auto"/>
              <w:ind w:firstLine="0" w:left="0" w:right="0"/>
              <w:jc w:val="left"/>
              <w:jc w:val="center"/>
            </w:pPr>
            <w:r>
              <w:rPr>
                <w:rFonts w:ascii="Calibri" w:hAnsi="Calibri"/>
                <w:sz w:val="15"/>
              </w:rPr>
              <w:t xml:space="preserve">—</w:t>
            </w:r>
          </w:p>
        </w:tc>
      </w:tr>
      <w:tr>
        <w:trPr>
          <w:cantSplit/>
        </w:trPr>
        <w:tc>
          <w:tcPr/>
          <w:p>
            <w:pPr>
              <w:pStyle w:val="Compact"/>
              <w:spacing w:before="8" w:after="8" w:line="240" w:lineRule="auto"/>
              <w:ind w:firstLine="0" w:left="0" w:right="0"/>
              <w:jc w:val="left"/>
              <w:jc w:val="center"/>
            </w:pPr>
            <w:r>
              <w:rPr>
                <w:rFonts w:ascii="Calibri" w:hAnsi="Calibri"/>
                <w:sz w:val="15"/>
              </w:rPr>
              <w:t xml:space="preserve">SIC2 × CallYear FE</w:t>
            </w:r>
          </w:p>
        </w:tc>
        <w:tc>
          <w:tcPr/>
          <w:p>
            <w:pPr>
              <w:pStyle w:val="Compact"/>
              <w:spacing w:before="8" w:after="8" w:line="240" w:lineRule="auto"/>
              <w:ind w:firstLine="0" w:left="0" w:right="0"/>
              <w:jc w:val="left"/>
              <w:jc w:val="center"/>
            </w:pPr>
            <w:r>
              <w:rPr>
                <w:rFonts w:ascii="Calibri" w:hAnsi="Calibri"/>
                <w:sz w:val="15"/>
              </w:rPr>
              <w:t xml:space="preserve">✓</w:t>
            </w:r>
          </w:p>
        </w:tc>
        <w:tc>
          <w:tcPr/>
          <w:p>
            <w:pPr>
              <w:pStyle w:val="Compact"/>
              <w:spacing w:before="8" w:after="8" w:line="240" w:lineRule="auto"/>
              <w:ind w:firstLine="0" w:left="0" w:right="0"/>
              <w:jc w:val="left"/>
              <w:jc w:val="center"/>
            </w:pPr>
            <w:r>
              <w:rPr>
                <w:rFonts w:ascii="Calibri" w:hAnsi="Calibri"/>
                <w:sz w:val="15"/>
              </w:rPr>
              <w:t xml:space="preserve">✓</w:t>
            </w:r>
          </w:p>
        </w:tc>
        <w:tc>
          <w:tcPr/>
          <w:p>
            <w:pPr>
              <w:pStyle w:val="Compact"/>
              <w:spacing w:before="8" w:after="8" w:line="240" w:lineRule="auto"/>
              <w:ind w:firstLine="0" w:left="0" w:right="0"/>
              <w:jc w:val="left"/>
              <w:jc w:val="center"/>
            </w:pPr>
            <w:r>
              <w:rPr>
                <w:rFonts w:ascii="Calibri" w:hAnsi="Calibri"/>
                <w:sz w:val="15"/>
              </w:rPr>
              <w:t xml:space="preserve">✓</w:t>
            </w:r>
          </w:p>
        </w:tc>
        <w:tc>
          <w:tcPr/>
          <w:p>
            <w:pPr>
              <w:pStyle w:val="Compact"/>
              <w:spacing w:before="8" w:after="8" w:line="240" w:lineRule="auto"/>
              <w:ind w:firstLine="0" w:left="0" w:right="0"/>
              <w:jc w:val="left"/>
              <w:jc w:val="center"/>
            </w:pPr>
            <w:r>
              <w:rPr>
                <w:rFonts w:ascii="Calibri" w:hAnsi="Calibri"/>
                <w:sz w:val="15"/>
              </w:rPr>
              <w:t xml:space="preserve">✓</w:t>
            </w:r>
          </w:p>
        </w:tc>
        <w:tc>
          <w:tcPr/>
          <w:p>
            <w:pPr>
              <w:pStyle w:val="Compact"/>
              <w:spacing w:before="8" w:after="8" w:line="240" w:lineRule="auto"/>
              <w:ind w:firstLine="0" w:left="0" w:right="0"/>
              <w:jc w:val="left"/>
              <w:jc w:val="center"/>
            </w:pPr>
            <w:r>
              <w:rPr>
                <w:rFonts w:ascii="Calibri" w:hAnsi="Calibri"/>
                <w:sz w:val="15"/>
              </w:rPr>
              <w:t xml:space="preserve">—</w:t>
            </w:r>
          </w:p>
        </w:tc>
        <w:tc>
          <w:tcPr/>
          <w:p>
            <w:pPr>
              <w:pStyle w:val="Compact"/>
              <w:spacing w:before="8" w:after="8" w:line="240" w:lineRule="auto"/>
              <w:ind w:firstLine="0" w:left="0" w:right="0"/>
              <w:jc w:val="left"/>
              <w:jc w:val="center"/>
            </w:pPr>
            <w:r>
              <w:rPr>
                <w:rFonts w:ascii="Calibri" w:hAnsi="Calibri"/>
                <w:sz w:val="15"/>
              </w:rPr>
              <w:t xml:space="preserve">✓</w:t>
            </w:r>
          </w:p>
        </w:tc>
      </w:tr>
      <w:tr>
        <w:trPr>
          <w:cantSplit/>
        </w:trPr>
        <w:tc>
          <w:tcPr/>
          <w:p>
            <w:pPr>
              <w:pStyle w:val="Compact"/>
              <w:spacing w:before="8" w:after="8" w:line="240" w:lineRule="auto"/>
              <w:ind w:firstLine="0" w:left="0" w:right="0"/>
              <w:jc w:val="left"/>
              <w:jc w:val="center"/>
            </w:pPr>
            <w:r>
              <w:rPr>
                <w:rFonts w:ascii="Calibri" w:hAnsi="Calibri"/>
                <w:sz w:val="15"/>
              </w:rPr>
              <w:t xml:space="preserve">Firm FE</w:t>
            </w:r>
          </w:p>
        </w:tc>
        <w:tc>
          <w:tcPr/>
          <w:p>
            <w:pPr>
              <w:pStyle w:val="Compact"/>
              <w:spacing w:before="8" w:after="8" w:line="240" w:lineRule="auto"/>
              <w:ind w:firstLine="0" w:left="0" w:right="0"/>
              <w:jc w:val="left"/>
              <w:jc w:val="center"/>
            </w:pPr>
            <w:r>
              <w:rPr>
                <w:rFonts w:ascii="Calibri" w:hAnsi="Calibri"/>
                <w:sz w:val="15"/>
              </w:rPr>
              <w:t xml:space="preserve">—</w:t>
            </w:r>
          </w:p>
        </w:tc>
        <w:tc>
          <w:tcPr/>
          <w:p>
            <w:pPr>
              <w:pStyle w:val="Compact"/>
              <w:spacing w:before="8" w:after="8" w:line="240" w:lineRule="auto"/>
              <w:ind w:firstLine="0" w:left="0" w:right="0"/>
              <w:jc w:val="left"/>
              <w:jc w:val="center"/>
            </w:pPr>
            <w:r>
              <w:rPr>
                <w:rFonts w:ascii="Calibri" w:hAnsi="Calibri"/>
                <w:sz w:val="15"/>
              </w:rPr>
              <w:t xml:space="preserve">—</w:t>
            </w:r>
          </w:p>
        </w:tc>
        <w:tc>
          <w:tcPr/>
          <w:p>
            <w:pPr>
              <w:pStyle w:val="Compact"/>
              <w:spacing w:before="8" w:after="8" w:line="240" w:lineRule="auto"/>
              <w:ind w:firstLine="0" w:left="0" w:right="0"/>
              <w:jc w:val="left"/>
              <w:jc w:val="center"/>
            </w:pPr>
            <w:r>
              <w:rPr>
                <w:rFonts w:ascii="Calibri" w:hAnsi="Calibri"/>
                <w:sz w:val="15"/>
              </w:rPr>
              <w:t xml:space="preserve">—</w:t>
            </w:r>
          </w:p>
        </w:tc>
        <w:tc>
          <w:tcPr/>
          <w:p>
            <w:pPr>
              <w:pStyle w:val="Compact"/>
              <w:spacing w:before="8" w:after="8" w:line="240" w:lineRule="auto"/>
              <w:ind w:firstLine="0" w:left="0" w:right="0"/>
              <w:jc w:val="left"/>
              <w:jc w:val="center"/>
            </w:pPr>
            <w:r>
              <w:rPr>
                <w:rFonts w:ascii="Calibri" w:hAnsi="Calibri"/>
                <w:sz w:val="15"/>
              </w:rPr>
              <w:t xml:space="preserve">—</w:t>
            </w:r>
          </w:p>
        </w:tc>
        <w:tc>
          <w:tcPr/>
          <w:p>
            <w:pPr>
              <w:pStyle w:val="Compact"/>
              <w:spacing w:before="8" w:after="8" w:line="240" w:lineRule="auto"/>
              <w:ind w:firstLine="0" w:left="0" w:right="0"/>
              <w:jc w:val="left"/>
              <w:jc w:val="center"/>
            </w:pPr>
            <w:r>
              <w:rPr>
                <w:rFonts w:ascii="Calibri" w:hAnsi="Calibri"/>
                <w:sz w:val="15"/>
              </w:rPr>
              <w:t xml:space="preserve">✓</w:t>
            </w:r>
          </w:p>
        </w:tc>
        <w:tc>
          <w:tcPr/>
          <w:p>
            <w:pPr>
              <w:pStyle w:val="Compact"/>
              <w:spacing w:before="8" w:after="8" w:line="240" w:lineRule="auto"/>
              <w:ind w:firstLine="0" w:left="0" w:right="0"/>
              <w:jc w:val="left"/>
              <w:jc w:val="center"/>
            </w:pPr>
            <w:r>
              <w:rPr>
                <w:rFonts w:ascii="Calibri" w:hAnsi="Calibri"/>
                <w:sz w:val="15"/>
              </w:rPr>
              <w:t xml:space="preserve">—</w:t>
            </w:r>
          </w:p>
        </w:tc>
      </w:tr>
      <w:tr>
        <w:trPr>
          <w:cantSplit/>
        </w:trPr>
        <w:tc>
          <w:tcPr/>
          <w:p>
            <w:pPr>
              <w:pStyle w:val="Compact"/>
              <w:spacing w:before="8" w:after="8" w:line="240" w:lineRule="auto"/>
              <w:ind w:firstLine="0" w:left="0" w:right="0"/>
              <w:jc w:val="left"/>
              <w:jc w:val="center"/>
            </w:pPr>
            <w:r>
              <w:rPr>
                <w:rFonts w:ascii="Calibri" w:hAnsi="Calibri"/>
                <w:sz w:val="15"/>
              </w:rPr>
              <w:t xml:space="preserve">N</w:t>
            </w:r>
          </w:p>
        </w:tc>
        <w:tc>
          <w:tcPr/>
          <w:p>
            <w:pPr>
              <w:pStyle w:val="Compact"/>
              <w:spacing w:before="8" w:after="8" w:line="240" w:lineRule="auto"/>
              <w:ind w:firstLine="0" w:left="0" w:right="0"/>
              <w:jc w:val="right"/>
              <w:jc w:val="center"/>
            </w:pPr>
            <w:r>
              <w:rPr>
                <w:rFonts w:ascii="Calibri" w:hAnsi="Calibri"/>
                <w:sz w:val="15"/>
              </w:rPr>
              <w:t xml:space="preserve">9,348</w:t>
            </w:r>
          </w:p>
        </w:tc>
        <w:tc>
          <w:tcPr/>
          <w:p>
            <w:pPr>
              <w:pStyle w:val="Compact"/>
              <w:spacing w:before="8" w:after="8" w:line="240" w:lineRule="auto"/>
              <w:ind w:firstLine="0" w:left="0" w:right="0"/>
              <w:jc w:val="right"/>
              <w:jc w:val="center"/>
            </w:pPr>
            <w:r>
              <w:rPr>
                <w:rFonts w:ascii="Calibri" w:hAnsi="Calibri"/>
                <w:sz w:val="15"/>
              </w:rPr>
              <w:t xml:space="preserve">9,350</w:t>
            </w:r>
          </w:p>
        </w:tc>
        <w:tc>
          <w:tcPr/>
          <w:p>
            <w:pPr>
              <w:pStyle w:val="Compact"/>
              <w:spacing w:before="8" w:after="8" w:line="240" w:lineRule="auto"/>
              <w:ind w:firstLine="0" w:left="0" w:right="0"/>
              <w:jc w:val="right"/>
              <w:jc w:val="center"/>
            </w:pPr>
            <w:r>
              <w:rPr>
                <w:rFonts w:ascii="Calibri" w:hAnsi="Calibri"/>
                <w:sz w:val="15"/>
              </w:rPr>
              <w:t xml:space="preserve">8,994</w:t>
            </w:r>
          </w:p>
        </w:tc>
        <w:tc>
          <w:tcPr/>
          <w:p>
            <w:pPr>
              <w:pStyle w:val="Compact"/>
              <w:spacing w:before="8" w:after="8" w:line="240" w:lineRule="auto"/>
              <w:ind w:firstLine="0" w:left="0" w:right="0"/>
              <w:jc w:val="right"/>
              <w:jc w:val="center"/>
            </w:pPr>
            <w:r>
              <w:rPr>
                <w:rFonts w:ascii="Calibri" w:hAnsi="Calibri"/>
                <w:sz w:val="15"/>
              </w:rPr>
              <w:t xml:space="preserve">8,071</w:t>
            </w:r>
          </w:p>
        </w:tc>
        <w:tc>
          <w:tcPr/>
          <w:p>
            <w:pPr>
              <w:pStyle w:val="Compact"/>
              <w:spacing w:before="8" w:after="8" w:line="240" w:lineRule="auto"/>
              <w:ind w:firstLine="0" w:left="0" w:right="0"/>
              <w:jc w:val="right"/>
              <w:jc w:val="center"/>
            </w:pPr>
            <w:r>
              <w:rPr>
                <w:rFonts w:ascii="Calibri" w:hAnsi="Calibri"/>
                <w:sz w:val="15"/>
              </w:rPr>
              <w:t xml:space="preserve">9,008</w:t>
            </w:r>
          </w:p>
        </w:tc>
        <w:tc>
          <w:tcPr/>
          <w:p>
            <w:pPr>
              <w:pStyle w:val="Compact"/>
              <w:spacing w:before="8" w:after="8" w:line="240" w:lineRule="auto"/>
              <w:ind w:firstLine="0" w:left="0" w:right="0"/>
              <w:jc w:val="right"/>
              <w:jc w:val="center"/>
            </w:pPr>
            <w:r>
              <w:rPr>
                <w:rFonts w:ascii="Calibri" w:hAnsi="Calibri"/>
                <w:sz w:val="15"/>
              </w:rPr>
              <w:t xml:space="preserve">8,994</w:t>
            </w:r>
          </w:p>
        </w:tc>
      </w:tr>
      <w:tr>
        <w:trPr>
          <w:cantSplit/>
        </w:trPr>
        <w:tc>
          <w:tcPr/>
          <w:p>
            <w:pPr>
              <w:pStyle w:val="Compact"/>
              <w:spacing w:before="8" w:after="8" w:line="240" w:lineRule="auto"/>
              <w:ind w:firstLine="0" w:left="0" w:right="0"/>
              <w:jc w:val="left"/>
              <w:jc w:val="center"/>
            </w:pPr>
            <w:r>
              <w:rPr>
                <w:rFonts w:ascii="Calibri" w:hAnsi="Calibri"/>
                <w:sz w:val="15"/>
              </w:rPr>
              <w:t xml:space="preserve">R²</w:t>
            </w:r>
          </w:p>
        </w:tc>
        <w:tc>
          <w:tcPr/>
          <w:p>
            <w:pPr>
              <w:pStyle w:val="Compact"/>
              <w:spacing w:before="8" w:after="8" w:line="240" w:lineRule="auto"/>
              <w:ind w:firstLine="0" w:left="0" w:right="0"/>
              <w:jc w:val="right"/>
              <w:jc w:val="center"/>
            </w:pPr>
            <w:r>
              <w:rPr>
                <w:rFonts w:ascii="Calibri" w:hAnsi="Calibri"/>
                <w:sz w:val="15"/>
              </w:rPr>
              <w:t xml:space="preserve">0.519</w:t>
            </w:r>
          </w:p>
        </w:tc>
        <w:tc>
          <w:tcPr/>
          <w:p>
            <w:pPr>
              <w:pStyle w:val="Compact"/>
              <w:spacing w:before="8" w:after="8" w:line="240" w:lineRule="auto"/>
              <w:ind w:firstLine="0" w:left="0" w:right="0"/>
              <w:jc w:val="right"/>
              <w:jc w:val="center"/>
            </w:pPr>
            <w:r>
              <w:rPr>
                <w:rFonts w:ascii="Calibri" w:hAnsi="Calibri"/>
                <w:sz w:val="15"/>
              </w:rPr>
              <w:t xml:space="preserve">0.437</w:t>
            </w:r>
          </w:p>
        </w:tc>
        <w:tc>
          <w:tcPr/>
          <w:p>
            <w:pPr>
              <w:pStyle w:val="Compact"/>
              <w:spacing w:before="8" w:after="8" w:line="240" w:lineRule="auto"/>
              <w:ind w:firstLine="0" w:left="0" w:right="0"/>
              <w:jc w:val="left"/>
              <w:jc w:val="center"/>
            </w:pPr>
            <w:r>
              <w:rPr>
                <w:rFonts w:ascii="Calibri" w:hAnsi="Calibri"/>
                <w:sz w:val="15"/>
              </w:rPr>
              <w:t xml:space="preserve">—</w:t>
            </w:r>
          </w:p>
        </w:tc>
        <w:tc>
          <w:tcPr/>
          <w:p>
            <w:pPr>
              <w:pStyle w:val="Compact"/>
              <w:spacing w:before="8" w:after="8" w:line="240" w:lineRule="auto"/>
              <w:ind w:firstLine="0" w:left="0" w:right="0"/>
              <w:jc w:val="left"/>
              <w:jc w:val="center"/>
            </w:pPr>
            <w:r>
              <w:rPr>
                <w:rFonts w:ascii="Calibri" w:hAnsi="Calibri"/>
                <w:sz w:val="15"/>
              </w:rPr>
              <w:t xml:space="preserve">—</w:t>
            </w:r>
          </w:p>
        </w:tc>
        <w:tc>
          <w:tcPr/>
          <w:p>
            <w:pPr>
              <w:pStyle w:val="Compact"/>
              <w:spacing w:before="8" w:after="8" w:line="240" w:lineRule="auto"/>
              <w:ind w:firstLine="0" w:left="0" w:right="0"/>
              <w:jc w:val="left"/>
              <w:jc w:val="center"/>
            </w:pPr>
            <w:r>
              <w:rPr>
                <w:rFonts w:ascii="Calibri" w:hAnsi="Calibri"/>
                <w:sz w:val="15"/>
              </w:rPr>
              <w:t xml:space="preserve">—</w:t>
            </w:r>
          </w:p>
        </w:tc>
        <w:tc>
          <w:tcPr/>
          <w:p>
            <w:pPr>
              <w:pStyle w:val="Compact"/>
              <w:spacing w:before="8" w:after="8" w:line="240" w:lineRule="auto"/>
              <w:ind w:firstLine="0" w:left="0" w:right="0"/>
              <w:jc w:val="left"/>
              <w:jc w:val="center"/>
            </w:pPr>
            <w:r>
              <w:rPr>
                <w:rFonts w:ascii="Calibri" w:hAnsi="Calibri"/>
                <w:sz w:val="15"/>
              </w:rPr>
              <w:t xml:space="preserve">—</w:t>
            </w:r>
          </w:p>
        </w:tc>
      </w:tr>
    </w:tbl>
    <w:bookmarkEnd w:id="214"/>
    <w:p>
      <w:pPr>
        <w:pStyle w:val="FigureNote"/>
        <w:ind w:firstLine="0" w:left="0" w:right="0"/>
        <w:spacing w:before="0" w:after="120"/>
      </w:pPr>
      <w:r>
        <w:rPr>
          <w:i/>
          <w:iCs/>
        </w:rPr>
        <w:t xml:space="preserve">Notes:</w:t>
      </w:r>
      <w:r>
        <w:t xml:space="preserve"> </w:t>
      </w:r>
      <w:r>
        <w:t xml:space="preserve">Baseline and accounting-control columns use the</w:t>
      </w:r>
      <w:r>
        <w:t xml:space="preserve"> </w:t>
      </w:r>
      <m:oMath>
        <m:d>
          <m:dPr>
            <m:begChr m:val="["/>
            <m:sepChr m:val=""/>
            <m:endChr m:val="]"/>
            <m:grow/>
          </m:dPr>
          <m:e>
            <m:r>
              <m:rPr>
                <m:sty m:val="p"/>
              </m:rPr>
              <w:rPr>
                <w:sz w:val="22"/>
              </w:rPr>
              <m:t>+</m:t>
            </m:r>
            <m:r>
              <w:rPr>
                <w:sz w:val="22"/>
              </w:rPr>
              <m:t>21</m:t>
            </m:r>
            <m:r>
              <m:rPr>
                <m:sty m:val="p"/>
              </m:rPr>
              <w:rPr>
                <w:sz w:val="22"/>
              </w:rPr>
              <m:t>,</m:t>
            </m:r>
            <m:r>
              <m:rPr>
                <m:sty m:val="p"/>
              </m:rPr>
              <w:rPr>
                <w:sz w:val="22"/>
              </w:rPr>
              <m:t>+</m:t>
            </m:r>
            <m:r>
              <w:rPr>
                <w:sz w:val="22"/>
              </w:rPr>
              <m:t>63</m:t>
            </m:r>
          </m:e>
        </m:d>
      </m:oMath>
      <w:r>
        <w:t xml:space="preserve"> </w:t>
      </w:r>
      <w:r>
        <w:t xml:space="preserve">window; the other four columns use</w:t>
      </w:r>
      <w:r>
        <w:t xml:space="preserve"> </w:t>
      </w:r>
      <m:oMath>
        <m:d>
          <m:dPr>
            <m:begChr m:val="["/>
            <m:sepChr m:val=""/>
            <m:endChr m:val="]"/>
            <m:grow/>
          </m:dPr>
          <m:e>
            <m:r>
              <m:rPr>
                <m:sty m:val="p"/>
              </m:rPr>
              <w:rPr>
                <w:sz w:val="22"/>
              </w:rPr>
              <m:t>+</m:t>
            </m:r>
            <m:r>
              <w:rPr>
                <w:sz w:val="22"/>
              </w:rPr>
              <m:t>21</m:t>
            </m:r>
            <m:r>
              <m:rPr>
                <m:sty m:val="p"/>
              </m:rPr>
              <w:rPr>
                <w:sz w:val="22"/>
              </w:rPr>
              <m:t>,</m:t>
            </m:r>
            <m:r>
              <m:rPr>
                <m:sty m:val="p"/>
              </m:rPr>
              <w:rPr>
                <w:sz w:val="22"/>
              </w:rPr>
              <m:t>+</m:t>
            </m:r>
            <m:r>
              <w:rPr>
                <w:sz w:val="22"/>
              </w:rPr>
              <m:t>126</m:t>
            </m:r>
          </m:e>
        </m:d>
      </m:oMath>
      <w:r>
        <w:t xml:space="preserve"> </w:t>
      </w:r>
      <w:r>
        <w:t xml:space="preserve">or</w:t>
      </w:r>
      <w:r>
        <w:t xml:space="preserve"> </w:t>
      </w:r>
      <m:oMath>
        <m:d>
          <m:dPr>
            <m:begChr m:val="["/>
            <m:sepChr m:val=""/>
            <m:endChr m:val="]"/>
            <m:grow/>
          </m:dPr>
          <m:e>
            <m:r>
              <m:rPr>
                <m:sty m:val="p"/>
              </m:rPr>
              <w:rPr>
                <w:sz w:val="22"/>
              </w:rPr>
              <m:t>+</m:t>
            </m:r>
            <m:r>
              <w:rPr>
                <w:sz w:val="22"/>
              </w:rPr>
              <m:t>21</m:t>
            </m:r>
            <m:r>
              <m:rPr>
                <m:sty m:val="p"/>
              </m:rPr>
              <w:rPr>
                <w:sz w:val="22"/>
              </w:rPr>
              <m:t>,</m:t>
            </m:r>
            <m:r>
              <m:rPr>
                <m:sty m:val="p"/>
              </m:rPr>
              <w:rPr>
                <w:sz w:val="22"/>
              </w:rPr>
              <m:t>+</m:t>
            </m:r>
            <m:r>
              <w:rPr>
                <w:sz w:val="22"/>
              </w:rPr>
              <m:t>252</m:t>
            </m:r>
          </m:e>
        </m:d>
      </m:oMath>
      <w:r>
        <w:t xml:space="preserve">, so their R² is omitted as not comparable to the baseline’s.</w:t>
      </w:r>
    </w:p>
    <w:bookmarkEnd w:id="215"/>
    <w:bookmarkStart w:id="218" w:name="appendix-c5"/>
    <w:p>
      <w:pPr>
        <w:pStyle w:val="Ttulo3"/>
      </w:pPr>
      <w:r>
        <w:t xml:space="preserve">C.5 The market-relevance battery in full</w:t>
      </w:r>
    </w:p>
    <w:bookmarkStart w:id="219" w:name="tbl-e-market-posture"/>
    <w:p>
      <w:pPr>
        <w:keepNext/>
        <w:pStyle w:val="ImageCaption"/>
        <w:jc w:val="left"/>
        <w:spacing w:before="200"/>
        <w:ind w:firstLine="0" w:left="0" w:right="0"/>
      </w:pPr>
      <w:r>
        <w:t xml:space="preserve">Table 46:</w:t>
      </w:r>
      <w:r>
        <w:t xml:space="preserve"> </w:t>
      </w:r>
      <w:r>
        <w:rPr>
          <w:rStyle w:val="CaptionText"/>
        </w:rPr>
        <w:t xml:space="preserve">The market-relevance battery, posture terms: every disclosure coefficient of the eight regressions. Standardized coefficients with p-values in parentheses, starred at *** p&lt;0.01, ** p&lt;0.05, * p&lt;0.10 and bold below 5%; posture weights stay on their 0-1 scale.</w:t>
      </w:r>
    </w:p>
    <w:tbl>
      <w:tblPr>
        <w:tblStyle w:val="Table"/>
        <w:tblW w:type="pct" w:w="5000"/>
        <w:jc w:val="center"/>
        <w:tblLayout w:type="fixed"/>
        <w:tblLook w:firstRow="1" w:lastRow="0" w:firstColumn="0" w:lastColumn="0" w:noHBand="0" w:noVBand="0" w:val="0020"/>
        <w:tblBorders>
          <w:top w:val="single" w:sz="8" w:space="0" w:color="0F172A"/>
          <w:bottom w:val="single" w:sz="8" w:space="0" w:color="0F172A"/>
          <w:left w:val="none"/>
          <w:right w:val="none"/>
          <w:insideH w:val="single" w:sz="4" w:space="0" w:color="E2E8F0"/>
          <w:insideV w:val="none"/>
        </w:tblBorders>
        <w:tblCellMar>
          <w:top w:w="20" w:type="dxa"/>
          <w:bottom w:w="20" w:type="dxa"/>
          <w:left w:w="35" w:type="dxa"/>
          <w:right w:w="35" w:type="dxa"/>
        </w:tblCellMar>
      </w:tblPr>
      <w:tblGrid>
        <w:gridCol w:w="990"/>
        <w:gridCol w:w="990"/>
        <w:gridCol w:w="990"/>
        <w:gridCol w:w="990"/>
        <w:gridCol w:w="990"/>
        <w:gridCol w:w="990"/>
        <w:gridCol w:w="990"/>
        <w:gridCol w:w="990"/>
      </w:tblGrid>
      <w:tr>
        <w:trPr>
          <w:tblHeader w:val="on"/>
          <w:cantSplit/>
          <w:tblHeader/>
        </w:trPr>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3"/>
              </w:rPr>
              <w:t xml:space="preserve">Outcome</w:t>
            </w:r>
          </w:p>
        </w:tc>
        <w:tc>
          <w:tcPr>
            <w:shd w:fill="F1F5F9"/>
            <w:tcBorders>
              <w:bottom w:val="single" w:sz="8" w:space="0" w:color="475569"/>
            </w:tcBorders>
          </w:tcPr>
          <w:p>
            <w:pPr>
              <w:pStyle w:val="Compact"/>
              <w:keepNext/>
              <w:spacing w:before="8" w:after="8" w:line="240" w:lineRule="auto"/>
              <w:ind w:firstLine="0" w:left="0" w:right="0"/>
              <w:jc w:val="left"/>
              <w:jc w:val="center"/>
            </w:pPr>
            <m:oMath>
              <m:sSub>
                <m:e>
                  <m:r>
                    <w:rPr>
                      <w:sz w:val="14"/>
                    </w:rPr>
                    <m:t>W</m:t>
                  </m:r>
                </m:e>
                <m:sub>
                  <m:r>
                    <m:rPr>
                      <m:nor/>
                      <m:sty m:val="p"/>
                    </m:rPr>
                    <w:rPr>
                      <w:sz w:val="14"/>
                    </w:rPr>
                    <m:t>call</m:t>
                  </m:r>
                </m:sub>
              </m:sSub>
            </m:oMath>
          </w:p>
        </w:tc>
        <w:tc>
          <w:tcPr>
            <w:shd w:fill="F1F5F9"/>
            <w:tcBorders>
              <w:bottom w:val="single" w:sz="8" w:space="0" w:color="475569"/>
            </w:tcBorders>
          </w:tcPr>
          <w:p>
            <w:pPr>
              <w:pStyle w:val="Compact"/>
              <w:keepNext/>
              <w:spacing w:before="8" w:after="8" w:line="240" w:lineRule="auto"/>
              <w:ind w:firstLine="0" w:left="0" w:right="0"/>
              <w:jc w:val="left"/>
              <w:jc w:val="center"/>
            </w:pPr>
            <m:oMath>
              <m:sSub>
                <m:e>
                  <m:r>
                    <w:rPr>
                      <w:sz w:val="14"/>
                    </w:rPr>
                    <m:t>W</m:t>
                  </m:r>
                </m:e>
                <m:sub>
                  <m:r>
                    <m:rPr>
                      <m:nor/>
                      <m:sty m:val="p"/>
                    </m:rPr>
                    <w:rPr>
                      <w:sz w:val="14"/>
                    </w:rPr>
                    <m:t>exp</m:t>
                  </m:r>
                </m:sub>
              </m:sSub>
            </m:oMath>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3"/>
              </w:rPr>
              <w:t xml:space="preserve">Intensity</w:t>
            </w:r>
          </w:p>
        </w:tc>
        <w:tc>
          <w:tcPr>
            <w:shd w:fill="F1F5F9"/>
            <w:tcBorders>
              <w:bottom w:val="single" w:sz="8" w:space="0" w:color="475569"/>
            </w:tcBorders>
          </w:tcPr>
          <w:p>
            <w:pPr>
              <w:pStyle w:val="Compact"/>
              <w:keepNext/>
              <w:spacing w:before="8" w:after="8" w:line="240" w:lineRule="auto"/>
              <w:ind w:firstLine="0" w:left="0" w:right="0"/>
              <w:jc w:val="left"/>
              <w:jc w:val="center"/>
            </w:pPr>
            <m:oMath>
              <m:sSub>
                <m:e>
                  <m:r>
                    <w:rPr>
                      <w:sz w:val="14"/>
                    </w:rPr>
                    <m:t>β</m:t>
                  </m:r>
                </m:e>
                <m:sub>
                  <m:r>
                    <m:rPr>
                      <m:nor/>
                      <m:sty m:val="p"/>
                    </m:rPr>
                    <w:rPr>
                      <w:sz w:val="14"/>
                    </w:rPr>
                    <m:t>has</m:t>
                  </m:r>
                </m:sub>
              </m:sSub>
            </m:oMath>
          </w:p>
        </w:tc>
        <w:tc>
          <w:tcPr>
            <w:shd w:fill="F1F5F9"/>
            <w:tcBorders>
              <w:bottom w:val="single" w:sz="8" w:space="0" w:color="475569"/>
            </w:tcBorders>
          </w:tcPr>
          <w:p>
            <w:pPr>
              <w:pStyle w:val="Compact"/>
              <w:keepNext/>
              <w:spacing w:before="8" w:after="8" w:line="240" w:lineRule="auto"/>
              <w:ind w:firstLine="0" w:left="0" w:right="0"/>
              <w:jc w:val="left"/>
              <w:jc w:val="center"/>
            </w:pPr>
            <m:oMath>
              <m:sSub>
                <m:e>
                  <m:r>
                    <w:rPr>
                      <w:sz w:val="14"/>
                    </w:rPr>
                    <m:t>β</m:t>
                  </m:r>
                </m:e>
                <m:sub>
                  <m:r>
                    <m:rPr>
                      <m:nor/>
                      <m:sty m:val="p"/>
                    </m:rPr>
                    <w:rPr>
                      <w:sz w:val="14"/>
                    </w:rPr>
                    <m:t>voc</m:t>
                  </m:r>
                </m:sub>
              </m:sSub>
            </m:oMath>
          </w:p>
        </w:tc>
        <w:tc>
          <w:tcPr>
            <w:shd w:fill="F1F5F9"/>
            <w:tcBorders>
              <w:bottom w:val="single" w:sz="8" w:space="0" w:color="475569"/>
            </w:tcBorders>
          </w:tcPr>
          <w:p>
            <w:pPr>
              <w:pStyle w:val="Compact"/>
              <w:keepNext/>
              <w:spacing w:before="8" w:after="8" w:line="240" w:lineRule="auto"/>
              <w:ind w:firstLine="0" w:left="0" w:right="0"/>
              <w:jc w:val="left"/>
              <w:jc w:val="center"/>
            </w:pPr>
            <m:oMath>
              <m:sSub>
                <m:e>
                  <m:r>
                    <w:rPr>
                      <w:sz w:val="14"/>
                    </w:rPr>
                    <m:t>β</m:t>
                  </m:r>
                </m:e>
                <m:sub>
                  <m:r>
                    <m:rPr>
                      <m:nor/>
                      <m:sty m:val="p"/>
                    </m:rPr>
                    <w:rPr>
                      <w:sz w:val="14"/>
                    </w:rPr>
                    <m:t>gov</m:t>
                  </m:r>
                </m:sub>
              </m:sSub>
            </m:oMath>
          </w:p>
        </w:tc>
        <w:tc>
          <w:tcPr>
            <w:shd w:fill="F1F5F9"/>
            <w:tcBorders>
              <w:bottom w:val="single" w:sz="8" w:space="0" w:color="475569"/>
            </w:tcBorders>
          </w:tcPr>
          <w:p>
            <w:pPr>
              <w:pStyle w:val="Compact"/>
              <w:keepNext/>
              <w:spacing w:before="8" w:after="8" w:line="240" w:lineRule="auto"/>
              <w:ind w:firstLine="0" w:left="0" w:right="0"/>
              <w:jc w:val="left"/>
              <w:jc w:val="center"/>
            </w:pPr>
            <m:oMath>
              <m:sSub>
                <m:e>
                  <m:r>
                    <w:rPr>
                      <w:sz w:val="14"/>
                    </w:rPr>
                    <m:t>β</m:t>
                  </m:r>
                </m:e>
                <m:sub>
                  <m:r>
                    <m:rPr>
                      <m:nor/>
                      <m:sty m:val="p"/>
                    </m:rPr>
                    <w:rPr>
                      <w:sz w:val="14"/>
                    </w:rPr>
                    <m:t>gov</m:t>
                  </m:r>
                </m:sub>
              </m:sSub>
              <m:r>
                <m:rPr>
                  <m:sty m:val="p"/>
                </m:rPr>
                <w:rPr>
                  <w:sz w:val="14"/>
                </w:rPr>
                <m:t>−</m:t>
              </m:r>
              <m:sSub>
                <m:e>
                  <m:r>
                    <w:rPr>
                      <w:sz w:val="14"/>
                    </w:rPr>
                    <m:t>β</m:t>
                  </m:r>
                </m:e>
                <m:sub>
                  <m:r>
                    <m:rPr>
                      <m:nor/>
                      <m:sty m:val="p"/>
                    </m:rPr>
                    <w:rPr>
                      <w:sz w:val="14"/>
                    </w:rPr>
                    <m:t>voc</m:t>
                  </m:r>
                </m:sub>
              </m:sSub>
            </m:oMath>
          </w:p>
        </w:tc>
      </w:tr>
      <w:tr>
        <w:trPr>
          <w:cantSplit/>
        </w:trPr>
        <w:tc>
          <w:tcPr/>
          <w:p>
            <w:pPr>
              <w:pStyle w:val="Compact"/>
              <w:keepNext/>
              <w:spacing w:before="8" w:after="8" w:line="240" w:lineRule="auto"/>
              <w:ind w:firstLine="0" w:left="0" w:right="0"/>
              <w:jc w:val="left"/>
              <w:jc w:val="center"/>
            </w:pPr>
            <w:r>
              <w:rPr>
                <w:rFonts w:ascii="Calibri" w:hAnsi="Calibri"/>
                <w:sz w:val="13"/>
              </w:rPr>
              <w:t xml:space="preserve">Beta shift (Brenner 1979 Delta-beta)</w:t>
            </w:r>
          </w:p>
        </w:tc>
        <w:tc>
          <w:tcPr/>
          <w:p>
            <w:pPr>
              <w:pStyle w:val="Compact"/>
              <w:keepNext/>
              <w:spacing w:before="8" w:after="8" w:line="240" w:lineRule="auto"/>
              <w:ind w:firstLine="0" w:left="0" w:right="0"/>
              <w:jc w:val="left"/>
              <w:jc w:val="center"/>
            </w:pPr>
            <w:r>
              <w:rPr>
                <w:rFonts w:ascii="Calibri" w:hAnsi="Calibri"/>
                <w:sz w:val="13"/>
              </w:rPr>
              <w:t xml:space="preserve">+0.019* (0.084)</w:t>
            </w:r>
          </w:p>
        </w:tc>
        <w:tc>
          <w:tcPr/>
          <w:p>
            <w:pPr>
              <w:pStyle w:val="Compact"/>
              <w:keepNext/>
              <w:spacing w:before="8" w:after="8" w:line="240" w:lineRule="auto"/>
              <w:ind w:firstLine="0" w:left="0" w:right="0"/>
              <w:jc w:val="left"/>
              <w:jc w:val="center"/>
            </w:pPr>
            <w:r>
              <w:rPr>
                <w:rFonts w:ascii="Calibri" w:hAnsi="Calibri"/>
                <w:b/>
                <w:bCs/>
                <w:sz w:val="13"/>
              </w:rPr>
              <w:t xml:space="preserve">+0.092*** (0.000)</w:t>
            </w:r>
          </w:p>
        </w:tc>
        <w:tc>
          <w:tcPr/>
          <w:p>
            <w:pPr>
              <w:pStyle w:val="Compact"/>
              <w:keepNext/>
              <w:spacing w:before="8" w:after="8" w:line="240" w:lineRule="auto"/>
              <w:ind w:firstLine="0" w:left="0" w:right="0"/>
              <w:jc w:val="left"/>
              <w:jc w:val="center"/>
            </w:pPr>
            <w:r>
              <w:rPr>
                <w:rFonts w:ascii="Calibri" w:hAnsi="Calibri"/>
                <w:b/>
                <w:bCs/>
                <w:sz w:val="13"/>
              </w:rPr>
              <w:t xml:space="preserve">+0.073*** (0.000)</w:t>
            </w:r>
          </w:p>
        </w:tc>
        <w:tc>
          <w:tcPr/>
          <w:p>
            <w:pPr>
              <w:pStyle w:val="Compact"/>
              <w:keepNext/>
              <w:spacing w:before="8" w:after="8" w:line="240" w:lineRule="auto"/>
              <w:ind w:firstLine="0" w:left="0" w:right="0"/>
              <w:jc w:val="left"/>
              <w:jc w:val="center"/>
            </w:pPr>
            <w:r>
              <w:rPr>
                <w:rFonts w:ascii="Calibri" w:hAnsi="Calibri"/>
                <w:sz w:val="13"/>
              </w:rPr>
              <w:t xml:space="preserve">+0.052 (0.269)</w:t>
            </w:r>
          </w:p>
        </w:tc>
        <w:tc>
          <w:tcPr/>
          <w:p>
            <w:pPr>
              <w:pStyle w:val="Compact"/>
              <w:keepNext/>
              <w:spacing w:before="8" w:after="8" w:line="240" w:lineRule="auto"/>
              <w:ind w:firstLine="0" w:left="0" w:right="0"/>
              <w:jc w:val="left"/>
              <w:jc w:val="center"/>
            </w:pPr>
            <w:r>
              <w:rPr>
                <w:rFonts w:ascii="Calibri" w:hAnsi="Calibri"/>
                <w:sz w:val="13"/>
              </w:rPr>
              <w:t xml:space="preserve">-0.042 (0.636)</w:t>
            </w:r>
          </w:p>
        </w:tc>
        <w:tc>
          <w:tcPr/>
          <w:p>
            <w:pPr>
              <w:pStyle w:val="Compact"/>
              <w:keepNext/>
              <w:spacing w:before="8" w:after="8" w:line="240" w:lineRule="auto"/>
              <w:ind w:firstLine="0" w:left="0" w:right="0"/>
              <w:jc w:val="left"/>
              <w:jc w:val="center"/>
            </w:pPr>
            <w:r>
              <w:rPr>
                <w:rFonts w:ascii="Calibri" w:hAnsi="Calibri"/>
                <w:b/>
                <w:bCs/>
                <w:sz w:val="13"/>
              </w:rPr>
              <w:t xml:space="preserve">-0.223*** (0.000)</w:t>
            </w:r>
          </w:p>
        </w:tc>
        <w:tc>
          <w:tcPr/>
          <w:p>
            <w:pPr>
              <w:pStyle w:val="Compact"/>
              <w:keepNext/>
              <w:spacing w:before="8" w:after="8" w:line="240" w:lineRule="auto"/>
              <w:ind w:firstLine="0" w:left="0" w:right="0"/>
              <w:jc w:val="left"/>
              <w:jc w:val="center"/>
            </w:pPr>
            <w:r>
              <w:rPr>
                <w:rFonts w:ascii="Calibri" w:hAnsi="Calibri"/>
                <w:sz w:val="13"/>
              </w:rPr>
              <w:t xml:space="preserve">-0.180* (0.076)</w:t>
            </w:r>
          </w:p>
        </w:tc>
      </w:tr>
      <w:tr>
        <w:trPr>
          <w:cantSplit/>
        </w:trPr>
        <w:tc>
          <w:tcPr/>
          <w:p>
            <w:pPr>
              <w:pStyle w:val="Compact"/>
              <w:keepNext/>
              <w:spacing w:before="8" w:after="8" w:line="240" w:lineRule="auto"/>
              <w:ind w:firstLine="0" w:left="0" w:right="0"/>
              <w:jc w:val="left"/>
              <w:jc w:val="center"/>
            </w:pPr>
            <w:r>
              <w:rPr>
                <w:rFonts w:ascii="Calibri" w:hAnsi="Calibri"/>
                <w:sz w:val="13"/>
              </w:rPr>
              <w:t xml:space="preserve">Cumulative abnormal return [-1,+1]</w:t>
            </w:r>
          </w:p>
        </w:tc>
        <w:tc>
          <w:tcPr/>
          <w:p>
            <w:pPr>
              <w:pStyle w:val="Compact"/>
              <w:keepNext/>
              <w:spacing w:before="8" w:after="8" w:line="240" w:lineRule="auto"/>
              <w:ind w:firstLine="0" w:left="0" w:right="0"/>
              <w:jc w:val="left"/>
              <w:jc w:val="center"/>
            </w:pPr>
            <w:r>
              <w:rPr>
                <w:rFonts w:ascii="Calibri" w:hAnsi="Calibri"/>
                <w:sz w:val="13"/>
              </w:rPr>
              <w:t xml:space="preserve">-0.002 (0.807)</w:t>
            </w:r>
          </w:p>
        </w:tc>
        <w:tc>
          <w:tcPr/>
          <w:p>
            <w:pPr>
              <w:pStyle w:val="Compact"/>
              <w:keepNext/>
              <w:spacing w:before="8" w:after="8" w:line="240" w:lineRule="auto"/>
              <w:ind w:firstLine="0" w:left="0" w:right="0"/>
              <w:jc w:val="left"/>
              <w:jc w:val="center"/>
            </w:pPr>
            <w:r>
              <w:rPr>
                <w:rFonts w:ascii="Calibri" w:hAnsi="Calibri"/>
                <w:sz w:val="13"/>
              </w:rPr>
              <w:t xml:space="preserve">+0.008 (0.501)</w:t>
            </w:r>
          </w:p>
        </w:tc>
        <w:tc>
          <w:tcPr/>
          <w:p>
            <w:pPr>
              <w:pStyle w:val="Compact"/>
              <w:keepNext/>
              <w:spacing w:before="8" w:after="8" w:line="240" w:lineRule="auto"/>
              <w:ind w:firstLine="0" w:left="0" w:right="0"/>
              <w:jc w:val="left"/>
              <w:jc w:val="center"/>
            </w:pPr>
            <w:r>
              <w:rPr>
                <w:rFonts w:ascii="Calibri" w:hAnsi="Calibri"/>
                <w:sz w:val="13"/>
              </w:rPr>
              <w:t xml:space="preserve">-0.001 (0.931)</w:t>
            </w:r>
          </w:p>
        </w:tc>
        <w:tc>
          <w:tcPr/>
          <w:p>
            <w:pPr>
              <w:pStyle w:val="Compact"/>
              <w:keepNext/>
              <w:spacing w:before="8" w:after="8" w:line="240" w:lineRule="auto"/>
              <w:ind w:firstLine="0" w:left="0" w:right="0"/>
              <w:jc w:val="left"/>
              <w:jc w:val="center"/>
            </w:pPr>
            <w:r>
              <w:rPr>
                <w:rFonts w:ascii="Calibri" w:hAnsi="Calibri"/>
                <w:sz w:val="13"/>
              </w:rPr>
              <w:t xml:space="preserve">+0.006 (0.906)</w:t>
            </w:r>
          </w:p>
        </w:tc>
        <w:tc>
          <w:tcPr/>
          <w:p>
            <w:pPr>
              <w:pStyle w:val="Compact"/>
              <w:keepNext/>
              <w:spacing w:before="8" w:after="8" w:line="240" w:lineRule="auto"/>
              <w:ind w:firstLine="0" w:left="0" w:right="0"/>
              <w:jc w:val="left"/>
              <w:jc w:val="center"/>
            </w:pPr>
            <w:r>
              <w:rPr>
                <w:rFonts w:ascii="Calibri" w:hAnsi="Calibri"/>
                <w:sz w:val="13"/>
              </w:rPr>
              <w:t xml:space="preserve">-0.004 (0.956)</w:t>
            </w:r>
          </w:p>
        </w:tc>
        <w:tc>
          <w:tcPr/>
          <w:p>
            <w:pPr>
              <w:pStyle w:val="Compact"/>
              <w:keepNext/>
              <w:spacing w:before="8" w:after="8" w:line="240" w:lineRule="auto"/>
              <w:ind w:firstLine="0" w:left="0" w:right="0"/>
              <w:jc w:val="left"/>
              <w:jc w:val="center"/>
            </w:pPr>
            <w:r>
              <w:rPr>
                <w:rFonts w:ascii="Calibri" w:hAnsi="Calibri"/>
                <w:sz w:val="13"/>
              </w:rPr>
              <w:t xml:space="preserve">-0.014 (0.829)</w:t>
            </w:r>
          </w:p>
        </w:tc>
        <w:tc>
          <w:tcPr/>
          <w:p>
            <w:pPr>
              <w:pStyle w:val="Compact"/>
              <w:keepNext/>
              <w:spacing w:before="8" w:after="8" w:line="240" w:lineRule="auto"/>
              <w:ind w:firstLine="0" w:left="0" w:right="0"/>
              <w:jc w:val="left"/>
              <w:jc w:val="center"/>
            </w:pPr>
            <w:r>
              <w:rPr>
                <w:rFonts w:ascii="Calibri" w:hAnsi="Calibri"/>
                <w:sz w:val="13"/>
              </w:rPr>
              <w:t xml:space="preserve">-0.010 (0.891)</w:t>
            </w:r>
          </w:p>
        </w:tc>
      </w:tr>
      <w:tr>
        <w:trPr>
          <w:cantSplit/>
        </w:trPr>
        <w:tc>
          <w:tcPr/>
          <w:p>
            <w:pPr>
              <w:pStyle w:val="Compact"/>
              <w:keepNext/>
              <w:spacing w:before="8" w:after="8" w:line="240" w:lineRule="auto"/>
              <w:ind w:firstLine="0" w:left="0" w:right="0"/>
              <w:jc w:val="left"/>
              <w:jc w:val="center"/>
            </w:pPr>
            <w:r>
              <w:rPr>
                <w:rFonts w:ascii="Calibri" w:hAnsi="Calibri"/>
                <w:sz w:val="13"/>
              </w:rPr>
              <w:t xml:space="preserve">Post-announcement drift, CAR[+2,+63]</w:t>
            </w:r>
          </w:p>
        </w:tc>
        <w:tc>
          <w:tcPr/>
          <w:p>
            <w:pPr>
              <w:pStyle w:val="Compact"/>
              <w:keepNext/>
              <w:spacing w:before="8" w:after="8" w:line="240" w:lineRule="auto"/>
              <w:ind w:firstLine="0" w:left="0" w:right="0"/>
              <w:jc w:val="left"/>
              <w:jc w:val="center"/>
            </w:pPr>
            <w:r>
              <w:rPr>
                <w:rFonts w:ascii="Calibri" w:hAnsi="Calibri"/>
                <w:sz w:val="13"/>
              </w:rPr>
              <w:t xml:space="preserve">-0.003 (0.758)</w:t>
            </w:r>
          </w:p>
        </w:tc>
        <w:tc>
          <w:tcPr/>
          <w:p>
            <w:pPr>
              <w:pStyle w:val="Compact"/>
              <w:keepNext/>
              <w:spacing w:before="8" w:after="8" w:line="240" w:lineRule="auto"/>
              <w:ind w:firstLine="0" w:left="0" w:right="0"/>
              <w:jc w:val="left"/>
              <w:jc w:val="center"/>
            </w:pPr>
            <w:r>
              <w:rPr>
                <w:rFonts w:ascii="Calibri" w:hAnsi="Calibri"/>
                <w:b/>
                <w:bCs/>
                <w:sz w:val="13"/>
              </w:rPr>
              <w:t xml:space="preserve">+0.027** (0.018)</w:t>
            </w:r>
          </w:p>
        </w:tc>
        <w:tc>
          <w:tcPr/>
          <w:p>
            <w:pPr>
              <w:pStyle w:val="Compact"/>
              <w:keepNext/>
              <w:spacing w:before="8" w:after="8" w:line="240" w:lineRule="auto"/>
              <w:ind w:firstLine="0" w:left="0" w:right="0"/>
              <w:jc w:val="left"/>
              <w:jc w:val="center"/>
            </w:pPr>
            <w:r>
              <w:rPr>
                <w:rFonts w:ascii="Calibri" w:hAnsi="Calibri"/>
                <w:b/>
                <w:bCs/>
                <w:sz w:val="13"/>
              </w:rPr>
              <w:t xml:space="preserve">+0.035*** (0.004)</w:t>
            </w:r>
          </w:p>
        </w:tc>
        <w:tc>
          <w:tcPr/>
          <w:p>
            <w:pPr>
              <w:pStyle w:val="Compact"/>
              <w:keepNext/>
              <w:spacing w:before="8" w:after="8" w:line="240" w:lineRule="auto"/>
              <w:ind w:firstLine="0" w:left="0" w:right="0"/>
              <w:jc w:val="left"/>
              <w:jc w:val="center"/>
            </w:pPr>
            <w:r>
              <w:rPr>
                <w:rFonts w:ascii="Calibri" w:hAnsi="Calibri"/>
                <w:b/>
                <w:bCs/>
                <w:sz w:val="13"/>
              </w:rPr>
              <w:t xml:space="preserve">-0.093** (0.047)</w:t>
            </w:r>
          </w:p>
        </w:tc>
        <w:tc>
          <w:tcPr/>
          <w:p>
            <w:pPr>
              <w:pStyle w:val="Compact"/>
              <w:keepNext/>
              <w:spacing w:before="8" w:after="8" w:line="240" w:lineRule="auto"/>
              <w:ind w:firstLine="0" w:left="0" w:right="0"/>
              <w:jc w:val="left"/>
              <w:jc w:val="center"/>
            </w:pPr>
            <w:r>
              <w:rPr>
                <w:rFonts w:ascii="Calibri" w:hAnsi="Calibri"/>
                <w:sz w:val="13"/>
              </w:rPr>
              <w:t xml:space="preserve">+0.110* (0.095)</w:t>
            </w:r>
          </w:p>
        </w:tc>
        <w:tc>
          <w:tcPr/>
          <w:p>
            <w:pPr>
              <w:pStyle w:val="Compact"/>
              <w:keepNext/>
              <w:spacing w:before="8" w:after="8" w:line="240" w:lineRule="auto"/>
              <w:ind w:firstLine="0" w:left="0" w:right="0"/>
              <w:jc w:val="left"/>
              <w:jc w:val="center"/>
            </w:pPr>
            <w:r>
              <w:rPr>
                <w:rFonts w:ascii="Calibri" w:hAnsi="Calibri"/>
                <w:b/>
                <w:bCs/>
                <w:sz w:val="13"/>
              </w:rPr>
              <w:t xml:space="preserve">+0.220*** (0.000)</w:t>
            </w:r>
          </w:p>
        </w:tc>
        <w:tc>
          <w:tcPr/>
          <w:p>
            <w:pPr>
              <w:pStyle w:val="Compact"/>
              <w:keepNext/>
              <w:spacing w:before="8" w:after="8" w:line="240" w:lineRule="auto"/>
              <w:ind w:firstLine="0" w:left="0" w:right="0"/>
              <w:jc w:val="left"/>
              <w:jc w:val="center"/>
            </w:pPr>
            <w:r>
              <w:rPr>
                <w:rFonts w:ascii="Calibri" w:hAnsi="Calibri"/>
                <w:sz w:val="13"/>
              </w:rPr>
              <w:t xml:space="preserve">+0.111* (0.088)</w:t>
            </w:r>
          </w:p>
        </w:tc>
      </w:tr>
      <w:tr>
        <w:trPr>
          <w:cantSplit/>
        </w:trPr>
        <w:tc>
          <w:tcPr/>
          <w:p>
            <w:pPr>
              <w:pStyle w:val="Compact"/>
              <w:keepNext/>
              <w:spacing w:before="8" w:after="8" w:line="240" w:lineRule="auto"/>
              <w:ind w:firstLine="0" w:left="0" w:right="0"/>
              <w:jc w:val="left"/>
              <w:jc w:val="center"/>
            </w:pPr>
            <w:r>
              <w:rPr>
                <w:rFonts w:ascii="Calibri" w:hAnsi="Calibri"/>
                <w:sz w:val="13"/>
              </w:rPr>
              <w:t xml:space="preserve">Negative return skewness (NCSKEW, weekly)</w:t>
            </w:r>
          </w:p>
        </w:tc>
        <w:tc>
          <w:tcPr/>
          <w:p>
            <w:pPr>
              <w:pStyle w:val="Compact"/>
              <w:keepNext/>
              <w:spacing w:before="8" w:after="8" w:line="240" w:lineRule="auto"/>
              <w:ind w:firstLine="0" w:left="0" w:right="0"/>
              <w:jc w:val="left"/>
              <w:jc w:val="center"/>
            </w:pPr>
            <w:r>
              <w:rPr>
                <w:rFonts w:ascii="Calibri" w:hAnsi="Calibri"/>
                <w:sz w:val="13"/>
              </w:rPr>
              <w:t xml:space="preserve">+0.000 (0.988)</w:t>
            </w:r>
          </w:p>
        </w:tc>
        <w:tc>
          <w:tcPr/>
          <w:p>
            <w:pPr>
              <w:pStyle w:val="Compact"/>
              <w:keepNext/>
              <w:spacing w:before="8" w:after="8" w:line="240" w:lineRule="auto"/>
              <w:ind w:firstLine="0" w:left="0" w:right="0"/>
              <w:jc w:val="left"/>
              <w:jc w:val="center"/>
            </w:pPr>
            <w:r>
              <w:rPr>
                <w:rFonts w:ascii="Calibri" w:hAnsi="Calibri"/>
                <w:sz w:val="13"/>
              </w:rPr>
              <w:t xml:space="preserve">-0.023* (0.094)</w:t>
            </w:r>
          </w:p>
        </w:tc>
        <w:tc>
          <w:tcPr/>
          <w:p>
            <w:pPr>
              <w:pStyle w:val="Compact"/>
              <w:keepNext/>
              <w:spacing w:before="8" w:after="8" w:line="240" w:lineRule="auto"/>
              <w:ind w:firstLine="0" w:left="0" w:right="0"/>
              <w:jc w:val="left"/>
              <w:jc w:val="center"/>
            </w:pPr>
            <w:r>
              <w:rPr>
                <w:rFonts w:ascii="Calibri" w:hAnsi="Calibri"/>
                <w:sz w:val="13"/>
              </w:rPr>
              <w:t xml:space="preserve">+0.001 (0.975)</w:t>
            </w:r>
          </w:p>
        </w:tc>
        <w:tc>
          <w:tcPr/>
          <w:p>
            <w:pPr>
              <w:pStyle w:val="Compact"/>
              <w:keepNext/>
              <w:spacing w:before="8" w:after="8" w:line="240" w:lineRule="auto"/>
              <w:ind w:firstLine="0" w:left="0" w:right="0"/>
              <w:jc w:val="left"/>
              <w:jc w:val="center"/>
            </w:pPr>
            <w:r>
              <w:rPr>
                <w:rFonts w:ascii="Calibri" w:hAnsi="Calibri"/>
                <w:sz w:val="13"/>
              </w:rPr>
              <w:t xml:space="preserve">+0.048 (0.407)</w:t>
            </w:r>
          </w:p>
        </w:tc>
        <w:tc>
          <w:tcPr/>
          <w:p>
            <w:pPr>
              <w:pStyle w:val="Compact"/>
              <w:keepNext/>
              <w:spacing w:before="8" w:after="8" w:line="240" w:lineRule="auto"/>
              <w:ind w:firstLine="0" w:left="0" w:right="0"/>
              <w:jc w:val="left"/>
              <w:jc w:val="center"/>
            </w:pPr>
            <w:r>
              <w:rPr>
                <w:rFonts w:ascii="Calibri" w:hAnsi="Calibri"/>
                <w:sz w:val="13"/>
              </w:rPr>
              <w:t xml:space="preserve">-0.056 (0.590)</w:t>
            </w:r>
          </w:p>
        </w:tc>
        <w:tc>
          <w:tcPr/>
          <w:p>
            <w:pPr>
              <w:pStyle w:val="Compact"/>
              <w:keepNext/>
              <w:spacing w:before="8" w:after="8" w:line="240" w:lineRule="auto"/>
              <w:ind w:firstLine="0" w:left="0" w:right="0"/>
              <w:jc w:val="left"/>
              <w:jc w:val="center"/>
            </w:pPr>
            <w:r>
              <w:rPr>
                <w:rFonts w:ascii="Calibri" w:hAnsi="Calibri"/>
                <w:sz w:val="13"/>
              </w:rPr>
              <w:t xml:space="preserve">-0.039 (0.612)</w:t>
            </w:r>
          </w:p>
        </w:tc>
        <w:tc>
          <w:tcPr/>
          <w:p>
            <w:pPr>
              <w:pStyle w:val="Compact"/>
              <w:keepNext/>
              <w:spacing w:before="8" w:after="8" w:line="240" w:lineRule="auto"/>
              <w:ind w:firstLine="0" w:left="0" w:right="0"/>
              <w:jc w:val="left"/>
              <w:jc w:val="center"/>
            </w:pPr>
            <w:r>
              <w:rPr>
                <w:rFonts w:ascii="Calibri" w:hAnsi="Calibri"/>
                <w:sz w:val="13"/>
              </w:rPr>
              <w:t xml:space="preserve">+0.017 (0.877)</w:t>
            </w:r>
          </w:p>
        </w:tc>
      </w:tr>
      <w:tr>
        <w:trPr>
          <w:cantSplit/>
        </w:trPr>
        <w:tc>
          <w:tcPr/>
          <w:p>
            <w:pPr>
              <w:pStyle w:val="Compact"/>
              <w:keepNext/>
              <w:spacing w:before="8" w:after="8" w:line="240" w:lineRule="auto"/>
              <w:ind w:firstLine="0" w:left="0" w:right="0"/>
              <w:jc w:val="left"/>
              <w:jc w:val="center"/>
            </w:pPr>
            <w:r>
              <w:rPr>
                <w:rFonts w:ascii="Calibri" w:hAnsi="Calibri"/>
                <w:sz w:val="13"/>
              </w:rPr>
              <w:t xml:space="preserve">Down-to-up volatility (DUVOL, weekly)</w:t>
            </w:r>
          </w:p>
        </w:tc>
        <w:tc>
          <w:tcPr/>
          <w:p>
            <w:pPr>
              <w:pStyle w:val="Compact"/>
              <w:keepNext/>
              <w:spacing w:before="8" w:after="8" w:line="240" w:lineRule="auto"/>
              <w:ind w:firstLine="0" w:left="0" w:right="0"/>
              <w:jc w:val="left"/>
              <w:jc w:val="center"/>
            </w:pPr>
            <w:r>
              <w:rPr>
                <w:rFonts w:ascii="Calibri" w:hAnsi="Calibri"/>
                <w:sz w:val="13"/>
              </w:rPr>
              <w:t xml:space="preserve">-0.002 (0.850)</w:t>
            </w:r>
          </w:p>
        </w:tc>
        <w:tc>
          <w:tcPr/>
          <w:p>
            <w:pPr>
              <w:pStyle w:val="Compact"/>
              <w:keepNext/>
              <w:spacing w:before="8" w:after="8" w:line="240" w:lineRule="auto"/>
              <w:ind w:firstLine="0" w:left="0" w:right="0"/>
              <w:jc w:val="left"/>
              <w:jc w:val="center"/>
            </w:pPr>
            <w:r>
              <w:rPr>
                <w:rFonts w:ascii="Calibri" w:hAnsi="Calibri"/>
                <w:b/>
                <w:bCs/>
                <w:sz w:val="13"/>
              </w:rPr>
              <w:t xml:space="preserve">-0.028** (0.048)</w:t>
            </w:r>
          </w:p>
        </w:tc>
        <w:tc>
          <w:tcPr/>
          <w:p>
            <w:pPr>
              <w:pStyle w:val="Compact"/>
              <w:keepNext/>
              <w:spacing w:before="8" w:after="8" w:line="240" w:lineRule="auto"/>
              <w:ind w:firstLine="0" w:left="0" w:right="0"/>
              <w:jc w:val="left"/>
              <w:jc w:val="center"/>
            </w:pPr>
            <w:r>
              <w:rPr>
                <w:rFonts w:ascii="Calibri" w:hAnsi="Calibri"/>
                <w:sz w:val="13"/>
              </w:rPr>
              <w:t xml:space="preserve">-0.001 (0.953)</w:t>
            </w:r>
          </w:p>
        </w:tc>
        <w:tc>
          <w:tcPr/>
          <w:p>
            <w:pPr>
              <w:pStyle w:val="Compact"/>
              <w:keepNext/>
              <w:spacing w:before="8" w:after="8" w:line="240" w:lineRule="auto"/>
              <w:ind w:firstLine="0" w:left="0" w:right="0"/>
              <w:jc w:val="left"/>
              <w:jc w:val="center"/>
            </w:pPr>
            <w:r>
              <w:rPr>
                <w:rFonts w:ascii="Calibri" w:hAnsi="Calibri"/>
                <w:sz w:val="13"/>
              </w:rPr>
              <w:t xml:space="preserve">+0.043 (0.456)</w:t>
            </w:r>
          </w:p>
        </w:tc>
        <w:tc>
          <w:tcPr/>
          <w:p>
            <w:pPr>
              <w:pStyle w:val="Compact"/>
              <w:keepNext/>
              <w:spacing w:before="8" w:after="8" w:line="240" w:lineRule="auto"/>
              <w:ind w:firstLine="0" w:left="0" w:right="0"/>
              <w:jc w:val="left"/>
              <w:jc w:val="center"/>
            </w:pPr>
            <w:r>
              <w:rPr>
                <w:rFonts w:ascii="Calibri" w:hAnsi="Calibri"/>
                <w:sz w:val="13"/>
              </w:rPr>
              <w:t xml:space="preserve">-0.021 (0.836)</w:t>
            </w:r>
          </w:p>
        </w:tc>
        <w:tc>
          <w:tcPr/>
          <w:p>
            <w:pPr>
              <w:pStyle w:val="Compact"/>
              <w:keepNext/>
              <w:spacing w:before="8" w:after="8" w:line="240" w:lineRule="auto"/>
              <w:ind w:firstLine="0" w:left="0" w:right="0"/>
              <w:jc w:val="left"/>
              <w:jc w:val="center"/>
            </w:pPr>
            <w:r>
              <w:rPr>
                <w:rFonts w:ascii="Calibri" w:hAnsi="Calibri"/>
                <w:sz w:val="13"/>
              </w:rPr>
              <w:t xml:space="preserve">-0.032 (0.674)</w:t>
            </w:r>
          </w:p>
        </w:tc>
        <w:tc>
          <w:tcPr/>
          <w:p>
            <w:pPr>
              <w:pStyle w:val="Compact"/>
              <w:keepNext/>
              <w:spacing w:before="8" w:after="8" w:line="240" w:lineRule="auto"/>
              <w:ind w:firstLine="0" w:left="0" w:right="0"/>
              <w:jc w:val="left"/>
              <w:jc w:val="center"/>
            </w:pPr>
            <w:r>
              <w:rPr>
                <w:rFonts w:ascii="Calibri" w:hAnsi="Calibri"/>
                <w:sz w:val="13"/>
              </w:rPr>
              <w:t xml:space="preserve">-0.011 (0.919)</w:t>
            </w:r>
          </w:p>
        </w:tc>
      </w:tr>
      <w:tr>
        <w:trPr>
          <w:cantSplit/>
        </w:trPr>
        <w:tc>
          <w:tcPr/>
          <w:p>
            <w:pPr>
              <w:pStyle w:val="Compact"/>
              <w:keepNext/>
              <w:spacing w:before="8" w:after="8" w:line="240" w:lineRule="auto"/>
              <w:ind w:firstLine="0" w:left="0" w:right="0"/>
              <w:jc w:val="left"/>
              <w:jc w:val="center"/>
            </w:pPr>
            <w:r>
              <w:rPr>
                <w:rFonts w:ascii="Calibri" w:hAnsi="Calibri"/>
                <w:sz w:val="13"/>
              </w:rPr>
              <w:t xml:space="preserve">Gross margin expansion (pp, TTM)</w:t>
            </w:r>
          </w:p>
        </w:tc>
        <w:tc>
          <w:tcPr/>
          <w:p>
            <w:pPr>
              <w:pStyle w:val="Compact"/>
              <w:keepNext/>
              <w:spacing w:before="8" w:after="8" w:line="240" w:lineRule="auto"/>
              <w:ind w:firstLine="0" w:left="0" w:right="0"/>
              <w:jc w:val="left"/>
              <w:jc w:val="center"/>
            </w:pPr>
            <w:r>
              <w:rPr>
                <w:rFonts w:ascii="Calibri" w:hAnsi="Calibri"/>
                <w:sz w:val="13"/>
              </w:rPr>
              <w:t xml:space="preserve">+0.011 (0.473)</w:t>
            </w:r>
          </w:p>
        </w:tc>
        <w:tc>
          <w:tcPr/>
          <w:p>
            <w:pPr>
              <w:pStyle w:val="Compact"/>
              <w:keepNext/>
              <w:spacing w:before="8" w:after="8" w:line="240" w:lineRule="auto"/>
              <w:ind w:firstLine="0" w:left="0" w:right="0"/>
              <w:jc w:val="left"/>
              <w:jc w:val="center"/>
            </w:pPr>
            <w:r>
              <w:rPr>
                <w:rFonts w:ascii="Calibri" w:hAnsi="Calibri"/>
                <w:sz w:val="13"/>
              </w:rPr>
              <w:t xml:space="preserve">+0.025 (0.328)</w:t>
            </w:r>
          </w:p>
        </w:tc>
        <w:tc>
          <w:tcPr/>
          <w:p>
            <w:pPr>
              <w:pStyle w:val="Compact"/>
              <w:keepNext/>
              <w:spacing w:before="8" w:after="8" w:line="240" w:lineRule="auto"/>
              <w:ind w:firstLine="0" w:left="0" w:right="0"/>
              <w:jc w:val="left"/>
              <w:jc w:val="center"/>
            </w:pPr>
            <w:r>
              <w:rPr>
                <w:rFonts w:ascii="Calibri" w:hAnsi="Calibri"/>
                <w:sz w:val="13"/>
              </w:rPr>
              <w:t xml:space="preserve">-0.007 (0.743)</w:t>
            </w:r>
          </w:p>
        </w:tc>
        <w:tc>
          <w:tcPr/>
          <w:p>
            <w:pPr>
              <w:pStyle w:val="Compact"/>
              <w:keepNext/>
              <w:spacing w:before="8" w:after="8" w:line="240" w:lineRule="auto"/>
              <w:ind w:firstLine="0" w:left="0" w:right="0"/>
              <w:jc w:val="left"/>
              <w:jc w:val="center"/>
            </w:pPr>
            <w:r>
              <w:rPr>
                <w:rFonts w:ascii="Calibri" w:hAnsi="Calibri"/>
                <w:sz w:val="13"/>
              </w:rPr>
              <w:t xml:space="preserve">-0.058 (0.357)</w:t>
            </w:r>
          </w:p>
        </w:tc>
        <w:tc>
          <w:tcPr/>
          <w:p>
            <w:pPr>
              <w:pStyle w:val="Compact"/>
              <w:keepNext/>
              <w:spacing w:before="8" w:after="8" w:line="240" w:lineRule="auto"/>
              <w:ind w:firstLine="0" w:left="0" w:right="0"/>
              <w:jc w:val="left"/>
              <w:jc w:val="center"/>
            </w:pPr>
            <w:r>
              <w:rPr>
                <w:rFonts w:ascii="Calibri" w:hAnsi="Calibri"/>
                <w:sz w:val="13"/>
              </w:rPr>
              <w:t xml:space="preserve">+0.102 (0.334)</w:t>
            </w:r>
          </w:p>
        </w:tc>
        <w:tc>
          <w:tcPr/>
          <w:p>
            <w:pPr>
              <w:pStyle w:val="Compact"/>
              <w:keepNext/>
              <w:spacing w:before="8" w:after="8" w:line="240" w:lineRule="auto"/>
              <w:ind w:firstLine="0" w:left="0" w:right="0"/>
              <w:jc w:val="left"/>
              <w:jc w:val="center"/>
            </w:pPr>
            <w:r>
              <w:rPr>
                <w:rFonts w:ascii="Calibri" w:hAnsi="Calibri"/>
                <w:sz w:val="13"/>
              </w:rPr>
              <w:t xml:space="preserve">+0.058 (0.432)</w:t>
            </w:r>
          </w:p>
        </w:tc>
        <w:tc>
          <w:tcPr/>
          <w:p>
            <w:pPr>
              <w:pStyle w:val="Compact"/>
              <w:keepNext/>
              <w:spacing w:before="8" w:after="8" w:line="240" w:lineRule="auto"/>
              <w:ind w:firstLine="0" w:left="0" w:right="0"/>
              <w:jc w:val="left"/>
              <w:jc w:val="center"/>
            </w:pPr>
            <w:r>
              <w:rPr>
                <w:rFonts w:ascii="Calibri" w:hAnsi="Calibri"/>
                <w:sz w:val="13"/>
              </w:rPr>
              <w:t xml:space="preserve">-0.045 (0.688)</w:t>
            </w:r>
          </w:p>
        </w:tc>
      </w:tr>
      <w:tr>
        <w:trPr>
          <w:cantSplit/>
        </w:trPr>
        <w:tc>
          <w:tcPr/>
          <w:p>
            <w:pPr>
              <w:pStyle w:val="Compact"/>
              <w:keepNext/>
              <w:spacing w:before="8" w:after="8" w:line="240" w:lineRule="auto"/>
              <w:ind w:firstLine="0" w:left="0" w:right="0"/>
              <w:jc w:val="left"/>
              <w:jc w:val="center"/>
            </w:pPr>
            <w:r>
              <w:rPr>
                <w:rFonts w:ascii="Calibri" w:hAnsi="Calibri"/>
                <w:sz w:val="13"/>
              </w:rPr>
              <w:t xml:space="preserve">Change in ROIC-WACC spread (pp, TTM)</w:t>
            </w:r>
          </w:p>
        </w:tc>
        <w:tc>
          <w:tcPr/>
          <w:p>
            <w:pPr>
              <w:pStyle w:val="Compact"/>
              <w:keepNext/>
              <w:spacing w:before="8" w:after="8" w:line="240" w:lineRule="auto"/>
              <w:ind w:firstLine="0" w:left="0" w:right="0"/>
              <w:jc w:val="left"/>
              <w:jc w:val="center"/>
            </w:pPr>
            <w:r>
              <w:rPr>
                <w:rFonts w:ascii="Calibri" w:hAnsi="Calibri"/>
                <w:sz w:val="13"/>
              </w:rPr>
              <w:t xml:space="preserve">+0.014 (0.356)</w:t>
            </w:r>
          </w:p>
        </w:tc>
        <w:tc>
          <w:tcPr/>
          <w:p>
            <w:pPr>
              <w:pStyle w:val="Compact"/>
              <w:keepNext/>
              <w:spacing w:before="8" w:after="8" w:line="240" w:lineRule="auto"/>
              <w:ind w:firstLine="0" w:left="0" w:right="0"/>
              <w:jc w:val="left"/>
              <w:jc w:val="center"/>
            </w:pPr>
            <w:r>
              <w:rPr>
                <w:rFonts w:ascii="Calibri" w:hAnsi="Calibri"/>
                <w:sz w:val="13"/>
              </w:rPr>
              <w:t xml:space="preserve">-0.028 (0.237)</w:t>
            </w:r>
          </w:p>
        </w:tc>
        <w:tc>
          <w:tcPr/>
          <w:p>
            <w:pPr>
              <w:pStyle w:val="Compact"/>
              <w:keepNext/>
              <w:spacing w:before="8" w:after="8" w:line="240" w:lineRule="auto"/>
              <w:ind w:firstLine="0" w:left="0" w:right="0"/>
              <w:jc w:val="left"/>
              <w:jc w:val="center"/>
            </w:pPr>
            <w:r>
              <w:rPr>
                <w:rFonts w:ascii="Calibri" w:hAnsi="Calibri"/>
                <w:sz w:val="13"/>
              </w:rPr>
              <w:t xml:space="preserve">+0.023 (0.442)</w:t>
            </w:r>
          </w:p>
        </w:tc>
        <w:tc>
          <w:tcPr/>
          <w:p>
            <w:pPr>
              <w:pStyle w:val="Compact"/>
              <w:keepNext/>
              <w:spacing w:before="8" w:after="8" w:line="240" w:lineRule="auto"/>
              <w:ind w:firstLine="0" w:left="0" w:right="0"/>
              <w:jc w:val="left"/>
              <w:jc w:val="center"/>
            </w:pPr>
            <w:r>
              <w:rPr>
                <w:rFonts w:ascii="Calibri" w:hAnsi="Calibri"/>
                <w:sz w:val="13"/>
              </w:rPr>
              <w:t xml:space="preserve">-0.015 (0.827)</w:t>
            </w:r>
          </w:p>
        </w:tc>
        <w:tc>
          <w:tcPr/>
          <w:p>
            <w:pPr>
              <w:pStyle w:val="Compact"/>
              <w:keepNext/>
              <w:spacing w:before="8" w:after="8" w:line="240" w:lineRule="auto"/>
              <w:ind w:firstLine="0" w:left="0" w:right="0"/>
              <w:jc w:val="left"/>
              <w:jc w:val="center"/>
            </w:pPr>
            <w:r>
              <w:rPr>
                <w:rFonts w:ascii="Calibri" w:hAnsi="Calibri"/>
                <w:sz w:val="13"/>
              </w:rPr>
              <w:t xml:space="preserve">+0.035 (0.772)</w:t>
            </w:r>
          </w:p>
        </w:tc>
        <w:tc>
          <w:tcPr/>
          <w:p>
            <w:pPr>
              <w:pStyle w:val="Compact"/>
              <w:keepNext/>
              <w:spacing w:before="8" w:after="8" w:line="240" w:lineRule="auto"/>
              <w:ind w:firstLine="0" w:left="0" w:right="0"/>
              <w:jc w:val="left"/>
              <w:jc w:val="center"/>
            </w:pPr>
            <w:r>
              <w:rPr>
                <w:rFonts w:ascii="Calibri" w:hAnsi="Calibri"/>
                <w:sz w:val="13"/>
              </w:rPr>
              <w:t xml:space="preserve">-0.057 (0.566)</w:t>
            </w:r>
          </w:p>
        </w:tc>
        <w:tc>
          <w:tcPr/>
          <w:p>
            <w:pPr>
              <w:pStyle w:val="Compact"/>
              <w:keepNext/>
              <w:spacing w:before="8" w:after="8" w:line="240" w:lineRule="auto"/>
              <w:ind w:firstLine="0" w:left="0" w:right="0"/>
              <w:jc w:val="left"/>
              <w:jc w:val="center"/>
            </w:pPr>
            <w:r>
              <w:rPr>
                <w:rFonts w:ascii="Calibri" w:hAnsi="Calibri"/>
                <w:sz w:val="13"/>
              </w:rPr>
              <w:t xml:space="preserve">-0.092 (0.515)</w:t>
            </w:r>
          </w:p>
        </w:tc>
      </w:tr>
      <w:tr>
        <w:trPr>
          <w:cantSplit/>
        </w:trPr>
        <w:tc>
          <w:tcPr/>
          <w:p>
            <w:pPr>
              <w:pStyle w:val="Compact"/>
              <w:spacing w:before="8" w:after="8" w:line="240" w:lineRule="auto"/>
              <w:ind w:firstLine="0" w:left="0" w:right="0"/>
              <w:jc w:val="left"/>
              <w:jc w:val="center"/>
            </w:pPr>
            <w:r>
              <w:rPr>
                <w:rFonts w:ascii="Calibri" w:hAnsi="Calibri"/>
                <w:sz w:val="13"/>
              </w:rPr>
              <w:t xml:space="preserve">Revenue growth (%, TTM)</w:t>
            </w:r>
          </w:p>
        </w:tc>
        <w:tc>
          <w:tcPr/>
          <w:p>
            <w:pPr>
              <w:pStyle w:val="Compact"/>
              <w:spacing w:before="8" w:after="8" w:line="240" w:lineRule="auto"/>
              <w:ind w:firstLine="0" w:left="0" w:right="0"/>
              <w:jc w:val="left"/>
              <w:jc w:val="center"/>
            </w:pPr>
            <w:r>
              <w:rPr>
                <w:rFonts w:ascii="Calibri" w:hAnsi="Calibri"/>
                <w:sz w:val="13"/>
              </w:rPr>
              <w:t xml:space="preserve">-0.005 (0.723)</w:t>
            </w:r>
          </w:p>
        </w:tc>
        <w:tc>
          <w:tcPr/>
          <w:p>
            <w:pPr>
              <w:pStyle w:val="Compact"/>
              <w:spacing w:before="8" w:after="8" w:line="240" w:lineRule="auto"/>
              <w:ind w:firstLine="0" w:left="0" w:right="0"/>
              <w:jc w:val="left"/>
              <w:jc w:val="center"/>
            </w:pPr>
            <w:r>
              <w:rPr>
                <w:rFonts w:ascii="Calibri" w:hAnsi="Calibri"/>
                <w:sz w:val="13"/>
              </w:rPr>
              <w:t xml:space="preserve">-0.005 (0.805)</w:t>
            </w:r>
          </w:p>
        </w:tc>
        <w:tc>
          <w:tcPr/>
          <w:p>
            <w:pPr>
              <w:pStyle w:val="Compact"/>
              <w:spacing w:before="8" w:after="8" w:line="240" w:lineRule="auto"/>
              <w:ind w:firstLine="0" w:left="0" w:right="0"/>
              <w:jc w:val="left"/>
              <w:jc w:val="center"/>
            </w:pPr>
            <w:r>
              <w:rPr>
                <w:rFonts w:ascii="Calibri" w:hAnsi="Calibri"/>
                <w:b/>
                <w:bCs/>
                <w:sz w:val="13"/>
              </w:rPr>
              <w:t xml:space="preserve">+0.123** (0.028)</w:t>
            </w:r>
          </w:p>
        </w:tc>
        <w:tc>
          <w:tcPr/>
          <w:p>
            <w:pPr>
              <w:pStyle w:val="Compact"/>
              <w:spacing w:before="8" w:after="8" w:line="240" w:lineRule="auto"/>
              <w:ind w:firstLine="0" w:left="0" w:right="0"/>
              <w:jc w:val="left"/>
              <w:jc w:val="center"/>
            </w:pPr>
            <w:r>
              <w:rPr>
                <w:rFonts w:ascii="Calibri" w:hAnsi="Calibri"/>
                <w:sz w:val="13"/>
              </w:rPr>
              <w:t xml:space="preserve">+0.084 (0.118)</w:t>
            </w:r>
          </w:p>
        </w:tc>
        <w:tc>
          <w:tcPr/>
          <w:p>
            <w:pPr>
              <w:pStyle w:val="Compact"/>
              <w:spacing w:before="8" w:after="8" w:line="240" w:lineRule="auto"/>
              <w:ind w:firstLine="0" w:left="0" w:right="0"/>
              <w:jc w:val="left"/>
              <w:jc w:val="center"/>
            </w:pPr>
            <w:r>
              <w:rPr>
                <w:rFonts w:ascii="Calibri" w:hAnsi="Calibri"/>
                <w:sz w:val="13"/>
              </w:rPr>
              <w:t xml:space="preserve">-0.086 (0.404)</w:t>
            </w:r>
          </w:p>
        </w:tc>
        <w:tc>
          <w:tcPr/>
          <w:p>
            <w:pPr>
              <w:pStyle w:val="Compact"/>
              <w:spacing w:before="8" w:after="8" w:line="240" w:lineRule="auto"/>
              <w:ind w:firstLine="0" w:left="0" w:right="0"/>
              <w:jc w:val="left"/>
              <w:jc w:val="center"/>
            </w:pPr>
            <w:r>
              <w:rPr>
                <w:rFonts w:ascii="Calibri" w:hAnsi="Calibri"/>
                <w:b/>
                <w:bCs/>
                <w:sz w:val="13"/>
              </w:rPr>
              <w:t xml:space="preserve">-0.196*** (0.005)</w:t>
            </w:r>
          </w:p>
        </w:tc>
        <w:tc>
          <w:tcPr/>
          <w:p>
            <w:pPr>
              <w:pStyle w:val="Compact"/>
              <w:spacing w:before="8" w:after="8" w:line="240" w:lineRule="auto"/>
              <w:ind w:firstLine="0" w:left="0" w:right="0"/>
              <w:jc w:val="left"/>
              <w:jc w:val="center"/>
            </w:pPr>
            <w:r>
              <w:rPr>
                <w:rFonts w:ascii="Calibri" w:hAnsi="Calibri"/>
                <w:sz w:val="13"/>
              </w:rPr>
              <w:t xml:space="preserve">-0.110 (0.335)</w:t>
            </w:r>
          </w:p>
        </w:tc>
      </w:tr>
    </w:tbl>
    <w:bookmarkEnd w:id="216"/>
    <w:p/>
    <w:p>
      <w:pPr>
        <w:pStyle w:val="Textoindependiente"/>
      </w:pPr>
      <w:r>
        <w:t xml:space="preserve"> </w:t>
      </w:r>
    </w:p>
    <w:bookmarkStart w:id="220" w:name="tbl-e-market-controls"/>
    <w:p>
      <w:pPr>
        <w:keepNext/>
        <w:pStyle w:val="ImageCaption"/>
        <w:jc w:val="left"/>
        <w:spacing w:before="200"/>
        <w:ind w:firstLine="0" w:left="0" w:right="0"/>
      </w:pPr>
      <w:r>
        <w:t xml:space="preserve">Table 47:</w:t>
      </w:r>
      <w:r>
        <w:t xml:space="preserve"> </w:t>
      </w:r>
      <w:r>
        <w:rPr>
          <w:rStyle w:val="CaptionText"/>
        </w:rPr>
        <w:t xml:space="preserve">The same eight regressions: controls, lagged outcome, fixed effects and fit. Standardized coefficients with p-values in parentheses, starred at *** p&lt;0.01, ** p&lt;0.05, * p&lt;0.10 and bold below 5%.</w:t>
      </w:r>
    </w:p>
    <w:tbl>
      <w:tblPr>
        <w:tblStyle w:val="Table"/>
        <w:tblW w:type="pct" w:w="5000"/>
        <w:jc w:val="center"/>
        <w:tblLayout w:type="fixed"/>
        <w:tblLook w:firstRow="1" w:lastRow="0" w:firstColumn="0" w:lastColumn="0" w:noHBand="0" w:noVBand="0" w:val="0020"/>
        <w:tblBorders>
          <w:top w:val="single" w:sz="8" w:space="0" w:color="0F172A"/>
          <w:bottom w:val="single" w:sz="8" w:space="0" w:color="0F172A"/>
          <w:left w:val="none"/>
          <w:right w:val="none"/>
          <w:insideH w:val="single" w:sz="4" w:space="0" w:color="E2E8F0"/>
          <w:insideV w:val="none"/>
        </w:tblBorders>
        <w:tblCellMar>
          <w:top w:w="20" w:type="dxa"/>
          <w:bottom w:w="20" w:type="dxa"/>
          <w:left w:w="35" w:type="dxa"/>
          <w:right w:w="35" w:type="dxa"/>
        </w:tblCellMar>
      </w:tblPr>
      <w:tblGrid>
        <w:gridCol w:w="660"/>
        <w:gridCol w:w="660"/>
        <w:gridCol w:w="660"/>
        <w:gridCol w:w="660"/>
        <w:gridCol w:w="660"/>
        <w:gridCol w:w="660"/>
        <w:gridCol w:w="660"/>
        <w:gridCol w:w="660"/>
        <w:gridCol w:w="660"/>
        <w:gridCol w:w="660"/>
        <w:gridCol w:w="660"/>
        <w:gridCol w:w="660"/>
      </w:tblGrid>
      <w:tr>
        <w:trPr>
          <w:tblHeader w:val="on"/>
          <w:cantSplit/>
          <w:tblHeader/>
        </w:trPr>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3"/>
              </w:rPr>
              <w:t xml:space="preserve">Outcome</w:t>
            </w:r>
          </w:p>
        </w:tc>
        <w:tc>
          <w:tcPr>
            <w:shd w:fill="F1F5F9"/>
            <w:tcBorders>
              <w:bottom w:val="single" w:sz="8" w:space="0" w:color="475569"/>
            </w:tcBorders>
          </w:tcPr>
          <w:p>
            <w:pPr>
              <w:pStyle w:val="Compact"/>
              <w:keepNext/>
              <w:spacing w:before="8" w:after="8" w:line="240" w:lineRule="auto"/>
              <w:ind w:firstLine="0" w:left="0" w:right="0"/>
              <w:jc w:val="left"/>
              <w:jc w:val="center"/>
            </w:pPr>
            <m:oMath>
              <m:sSub>
                <m:e>
                  <m:r>
                    <w:rPr>
                      <w:sz w:val="14"/>
                    </w:rPr>
                    <m:t>Y</m:t>
                  </m:r>
                </m:e>
                <m:sub>
                  <m:r>
                    <w:rPr>
                      <w:sz w:val="14"/>
                    </w:rPr>
                    <m:t>t</m:t>
                  </m:r>
                  <m:r>
                    <m:rPr>
                      <m:sty m:val="p"/>
                    </m:rPr>
                    <w:rPr>
                      <w:sz w:val="14"/>
                    </w:rPr>
                    <m:t>−</m:t>
                  </m:r>
                  <m:r>
                    <w:rPr>
                      <w:sz w:val="14"/>
                    </w:rPr>
                    <m:t>1</m:t>
                  </m:r>
                </m:sub>
              </m:sSub>
            </m:oMath>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3"/>
              </w:rPr>
              <w:t xml:space="preserve">Log mkt. cap.</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3"/>
              </w:rPr>
              <w:t xml:space="preserve">Return 60d</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3"/>
              </w:rPr>
              <w:t xml:space="preserve">ROA</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3"/>
              </w:rPr>
              <w:t xml:space="preserve">Sector FE</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3"/>
              </w:rPr>
              <w:t xml:space="preserve">Year FE</w:t>
            </w:r>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3"/>
              </w:rPr>
              <w:t xml:space="preserve">Cluster</w:t>
            </w:r>
          </w:p>
        </w:tc>
        <w:tc>
          <w:tcPr>
            <w:shd w:fill="F1F5F9"/>
            <w:tcBorders>
              <w:bottom w:val="single" w:sz="8" w:space="0" w:color="475569"/>
            </w:tcBorders>
          </w:tcPr>
          <w:p>
            <w:pPr>
              <w:pStyle w:val="Compact"/>
              <w:keepNext/>
              <w:spacing w:before="8" w:after="8" w:line="240" w:lineRule="auto"/>
              <w:ind w:firstLine="0" w:left="0" w:right="0"/>
              <w:jc w:val="right"/>
              <w:jc w:val="center"/>
            </w:pPr>
            <w:r>
              <w:rPr>
                <w:rFonts w:ascii="Calibri" w:hAnsi="Calibri"/>
                <w:b/>
                <w:color w:val="0F172A"/>
                <w:sz w:val="13"/>
              </w:rPr>
              <w:t xml:space="preserve">Calls</w:t>
            </w:r>
          </w:p>
        </w:tc>
        <w:tc>
          <w:tcPr>
            <w:shd w:fill="F1F5F9"/>
            <w:tcBorders>
              <w:bottom w:val="single" w:sz="8" w:space="0" w:color="475569"/>
            </w:tcBorders>
          </w:tcPr>
          <w:p>
            <w:pPr>
              <w:pStyle w:val="Compact"/>
              <w:keepNext/>
              <w:spacing w:before="8" w:after="8" w:line="240" w:lineRule="auto"/>
              <w:ind w:firstLine="0" w:left="0" w:right="0"/>
              <w:jc w:val="right"/>
              <w:jc w:val="center"/>
            </w:pPr>
            <w:r>
              <w:rPr>
                <w:rFonts w:ascii="Calibri" w:hAnsi="Calibri"/>
                <w:b/>
                <w:color w:val="0F172A"/>
                <w:sz w:val="13"/>
              </w:rPr>
              <w:t xml:space="preserve">Firms</w:t>
            </w:r>
          </w:p>
        </w:tc>
        <w:tc>
          <w:tcPr>
            <w:shd w:fill="F1F5F9"/>
            <w:tcBorders>
              <w:bottom w:val="single" w:sz="8" w:space="0" w:color="475569"/>
            </w:tcBorders>
          </w:tcPr>
          <w:p>
            <w:pPr>
              <w:pStyle w:val="Compact"/>
              <w:keepNext/>
              <w:spacing w:before="8" w:after="8" w:line="240" w:lineRule="auto"/>
              <w:ind w:firstLine="0" w:left="0" w:right="0"/>
              <w:jc w:val="right"/>
              <w:jc w:val="center"/>
            </w:pPr>
            <m:oMath>
              <m:sSup>
                <m:e>
                  <m:r>
                    <w:rPr>
                      <w:sz w:val="14"/>
                    </w:rPr>
                    <m:t>R</m:t>
                  </m:r>
                </m:e>
                <m:sup>
                  <m:r>
                    <w:rPr>
                      <w:sz w:val="14"/>
                    </w:rPr>
                    <m:t>2</m:t>
                  </m:r>
                </m:sup>
              </m:sSup>
            </m:oMath>
          </w:p>
        </w:tc>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3"/>
              </w:rPr>
              <w:t xml:space="preserve">Composition, joint</w:t>
            </w:r>
            <w:r>
              <w:rPr>
                <w:rFonts w:ascii="Calibri" w:hAnsi="Calibri"/>
                <w:b/>
                <w:color w:val="0F172A"/>
                <w:sz w:val="13"/>
              </w:rPr>
              <w:t xml:space="preserve"> </w:t>
            </w:r>
            <m:oMath>
              <m:r>
                <w:rPr>
                  <w:sz w:val="14"/>
                </w:rPr>
                <m:t>F</m:t>
              </m:r>
            </m:oMath>
          </w:p>
        </w:tc>
      </w:tr>
      <w:tr>
        <w:trPr>
          <w:cantSplit/>
        </w:trPr>
        <w:tc>
          <w:tcPr/>
          <w:p>
            <w:pPr>
              <w:pStyle w:val="Compact"/>
              <w:keepNext/>
              <w:spacing w:before="8" w:after="8" w:line="240" w:lineRule="auto"/>
              <w:ind w:firstLine="0" w:left="0" w:right="0"/>
              <w:jc w:val="left"/>
              <w:jc w:val="center"/>
            </w:pPr>
            <w:r>
              <w:rPr>
                <w:rFonts w:ascii="Calibri" w:hAnsi="Calibri"/>
                <w:sz w:val="13"/>
              </w:rPr>
              <w:t xml:space="preserve">Beta shift (Brenner 1979 Delta-beta)</w:t>
            </w:r>
          </w:p>
        </w:tc>
        <w:tc>
          <w:tcPr/>
          <w:p>
            <w:pPr>
              <w:pStyle w:val="Compact"/>
              <w:keepNext/>
              <w:spacing w:before="8" w:after="8" w:line="240" w:lineRule="auto"/>
              <w:ind w:firstLine="0" w:left="0" w:right="0"/>
              <w:jc w:val="left"/>
              <w:jc w:val="center"/>
            </w:pPr>
            <w:r>
              <w:rPr>
                <w:rFonts w:ascii="Calibri" w:hAnsi="Calibri"/>
                <w:b/>
                <w:bCs/>
                <w:sz w:val="13"/>
              </w:rPr>
              <w:t xml:space="preserve">-0.613*** (0.000)</w:t>
            </w:r>
          </w:p>
        </w:tc>
        <w:tc>
          <w:tcPr/>
          <w:p>
            <w:pPr>
              <w:pStyle w:val="Compact"/>
              <w:keepNext/>
              <w:spacing w:before="8" w:after="8" w:line="240" w:lineRule="auto"/>
              <w:ind w:firstLine="0" w:left="0" w:right="0"/>
              <w:jc w:val="left"/>
              <w:jc w:val="center"/>
            </w:pPr>
            <w:r>
              <w:rPr>
                <w:rFonts w:ascii="Calibri" w:hAnsi="Calibri"/>
                <w:b/>
                <w:bCs/>
                <w:sz w:val="13"/>
              </w:rPr>
              <w:t xml:space="preserve">-0.054*** (0.009)</w:t>
            </w:r>
          </w:p>
        </w:tc>
        <w:tc>
          <w:tcPr/>
          <w:p>
            <w:pPr>
              <w:pStyle w:val="Compact"/>
              <w:keepNext/>
              <w:spacing w:before="8" w:after="8" w:line="240" w:lineRule="auto"/>
              <w:ind w:firstLine="0" w:left="0" w:right="0"/>
              <w:jc w:val="left"/>
              <w:jc w:val="center"/>
            </w:pPr>
            <w:r>
              <w:rPr>
                <w:rFonts w:ascii="Calibri" w:hAnsi="Calibri"/>
                <w:b/>
                <w:bCs/>
                <w:sz w:val="13"/>
              </w:rPr>
              <w:t xml:space="preserve">+0.054*** (0.000)</w:t>
            </w:r>
          </w:p>
        </w:tc>
        <w:tc>
          <w:tcPr/>
          <w:p>
            <w:pPr>
              <w:pStyle w:val="Compact"/>
              <w:keepNext/>
              <w:spacing w:before="8" w:after="8" w:line="240" w:lineRule="auto"/>
              <w:ind w:firstLine="0" w:left="0" w:right="0"/>
              <w:jc w:val="left"/>
              <w:jc w:val="center"/>
            </w:pPr>
            <w:r>
              <w:rPr>
                <w:rFonts w:ascii="Calibri" w:hAnsi="Calibri"/>
                <w:sz w:val="13"/>
              </w:rPr>
              <w:t xml:space="preserve">-0.019 (0.292)</w:t>
            </w:r>
          </w:p>
        </w:tc>
        <w:tc>
          <w:tcPr/>
          <w:p>
            <w:pPr>
              <w:pStyle w:val="Compact"/>
              <w:keepNext/>
              <w:spacing w:before="8" w:after="8" w:line="240" w:lineRule="auto"/>
              <w:ind w:firstLine="0" w:left="0" w:right="0"/>
              <w:jc w:val="left"/>
              <w:jc w:val="center"/>
            </w:pPr>
            <w:r>
              <w:rPr>
                <w:rFonts w:ascii="Calibri" w:hAnsi="Calibri"/>
                <w:sz w:val="13"/>
              </w:rPr>
              <w:t xml:space="preserve">OK</w:t>
            </w:r>
          </w:p>
        </w:tc>
        <w:tc>
          <w:tcPr/>
          <w:p>
            <w:pPr>
              <w:pStyle w:val="Compact"/>
              <w:keepNext/>
              <w:spacing w:before="8" w:after="8" w:line="240" w:lineRule="auto"/>
              <w:ind w:firstLine="0" w:left="0" w:right="0"/>
              <w:jc w:val="left"/>
              <w:jc w:val="center"/>
            </w:pPr>
            <w:r>
              <w:rPr>
                <w:rFonts w:ascii="Calibri" w:hAnsi="Calibri"/>
                <w:sz w:val="13"/>
              </w:rPr>
              <w:t xml:space="preserve">OK</w:t>
            </w:r>
          </w:p>
        </w:tc>
        <w:tc>
          <w:tcPr/>
          <w:p>
            <w:pPr>
              <w:pStyle w:val="Compact"/>
              <w:keepNext/>
              <w:spacing w:before="8" w:after="8" w:line="240" w:lineRule="auto"/>
              <w:ind w:firstLine="0" w:left="0" w:right="0"/>
              <w:jc w:val="left"/>
              <w:jc w:val="center"/>
            </w:pPr>
            <w:r>
              <w:rPr>
                <w:rFonts w:ascii="Calibri" w:hAnsi="Calibri"/>
                <w:sz w:val="13"/>
              </w:rPr>
              <w:t xml:space="preserve">firm</w:t>
            </w:r>
          </w:p>
        </w:tc>
        <w:tc>
          <w:tcPr/>
          <w:p>
            <w:pPr>
              <w:pStyle w:val="Compact"/>
              <w:keepNext/>
              <w:spacing w:before="8" w:after="8" w:line="240" w:lineRule="auto"/>
              <w:ind w:firstLine="0" w:left="0" w:right="0"/>
              <w:jc w:val="right"/>
              <w:jc w:val="center"/>
            </w:pPr>
            <w:r>
              <w:rPr>
                <w:rFonts w:ascii="Calibri" w:hAnsi="Calibri"/>
                <w:sz w:val="13"/>
              </w:rPr>
              <w:t xml:space="preserve">9,350</w:t>
            </w:r>
          </w:p>
        </w:tc>
        <w:tc>
          <w:tcPr/>
          <w:p>
            <w:pPr>
              <w:pStyle w:val="Compact"/>
              <w:keepNext/>
              <w:spacing w:before="8" w:after="8" w:line="240" w:lineRule="auto"/>
              <w:ind w:firstLine="0" w:left="0" w:right="0"/>
              <w:jc w:val="right"/>
              <w:jc w:val="center"/>
            </w:pPr>
            <w:r>
              <w:rPr>
                <w:rFonts w:ascii="Calibri" w:hAnsi="Calibri"/>
                <w:sz w:val="13"/>
              </w:rPr>
              <w:t xml:space="preserve">484</w:t>
            </w:r>
          </w:p>
        </w:tc>
        <w:tc>
          <w:tcPr/>
          <w:p>
            <w:pPr>
              <w:pStyle w:val="Compact"/>
              <w:keepNext/>
              <w:spacing w:before="8" w:after="8" w:line="240" w:lineRule="auto"/>
              <w:ind w:firstLine="0" w:left="0" w:right="0"/>
              <w:jc w:val="right"/>
              <w:jc w:val="center"/>
            </w:pPr>
            <w:r>
              <w:rPr>
                <w:rFonts w:ascii="Calibri" w:hAnsi="Calibri"/>
                <w:sz w:val="13"/>
              </w:rPr>
              <w:t xml:space="preserve">0.291</w:t>
            </w:r>
          </w:p>
        </w:tc>
        <w:tc>
          <w:tcPr/>
          <w:p>
            <w:pPr>
              <w:pStyle w:val="Compact"/>
              <w:keepNext/>
              <w:spacing w:before="8" w:after="8" w:line="240" w:lineRule="auto"/>
              <w:ind w:firstLine="0" w:left="0" w:right="0"/>
              <w:jc w:val="left"/>
              <w:jc w:val="center"/>
            </w:pPr>
            <w:r>
              <w:rPr>
                <w:rFonts w:ascii="Calibri" w:hAnsi="Calibri"/>
                <w:b/>
                <w:bCs/>
                <w:sz w:val="13"/>
              </w:rPr>
              <w:t xml:space="preserve">6.45*** (0.002)</w:t>
            </w:r>
          </w:p>
        </w:tc>
      </w:tr>
      <w:tr>
        <w:trPr>
          <w:cantSplit/>
        </w:trPr>
        <w:tc>
          <w:tcPr/>
          <w:p>
            <w:pPr>
              <w:pStyle w:val="Compact"/>
              <w:keepNext/>
              <w:spacing w:before="8" w:after="8" w:line="240" w:lineRule="auto"/>
              <w:ind w:firstLine="0" w:left="0" w:right="0"/>
              <w:jc w:val="left"/>
              <w:jc w:val="center"/>
            </w:pPr>
            <w:r>
              <w:rPr>
                <w:rFonts w:ascii="Calibri" w:hAnsi="Calibri"/>
                <w:sz w:val="13"/>
              </w:rPr>
              <w:t xml:space="preserve">Cumulative abnormal return [-1,+1]</w:t>
            </w:r>
          </w:p>
        </w:tc>
        <w:tc>
          <w:tcPr/>
          <w:p>
            <w:pPr>
              <w:pStyle w:val="Compact"/>
              <w:keepNext/>
              <w:spacing w:before="8" w:after="8" w:line="240" w:lineRule="auto"/>
              <w:ind w:firstLine="0" w:left="0" w:right="0"/>
              <w:jc w:val="left"/>
              <w:jc w:val="center"/>
            </w:pPr>
            <w:r>
              <w:rPr>
                <w:rFonts w:ascii="Calibri" w:hAnsi="Calibri"/>
                <w:sz w:val="13"/>
              </w:rPr>
              <w:t xml:space="preserve">–</w:t>
            </w:r>
          </w:p>
        </w:tc>
        <w:tc>
          <w:tcPr/>
          <w:p>
            <w:pPr>
              <w:pStyle w:val="Compact"/>
              <w:keepNext/>
              <w:spacing w:before="8" w:after="8" w:line="240" w:lineRule="auto"/>
              <w:ind w:firstLine="0" w:left="0" w:right="0"/>
              <w:jc w:val="left"/>
              <w:jc w:val="center"/>
            </w:pPr>
            <w:r>
              <w:rPr>
                <w:rFonts w:ascii="Calibri" w:hAnsi="Calibri"/>
                <w:sz w:val="13"/>
              </w:rPr>
              <w:t xml:space="preserve">+0.009 (0.449)</w:t>
            </w:r>
          </w:p>
        </w:tc>
        <w:tc>
          <w:tcPr/>
          <w:p>
            <w:pPr>
              <w:pStyle w:val="Compact"/>
              <w:keepNext/>
              <w:spacing w:before="8" w:after="8" w:line="240" w:lineRule="auto"/>
              <w:ind w:firstLine="0" w:left="0" w:right="0"/>
              <w:jc w:val="left"/>
              <w:jc w:val="center"/>
            </w:pPr>
            <w:r>
              <w:rPr>
                <w:rFonts w:ascii="Calibri" w:hAnsi="Calibri"/>
                <w:b/>
                <w:bCs/>
                <w:sz w:val="13"/>
              </w:rPr>
              <w:t xml:space="preserve">+0.054*** (0.005)</w:t>
            </w:r>
          </w:p>
        </w:tc>
        <w:tc>
          <w:tcPr/>
          <w:p>
            <w:pPr>
              <w:pStyle w:val="Compact"/>
              <w:keepNext/>
              <w:spacing w:before="8" w:after="8" w:line="240" w:lineRule="auto"/>
              <w:ind w:firstLine="0" w:left="0" w:right="0"/>
              <w:jc w:val="left"/>
              <w:jc w:val="center"/>
            </w:pPr>
            <w:r>
              <w:rPr>
                <w:rFonts w:ascii="Calibri" w:hAnsi="Calibri"/>
                <w:sz w:val="13"/>
              </w:rPr>
              <w:t xml:space="preserve">-0.005 (0.726)</w:t>
            </w:r>
          </w:p>
        </w:tc>
        <w:tc>
          <w:tcPr/>
          <w:p>
            <w:pPr>
              <w:pStyle w:val="Compact"/>
              <w:keepNext/>
              <w:spacing w:before="8" w:after="8" w:line="240" w:lineRule="auto"/>
              <w:ind w:firstLine="0" w:left="0" w:right="0"/>
              <w:jc w:val="left"/>
              <w:jc w:val="center"/>
            </w:pPr>
            <w:r>
              <w:rPr>
                <w:rFonts w:ascii="Calibri" w:hAnsi="Calibri"/>
                <w:sz w:val="13"/>
              </w:rPr>
              <w:t xml:space="preserve">OK</w:t>
            </w:r>
          </w:p>
        </w:tc>
        <w:tc>
          <w:tcPr/>
          <w:p>
            <w:pPr>
              <w:pStyle w:val="Compact"/>
              <w:keepNext/>
              <w:spacing w:before="8" w:after="8" w:line="240" w:lineRule="auto"/>
              <w:ind w:firstLine="0" w:left="0" w:right="0"/>
              <w:jc w:val="left"/>
              <w:jc w:val="center"/>
            </w:pPr>
            <w:r>
              <w:rPr>
                <w:rFonts w:ascii="Calibri" w:hAnsi="Calibri"/>
                <w:sz w:val="13"/>
              </w:rPr>
              <w:t xml:space="preserve">OK</w:t>
            </w:r>
          </w:p>
        </w:tc>
        <w:tc>
          <w:tcPr/>
          <w:p>
            <w:pPr>
              <w:pStyle w:val="Compact"/>
              <w:keepNext/>
              <w:spacing w:before="8" w:after="8" w:line="240" w:lineRule="auto"/>
              <w:ind w:firstLine="0" w:left="0" w:right="0"/>
              <w:jc w:val="left"/>
              <w:jc w:val="center"/>
            </w:pPr>
            <w:r>
              <w:rPr>
                <w:rFonts w:ascii="Calibri" w:hAnsi="Calibri"/>
                <w:sz w:val="13"/>
              </w:rPr>
              <w:t xml:space="preserve">firm</w:t>
            </w:r>
          </w:p>
        </w:tc>
        <w:tc>
          <w:tcPr/>
          <w:p>
            <w:pPr>
              <w:pStyle w:val="Compact"/>
              <w:keepNext/>
              <w:spacing w:before="8" w:after="8" w:line="240" w:lineRule="auto"/>
              <w:ind w:firstLine="0" w:left="0" w:right="0"/>
              <w:jc w:val="right"/>
              <w:jc w:val="center"/>
            </w:pPr>
            <w:r>
              <w:rPr>
                <w:rFonts w:ascii="Calibri" w:hAnsi="Calibri"/>
                <w:sz w:val="13"/>
              </w:rPr>
              <w:t xml:space="preserve">9,717</w:t>
            </w:r>
          </w:p>
        </w:tc>
        <w:tc>
          <w:tcPr/>
          <w:p>
            <w:pPr>
              <w:pStyle w:val="Compact"/>
              <w:keepNext/>
              <w:spacing w:before="8" w:after="8" w:line="240" w:lineRule="auto"/>
              <w:ind w:firstLine="0" w:left="0" w:right="0"/>
              <w:jc w:val="right"/>
              <w:jc w:val="center"/>
            </w:pPr>
            <w:r>
              <w:rPr>
                <w:rFonts w:ascii="Calibri" w:hAnsi="Calibri"/>
                <w:sz w:val="13"/>
              </w:rPr>
              <w:t xml:space="preserve">485</w:t>
            </w:r>
          </w:p>
        </w:tc>
        <w:tc>
          <w:tcPr/>
          <w:p>
            <w:pPr>
              <w:pStyle w:val="Compact"/>
              <w:keepNext/>
              <w:spacing w:before="8" w:after="8" w:line="240" w:lineRule="auto"/>
              <w:ind w:firstLine="0" w:left="0" w:right="0"/>
              <w:jc w:val="right"/>
              <w:jc w:val="center"/>
            </w:pPr>
            <w:r>
              <w:rPr>
                <w:rFonts w:ascii="Calibri" w:hAnsi="Calibri"/>
                <w:sz w:val="13"/>
              </w:rPr>
              <w:t xml:space="preserve">0.012</w:t>
            </w:r>
          </w:p>
        </w:tc>
        <w:tc>
          <w:tcPr/>
          <w:p>
            <w:pPr>
              <w:pStyle w:val="Compact"/>
              <w:keepNext/>
              <w:spacing w:before="8" w:after="8" w:line="240" w:lineRule="auto"/>
              <w:ind w:firstLine="0" w:left="0" w:right="0"/>
              <w:jc w:val="left"/>
              <w:jc w:val="center"/>
            </w:pPr>
            <w:r>
              <w:rPr>
                <w:rFonts w:ascii="Calibri" w:hAnsi="Calibri"/>
                <w:sz w:val="13"/>
              </w:rPr>
              <w:t xml:space="preserve">0.02 (0.975)</w:t>
            </w:r>
          </w:p>
        </w:tc>
      </w:tr>
      <w:tr>
        <w:trPr>
          <w:cantSplit/>
        </w:trPr>
        <w:tc>
          <w:tcPr/>
          <w:p>
            <w:pPr>
              <w:pStyle w:val="Compact"/>
              <w:keepNext/>
              <w:spacing w:before="8" w:after="8" w:line="240" w:lineRule="auto"/>
              <w:ind w:firstLine="0" w:left="0" w:right="0"/>
              <w:jc w:val="left"/>
              <w:jc w:val="center"/>
            </w:pPr>
            <w:r>
              <w:rPr>
                <w:rFonts w:ascii="Calibri" w:hAnsi="Calibri"/>
                <w:sz w:val="13"/>
              </w:rPr>
              <w:t xml:space="preserve">Post-announcement drift, CAR[+2,+63]</w:t>
            </w:r>
          </w:p>
        </w:tc>
        <w:tc>
          <w:tcPr/>
          <w:p>
            <w:pPr>
              <w:pStyle w:val="Compact"/>
              <w:keepNext/>
              <w:spacing w:before="8" w:after="8" w:line="240" w:lineRule="auto"/>
              <w:ind w:firstLine="0" w:left="0" w:right="0"/>
              <w:jc w:val="left"/>
              <w:jc w:val="center"/>
            </w:pPr>
            <w:r>
              <w:rPr>
                <w:rFonts w:ascii="Calibri" w:hAnsi="Calibri"/>
                <w:sz w:val="13"/>
              </w:rPr>
              <w:t xml:space="preserve">–</w:t>
            </w:r>
          </w:p>
        </w:tc>
        <w:tc>
          <w:tcPr/>
          <w:p>
            <w:pPr>
              <w:pStyle w:val="Compact"/>
              <w:keepNext/>
              <w:spacing w:before="8" w:after="8" w:line="240" w:lineRule="auto"/>
              <w:ind w:firstLine="0" w:left="0" w:right="0"/>
              <w:jc w:val="left"/>
              <w:jc w:val="center"/>
            </w:pPr>
            <w:r>
              <w:rPr>
                <w:rFonts w:ascii="Calibri" w:hAnsi="Calibri"/>
                <w:b/>
                <w:bCs/>
                <w:sz w:val="13"/>
              </w:rPr>
              <w:t xml:space="preserve">-0.099*** (0.000)</w:t>
            </w:r>
          </w:p>
        </w:tc>
        <w:tc>
          <w:tcPr/>
          <w:p>
            <w:pPr>
              <w:pStyle w:val="Compact"/>
              <w:keepNext/>
              <w:spacing w:before="8" w:after="8" w:line="240" w:lineRule="auto"/>
              <w:ind w:firstLine="0" w:left="0" w:right="0"/>
              <w:jc w:val="left"/>
              <w:jc w:val="center"/>
            </w:pPr>
            <w:r>
              <w:rPr>
                <w:rFonts w:ascii="Calibri" w:hAnsi="Calibri"/>
                <w:b/>
                <w:bCs/>
                <w:sz w:val="13"/>
              </w:rPr>
              <w:t xml:space="preserve">-0.179*** (0.000)</w:t>
            </w:r>
          </w:p>
        </w:tc>
        <w:tc>
          <w:tcPr/>
          <w:p>
            <w:pPr>
              <w:pStyle w:val="Compact"/>
              <w:keepNext/>
              <w:spacing w:before="8" w:after="8" w:line="240" w:lineRule="auto"/>
              <w:ind w:firstLine="0" w:left="0" w:right="0"/>
              <w:jc w:val="left"/>
              <w:jc w:val="center"/>
            </w:pPr>
            <w:r>
              <w:rPr>
                <w:rFonts w:ascii="Calibri" w:hAnsi="Calibri"/>
                <w:sz w:val="13"/>
              </w:rPr>
              <w:t xml:space="preserve">-0.026* (0.057)</w:t>
            </w:r>
          </w:p>
        </w:tc>
        <w:tc>
          <w:tcPr/>
          <w:p>
            <w:pPr>
              <w:pStyle w:val="Compact"/>
              <w:keepNext/>
              <w:spacing w:before="8" w:after="8" w:line="240" w:lineRule="auto"/>
              <w:ind w:firstLine="0" w:left="0" w:right="0"/>
              <w:jc w:val="left"/>
              <w:jc w:val="center"/>
            </w:pPr>
            <w:r>
              <w:rPr>
                <w:rFonts w:ascii="Calibri" w:hAnsi="Calibri"/>
                <w:sz w:val="13"/>
              </w:rPr>
              <w:t xml:space="preserve">OK</w:t>
            </w:r>
          </w:p>
        </w:tc>
        <w:tc>
          <w:tcPr/>
          <w:p>
            <w:pPr>
              <w:pStyle w:val="Compact"/>
              <w:keepNext/>
              <w:spacing w:before="8" w:after="8" w:line="240" w:lineRule="auto"/>
              <w:ind w:firstLine="0" w:left="0" w:right="0"/>
              <w:jc w:val="left"/>
              <w:jc w:val="center"/>
            </w:pPr>
            <w:r>
              <w:rPr>
                <w:rFonts w:ascii="Calibri" w:hAnsi="Calibri"/>
                <w:sz w:val="13"/>
              </w:rPr>
              <w:t xml:space="preserve">OK</w:t>
            </w:r>
          </w:p>
        </w:tc>
        <w:tc>
          <w:tcPr/>
          <w:p>
            <w:pPr>
              <w:pStyle w:val="Compact"/>
              <w:keepNext/>
              <w:spacing w:before="8" w:after="8" w:line="240" w:lineRule="auto"/>
              <w:ind w:firstLine="0" w:left="0" w:right="0"/>
              <w:jc w:val="left"/>
              <w:jc w:val="center"/>
            </w:pPr>
            <w:r>
              <w:rPr>
                <w:rFonts w:ascii="Calibri" w:hAnsi="Calibri"/>
                <w:sz w:val="13"/>
              </w:rPr>
              <w:t xml:space="preserve">firm</w:t>
            </w:r>
          </w:p>
        </w:tc>
        <w:tc>
          <w:tcPr/>
          <w:p>
            <w:pPr>
              <w:pStyle w:val="Compact"/>
              <w:keepNext/>
              <w:spacing w:before="8" w:after="8" w:line="240" w:lineRule="auto"/>
              <w:ind w:firstLine="0" w:left="0" w:right="0"/>
              <w:jc w:val="right"/>
              <w:jc w:val="center"/>
            </w:pPr>
            <w:r>
              <w:rPr>
                <w:rFonts w:ascii="Calibri" w:hAnsi="Calibri"/>
                <w:sz w:val="13"/>
              </w:rPr>
              <w:t xml:space="preserve">9,446</w:t>
            </w:r>
          </w:p>
        </w:tc>
        <w:tc>
          <w:tcPr/>
          <w:p>
            <w:pPr>
              <w:pStyle w:val="Compact"/>
              <w:keepNext/>
              <w:spacing w:before="8" w:after="8" w:line="240" w:lineRule="auto"/>
              <w:ind w:firstLine="0" w:left="0" w:right="0"/>
              <w:jc w:val="right"/>
              <w:jc w:val="center"/>
            </w:pPr>
            <w:r>
              <w:rPr>
                <w:rFonts w:ascii="Calibri" w:hAnsi="Calibri"/>
                <w:sz w:val="13"/>
              </w:rPr>
              <w:t xml:space="preserve">485</w:t>
            </w:r>
          </w:p>
        </w:tc>
        <w:tc>
          <w:tcPr/>
          <w:p>
            <w:pPr>
              <w:pStyle w:val="Compact"/>
              <w:keepNext/>
              <w:spacing w:before="8" w:after="8" w:line="240" w:lineRule="auto"/>
              <w:ind w:firstLine="0" w:left="0" w:right="0"/>
              <w:jc w:val="right"/>
              <w:jc w:val="center"/>
            </w:pPr>
            <w:r>
              <w:rPr>
                <w:rFonts w:ascii="Calibri" w:hAnsi="Calibri"/>
                <w:sz w:val="13"/>
              </w:rPr>
              <w:t xml:space="preserve">0.061</w:t>
            </w:r>
          </w:p>
        </w:tc>
        <w:tc>
          <w:tcPr/>
          <w:p>
            <w:pPr>
              <w:pStyle w:val="Compact"/>
              <w:keepNext/>
              <w:spacing w:before="8" w:after="8" w:line="240" w:lineRule="auto"/>
              <w:ind w:firstLine="0" w:left="0" w:right="0"/>
              <w:jc w:val="left"/>
              <w:jc w:val="center"/>
            </w:pPr>
            <w:r>
              <w:rPr>
                <w:rFonts w:ascii="Calibri" w:hAnsi="Calibri"/>
                <w:b/>
                <w:bCs/>
                <w:sz w:val="13"/>
              </w:rPr>
              <w:t xml:space="preserve">6.87*** (0.001)</w:t>
            </w:r>
          </w:p>
        </w:tc>
      </w:tr>
      <w:tr>
        <w:trPr>
          <w:cantSplit/>
        </w:trPr>
        <w:tc>
          <w:tcPr/>
          <w:p>
            <w:pPr>
              <w:pStyle w:val="Compact"/>
              <w:keepNext/>
              <w:spacing w:before="8" w:after="8" w:line="240" w:lineRule="auto"/>
              <w:ind w:firstLine="0" w:left="0" w:right="0"/>
              <w:jc w:val="left"/>
              <w:jc w:val="center"/>
            </w:pPr>
            <w:r>
              <w:rPr>
                <w:rFonts w:ascii="Calibri" w:hAnsi="Calibri"/>
                <w:sz w:val="13"/>
              </w:rPr>
              <w:t xml:space="preserve">Negative return skewness (NCSKEW, weekly)</w:t>
            </w:r>
          </w:p>
        </w:tc>
        <w:tc>
          <w:tcPr/>
          <w:p>
            <w:pPr>
              <w:pStyle w:val="Compact"/>
              <w:keepNext/>
              <w:spacing w:before="8" w:after="8" w:line="240" w:lineRule="auto"/>
              <w:ind w:firstLine="0" w:left="0" w:right="0"/>
              <w:jc w:val="left"/>
              <w:jc w:val="center"/>
            </w:pPr>
            <w:r>
              <w:rPr>
                <w:rFonts w:ascii="Calibri" w:hAnsi="Calibri"/>
                <w:sz w:val="13"/>
              </w:rPr>
              <w:t xml:space="preserve">-0.013 (0.337)</w:t>
            </w:r>
          </w:p>
        </w:tc>
        <w:tc>
          <w:tcPr/>
          <w:p>
            <w:pPr>
              <w:pStyle w:val="Compact"/>
              <w:keepNext/>
              <w:spacing w:before="8" w:after="8" w:line="240" w:lineRule="auto"/>
              <w:ind w:firstLine="0" w:left="0" w:right="0"/>
              <w:jc w:val="left"/>
              <w:jc w:val="center"/>
            </w:pPr>
            <w:r>
              <w:rPr>
                <w:rFonts w:ascii="Calibri" w:hAnsi="Calibri"/>
                <w:sz w:val="13"/>
              </w:rPr>
              <w:t xml:space="preserve">+0.004 (0.813)</w:t>
            </w:r>
          </w:p>
        </w:tc>
        <w:tc>
          <w:tcPr/>
          <w:p>
            <w:pPr>
              <w:pStyle w:val="Compact"/>
              <w:keepNext/>
              <w:spacing w:before="8" w:after="8" w:line="240" w:lineRule="auto"/>
              <w:ind w:firstLine="0" w:left="0" w:right="0"/>
              <w:jc w:val="left"/>
              <w:jc w:val="center"/>
            </w:pPr>
            <w:r>
              <w:rPr>
                <w:rFonts w:ascii="Calibri" w:hAnsi="Calibri"/>
                <w:sz w:val="13"/>
              </w:rPr>
              <w:t xml:space="preserve">-0.016 (0.160)</w:t>
            </w:r>
          </w:p>
        </w:tc>
        <w:tc>
          <w:tcPr/>
          <w:p>
            <w:pPr>
              <w:pStyle w:val="Compact"/>
              <w:keepNext/>
              <w:spacing w:before="8" w:after="8" w:line="240" w:lineRule="auto"/>
              <w:ind w:firstLine="0" w:left="0" w:right="0"/>
              <w:jc w:val="left"/>
              <w:jc w:val="center"/>
            </w:pPr>
            <w:r>
              <w:rPr>
                <w:rFonts w:ascii="Calibri" w:hAnsi="Calibri"/>
                <w:sz w:val="13"/>
              </w:rPr>
              <w:t xml:space="preserve">+0.022 (0.181)</w:t>
            </w:r>
          </w:p>
        </w:tc>
        <w:tc>
          <w:tcPr/>
          <w:p>
            <w:pPr>
              <w:pStyle w:val="Compact"/>
              <w:keepNext/>
              <w:spacing w:before="8" w:after="8" w:line="240" w:lineRule="auto"/>
              <w:ind w:firstLine="0" w:left="0" w:right="0"/>
              <w:jc w:val="left"/>
              <w:jc w:val="center"/>
            </w:pPr>
            <w:r>
              <w:rPr>
                <w:rFonts w:ascii="Calibri" w:hAnsi="Calibri"/>
                <w:sz w:val="13"/>
              </w:rPr>
              <w:t xml:space="preserve">OK</w:t>
            </w:r>
          </w:p>
        </w:tc>
        <w:tc>
          <w:tcPr/>
          <w:p>
            <w:pPr>
              <w:pStyle w:val="Compact"/>
              <w:keepNext/>
              <w:spacing w:before="8" w:after="8" w:line="240" w:lineRule="auto"/>
              <w:ind w:firstLine="0" w:left="0" w:right="0"/>
              <w:jc w:val="left"/>
              <w:jc w:val="center"/>
            </w:pPr>
            <w:r>
              <w:rPr>
                <w:rFonts w:ascii="Calibri" w:hAnsi="Calibri"/>
                <w:sz w:val="13"/>
              </w:rPr>
              <w:t xml:space="preserve">OK</w:t>
            </w:r>
          </w:p>
        </w:tc>
        <w:tc>
          <w:tcPr/>
          <w:p>
            <w:pPr>
              <w:pStyle w:val="Compact"/>
              <w:keepNext/>
              <w:spacing w:before="8" w:after="8" w:line="240" w:lineRule="auto"/>
              <w:ind w:firstLine="0" w:left="0" w:right="0"/>
              <w:jc w:val="left"/>
              <w:jc w:val="center"/>
            </w:pPr>
            <w:r>
              <w:rPr>
                <w:rFonts w:ascii="Calibri" w:hAnsi="Calibri"/>
                <w:sz w:val="13"/>
              </w:rPr>
              <w:t xml:space="preserve">firm</w:t>
            </w:r>
          </w:p>
        </w:tc>
        <w:tc>
          <w:tcPr/>
          <w:p>
            <w:pPr>
              <w:pStyle w:val="Compact"/>
              <w:keepNext/>
              <w:spacing w:before="8" w:after="8" w:line="240" w:lineRule="auto"/>
              <w:ind w:firstLine="0" w:left="0" w:right="0"/>
              <w:jc w:val="right"/>
              <w:jc w:val="center"/>
            </w:pPr>
            <w:r>
              <w:rPr>
                <w:rFonts w:ascii="Calibri" w:hAnsi="Calibri"/>
                <w:sz w:val="13"/>
              </w:rPr>
              <w:t xml:space="preserve">8,178</w:t>
            </w:r>
          </w:p>
        </w:tc>
        <w:tc>
          <w:tcPr/>
          <w:p>
            <w:pPr>
              <w:pStyle w:val="Compact"/>
              <w:keepNext/>
              <w:spacing w:before="8" w:after="8" w:line="240" w:lineRule="auto"/>
              <w:ind w:firstLine="0" w:left="0" w:right="0"/>
              <w:jc w:val="right"/>
              <w:jc w:val="center"/>
            </w:pPr>
            <w:r>
              <w:rPr>
                <w:rFonts w:ascii="Calibri" w:hAnsi="Calibri"/>
                <w:sz w:val="13"/>
              </w:rPr>
              <w:t xml:space="preserve">465</w:t>
            </w:r>
          </w:p>
        </w:tc>
        <w:tc>
          <w:tcPr/>
          <w:p>
            <w:pPr>
              <w:pStyle w:val="Compact"/>
              <w:keepNext/>
              <w:spacing w:before="8" w:after="8" w:line="240" w:lineRule="auto"/>
              <w:ind w:firstLine="0" w:left="0" w:right="0"/>
              <w:jc w:val="right"/>
              <w:jc w:val="center"/>
            </w:pPr>
            <w:r>
              <w:rPr>
                <w:rFonts w:ascii="Calibri" w:hAnsi="Calibri"/>
                <w:sz w:val="13"/>
              </w:rPr>
              <w:t xml:space="preserve">0.031</w:t>
            </w:r>
          </w:p>
        </w:tc>
        <w:tc>
          <w:tcPr/>
          <w:p>
            <w:pPr>
              <w:pStyle w:val="Compact"/>
              <w:keepNext/>
              <w:spacing w:before="8" w:after="8" w:line="240" w:lineRule="auto"/>
              <w:ind w:firstLine="0" w:left="0" w:right="0"/>
              <w:jc w:val="left"/>
              <w:jc w:val="center"/>
            </w:pPr>
            <w:r>
              <w:rPr>
                <w:rFonts w:ascii="Calibri" w:hAnsi="Calibri"/>
                <w:sz w:val="13"/>
              </w:rPr>
              <w:t xml:space="preserve">0.21 (0.813)</w:t>
            </w:r>
          </w:p>
        </w:tc>
      </w:tr>
      <w:tr>
        <w:trPr>
          <w:cantSplit/>
        </w:trPr>
        <w:tc>
          <w:tcPr/>
          <w:p>
            <w:pPr>
              <w:pStyle w:val="Compact"/>
              <w:keepNext/>
              <w:spacing w:before="8" w:after="8" w:line="240" w:lineRule="auto"/>
              <w:ind w:firstLine="0" w:left="0" w:right="0"/>
              <w:jc w:val="left"/>
              <w:jc w:val="center"/>
            </w:pPr>
            <w:r>
              <w:rPr>
                <w:rFonts w:ascii="Calibri" w:hAnsi="Calibri"/>
                <w:sz w:val="13"/>
              </w:rPr>
              <w:t xml:space="preserve">Down-to-up volatility (DUVOL, weekly)</w:t>
            </w:r>
          </w:p>
        </w:tc>
        <w:tc>
          <w:tcPr/>
          <w:p>
            <w:pPr>
              <w:pStyle w:val="Compact"/>
              <w:keepNext/>
              <w:spacing w:before="8" w:after="8" w:line="240" w:lineRule="auto"/>
              <w:ind w:firstLine="0" w:left="0" w:right="0"/>
              <w:jc w:val="left"/>
              <w:jc w:val="center"/>
            </w:pPr>
            <w:r>
              <w:rPr>
                <w:rFonts w:ascii="Calibri" w:hAnsi="Calibri"/>
                <w:sz w:val="13"/>
              </w:rPr>
              <w:t xml:space="preserve">-0.016 (0.202)</w:t>
            </w:r>
          </w:p>
        </w:tc>
        <w:tc>
          <w:tcPr/>
          <w:p>
            <w:pPr>
              <w:pStyle w:val="Compact"/>
              <w:keepNext/>
              <w:spacing w:before="8" w:after="8" w:line="240" w:lineRule="auto"/>
              <w:ind w:firstLine="0" w:left="0" w:right="0"/>
              <w:jc w:val="left"/>
              <w:jc w:val="center"/>
            </w:pPr>
            <w:r>
              <w:rPr>
                <w:rFonts w:ascii="Calibri" w:hAnsi="Calibri"/>
                <w:sz w:val="13"/>
              </w:rPr>
              <w:t xml:space="preserve">-0.001 (0.956)</w:t>
            </w:r>
          </w:p>
        </w:tc>
        <w:tc>
          <w:tcPr/>
          <w:p>
            <w:pPr>
              <w:pStyle w:val="Compact"/>
              <w:keepNext/>
              <w:spacing w:before="8" w:after="8" w:line="240" w:lineRule="auto"/>
              <w:ind w:firstLine="0" w:left="0" w:right="0"/>
              <w:jc w:val="left"/>
              <w:jc w:val="center"/>
            </w:pPr>
            <w:r>
              <w:rPr>
                <w:rFonts w:ascii="Calibri" w:hAnsi="Calibri"/>
                <w:sz w:val="13"/>
              </w:rPr>
              <w:t xml:space="preserve">-0.006 (0.581)</w:t>
            </w:r>
          </w:p>
        </w:tc>
        <w:tc>
          <w:tcPr/>
          <w:p>
            <w:pPr>
              <w:pStyle w:val="Compact"/>
              <w:keepNext/>
              <w:spacing w:before="8" w:after="8" w:line="240" w:lineRule="auto"/>
              <w:ind w:firstLine="0" w:left="0" w:right="0"/>
              <w:jc w:val="left"/>
              <w:jc w:val="center"/>
            </w:pPr>
            <w:r>
              <w:rPr>
                <w:rFonts w:ascii="Calibri" w:hAnsi="Calibri"/>
                <w:b/>
                <w:bCs/>
                <w:sz w:val="13"/>
              </w:rPr>
              <w:t xml:space="preserve">+0.044*** (0.008)</w:t>
            </w:r>
          </w:p>
        </w:tc>
        <w:tc>
          <w:tcPr/>
          <w:p>
            <w:pPr>
              <w:pStyle w:val="Compact"/>
              <w:keepNext/>
              <w:spacing w:before="8" w:after="8" w:line="240" w:lineRule="auto"/>
              <w:ind w:firstLine="0" w:left="0" w:right="0"/>
              <w:jc w:val="left"/>
              <w:jc w:val="center"/>
            </w:pPr>
            <w:r>
              <w:rPr>
                <w:rFonts w:ascii="Calibri" w:hAnsi="Calibri"/>
                <w:sz w:val="13"/>
              </w:rPr>
              <w:t xml:space="preserve">OK</w:t>
            </w:r>
          </w:p>
        </w:tc>
        <w:tc>
          <w:tcPr/>
          <w:p>
            <w:pPr>
              <w:pStyle w:val="Compact"/>
              <w:keepNext/>
              <w:spacing w:before="8" w:after="8" w:line="240" w:lineRule="auto"/>
              <w:ind w:firstLine="0" w:left="0" w:right="0"/>
              <w:jc w:val="left"/>
              <w:jc w:val="center"/>
            </w:pPr>
            <w:r>
              <w:rPr>
                <w:rFonts w:ascii="Calibri" w:hAnsi="Calibri"/>
                <w:sz w:val="13"/>
              </w:rPr>
              <w:t xml:space="preserve">OK</w:t>
            </w:r>
          </w:p>
        </w:tc>
        <w:tc>
          <w:tcPr/>
          <w:p>
            <w:pPr>
              <w:pStyle w:val="Compact"/>
              <w:keepNext/>
              <w:spacing w:before="8" w:after="8" w:line="240" w:lineRule="auto"/>
              <w:ind w:firstLine="0" w:left="0" w:right="0"/>
              <w:jc w:val="left"/>
              <w:jc w:val="center"/>
            </w:pPr>
            <w:r>
              <w:rPr>
                <w:rFonts w:ascii="Calibri" w:hAnsi="Calibri"/>
                <w:sz w:val="13"/>
              </w:rPr>
              <w:t xml:space="preserve">firm</w:t>
            </w:r>
          </w:p>
        </w:tc>
        <w:tc>
          <w:tcPr/>
          <w:p>
            <w:pPr>
              <w:pStyle w:val="Compact"/>
              <w:keepNext/>
              <w:spacing w:before="8" w:after="8" w:line="240" w:lineRule="auto"/>
              <w:ind w:firstLine="0" w:left="0" w:right="0"/>
              <w:jc w:val="right"/>
              <w:jc w:val="center"/>
            </w:pPr>
            <w:r>
              <w:rPr>
                <w:rFonts w:ascii="Calibri" w:hAnsi="Calibri"/>
                <w:sz w:val="13"/>
              </w:rPr>
              <w:t xml:space="preserve">8,178</w:t>
            </w:r>
          </w:p>
        </w:tc>
        <w:tc>
          <w:tcPr/>
          <w:p>
            <w:pPr>
              <w:pStyle w:val="Compact"/>
              <w:keepNext/>
              <w:spacing w:before="8" w:after="8" w:line="240" w:lineRule="auto"/>
              <w:ind w:firstLine="0" w:left="0" w:right="0"/>
              <w:jc w:val="right"/>
              <w:jc w:val="center"/>
            </w:pPr>
            <w:r>
              <w:rPr>
                <w:rFonts w:ascii="Calibri" w:hAnsi="Calibri"/>
                <w:sz w:val="13"/>
              </w:rPr>
              <w:t xml:space="preserve">465</w:t>
            </w:r>
          </w:p>
        </w:tc>
        <w:tc>
          <w:tcPr/>
          <w:p>
            <w:pPr>
              <w:pStyle w:val="Compact"/>
              <w:keepNext/>
              <w:spacing w:before="8" w:after="8" w:line="240" w:lineRule="auto"/>
              <w:ind w:firstLine="0" w:left="0" w:right="0"/>
              <w:jc w:val="right"/>
              <w:jc w:val="center"/>
            </w:pPr>
            <w:r>
              <w:rPr>
                <w:rFonts w:ascii="Calibri" w:hAnsi="Calibri"/>
                <w:sz w:val="13"/>
              </w:rPr>
              <w:t xml:space="preserve">0.030</w:t>
            </w:r>
          </w:p>
        </w:tc>
        <w:tc>
          <w:tcPr/>
          <w:p>
            <w:pPr>
              <w:pStyle w:val="Compact"/>
              <w:keepNext/>
              <w:spacing w:before="8" w:after="8" w:line="240" w:lineRule="auto"/>
              <w:ind w:firstLine="0" w:left="0" w:right="0"/>
              <w:jc w:val="left"/>
              <w:jc w:val="center"/>
            </w:pPr>
            <w:r>
              <w:rPr>
                <w:rFonts w:ascii="Calibri" w:hAnsi="Calibri"/>
                <w:sz w:val="13"/>
              </w:rPr>
              <w:t xml:space="preserve">0.09 (0.913)</w:t>
            </w:r>
          </w:p>
        </w:tc>
      </w:tr>
      <w:tr>
        <w:trPr>
          <w:cantSplit/>
        </w:trPr>
        <w:tc>
          <w:tcPr/>
          <w:p>
            <w:pPr>
              <w:pStyle w:val="Compact"/>
              <w:keepNext/>
              <w:spacing w:before="8" w:after="8" w:line="240" w:lineRule="auto"/>
              <w:ind w:firstLine="0" w:left="0" w:right="0"/>
              <w:jc w:val="left"/>
              <w:jc w:val="center"/>
            </w:pPr>
            <w:r>
              <w:rPr>
                <w:rFonts w:ascii="Calibri" w:hAnsi="Calibri"/>
                <w:sz w:val="13"/>
              </w:rPr>
              <w:t xml:space="preserve">Gross margin expansion (pp, TTM)</w:t>
            </w:r>
          </w:p>
        </w:tc>
        <w:tc>
          <w:tcPr/>
          <w:p>
            <w:pPr>
              <w:pStyle w:val="Compact"/>
              <w:keepNext/>
              <w:spacing w:before="8" w:after="8" w:line="240" w:lineRule="auto"/>
              <w:ind w:firstLine="0" w:left="0" w:right="0"/>
              <w:jc w:val="left"/>
              <w:jc w:val="center"/>
            </w:pPr>
            <w:r>
              <w:rPr>
                <w:rFonts w:ascii="Calibri" w:hAnsi="Calibri"/>
                <w:b/>
                <w:bCs/>
                <w:sz w:val="13"/>
              </w:rPr>
              <w:t xml:space="preserve">-0.095*** (0.003)</w:t>
            </w:r>
          </w:p>
        </w:tc>
        <w:tc>
          <w:tcPr/>
          <w:p>
            <w:pPr>
              <w:pStyle w:val="Compact"/>
              <w:keepNext/>
              <w:spacing w:before="8" w:after="8" w:line="240" w:lineRule="auto"/>
              <w:ind w:firstLine="0" w:left="0" w:right="0"/>
              <w:jc w:val="left"/>
              <w:jc w:val="center"/>
            </w:pPr>
            <w:r>
              <w:rPr>
                <w:rFonts w:ascii="Calibri" w:hAnsi="Calibri"/>
                <w:b/>
                <w:bCs/>
                <w:sz w:val="13"/>
              </w:rPr>
              <w:t xml:space="preserve">+0.083*** (0.001)</w:t>
            </w:r>
          </w:p>
        </w:tc>
        <w:tc>
          <w:tcPr/>
          <w:p>
            <w:pPr>
              <w:pStyle w:val="Compact"/>
              <w:keepNext/>
              <w:spacing w:before="8" w:after="8" w:line="240" w:lineRule="auto"/>
              <w:ind w:firstLine="0" w:left="0" w:right="0"/>
              <w:jc w:val="left"/>
              <w:jc w:val="center"/>
            </w:pPr>
            <w:r>
              <w:rPr>
                <w:rFonts w:ascii="Calibri" w:hAnsi="Calibri"/>
                <w:b/>
                <w:bCs/>
                <w:sz w:val="13"/>
              </w:rPr>
              <w:t xml:space="preserve">+0.075*** (0.000)</w:t>
            </w:r>
          </w:p>
        </w:tc>
        <w:tc>
          <w:tcPr/>
          <w:p>
            <w:pPr>
              <w:pStyle w:val="Compact"/>
              <w:keepNext/>
              <w:spacing w:before="8" w:after="8" w:line="240" w:lineRule="auto"/>
              <w:ind w:firstLine="0" w:left="0" w:right="0"/>
              <w:jc w:val="left"/>
              <w:jc w:val="center"/>
            </w:pPr>
            <w:r>
              <w:rPr>
                <w:rFonts w:ascii="Calibri" w:hAnsi="Calibri"/>
                <w:b/>
                <w:bCs/>
                <w:sz w:val="13"/>
              </w:rPr>
              <w:t xml:space="preserve">-0.300*** (0.000)</w:t>
            </w:r>
          </w:p>
        </w:tc>
        <w:tc>
          <w:tcPr/>
          <w:p>
            <w:pPr>
              <w:pStyle w:val="Compact"/>
              <w:keepNext/>
              <w:spacing w:before="8" w:after="8" w:line="240" w:lineRule="auto"/>
              <w:ind w:firstLine="0" w:left="0" w:right="0"/>
              <w:jc w:val="left"/>
              <w:jc w:val="center"/>
            </w:pPr>
            <w:r>
              <w:rPr>
                <w:rFonts w:ascii="Calibri" w:hAnsi="Calibri"/>
                <w:sz w:val="13"/>
              </w:rPr>
              <w:t xml:space="preserve">OK</w:t>
            </w:r>
          </w:p>
        </w:tc>
        <w:tc>
          <w:tcPr/>
          <w:p>
            <w:pPr>
              <w:pStyle w:val="Compact"/>
              <w:keepNext/>
              <w:spacing w:before="8" w:after="8" w:line="240" w:lineRule="auto"/>
              <w:ind w:firstLine="0" w:left="0" w:right="0"/>
              <w:jc w:val="left"/>
              <w:jc w:val="center"/>
            </w:pPr>
            <w:r>
              <w:rPr>
                <w:rFonts w:ascii="Calibri" w:hAnsi="Calibri"/>
                <w:sz w:val="13"/>
              </w:rPr>
              <w:t xml:space="preserve">OK</w:t>
            </w:r>
          </w:p>
        </w:tc>
        <w:tc>
          <w:tcPr/>
          <w:p>
            <w:pPr>
              <w:pStyle w:val="Compact"/>
              <w:keepNext/>
              <w:spacing w:before="8" w:after="8" w:line="240" w:lineRule="auto"/>
              <w:ind w:firstLine="0" w:left="0" w:right="0"/>
              <w:jc w:val="left"/>
              <w:jc w:val="center"/>
            </w:pPr>
            <w:r>
              <w:rPr>
                <w:rFonts w:ascii="Calibri" w:hAnsi="Calibri"/>
                <w:sz w:val="13"/>
              </w:rPr>
              <w:t xml:space="preserve">firm</w:t>
            </w:r>
          </w:p>
        </w:tc>
        <w:tc>
          <w:tcPr/>
          <w:p>
            <w:pPr>
              <w:pStyle w:val="Compact"/>
              <w:keepNext/>
              <w:spacing w:before="8" w:after="8" w:line="240" w:lineRule="auto"/>
              <w:ind w:firstLine="0" w:left="0" w:right="0"/>
              <w:jc w:val="right"/>
              <w:jc w:val="center"/>
            </w:pPr>
            <w:r>
              <w:rPr>
                <w:rFonts w:ascii="Calibri" w:hAnsi="Calibri"/>
                <w:sz w:val="13"/>
              </w:rPr>
              <w:t xml:space="preserve">6,239</w:t>
            </w:r>
          </w:p>
        </w:tc>
        <w:tc>
          <w:tcPr/>
          <w:p>
            <w:pPr>
              <w:pStyle w:val="Compact"/>
              <w:keepNext/>
              <w:spacing w:before="8" w:after="8" w:line="240" w:lineRule="auto"/>
              <w:ind w:firstLine="0" w:left="0" w:right="0"/>
              <w:jc w:val="right"/>
              <w:jc w:val="center"/>
            </w:pPr>
            <w:r>
              <w:rPr>
                <w:rFonts w:ascii="Calibri" w:hAnsi="Calibri"/>
                <w:sz w:val="13"/>
              </w:rPr>
              <w:t xml:space="preserve">385</w:t>
            </w:r>
          </w:p>
        </w:tc>
        <w:tc>
          <w:tcPr/>
          <w:p>
            <w:pPr>
              <w:pStyle w:val="Compact"/>
              <w:keepNext/>
              <w:spacing w:before="8" w:after="8" w:line="240" w:lineRule="auto"/>
              <w:ind w:firstLine="0" w:left="0" w:right="0"/>
              <w:jc w:val="right"/>
              <w:jc w:val="center"/>
            </w:pPr>
            <w:r>
              <w:rPr>
                <w:rFonts w:ascii="Calibri" w:hAnsi="Calibri"/>
                <w:sz w:val="13"/>
              </w:rPr>
              <w:t xml:space="preserve">0.227</w:t>
            </w:r>
          </w:p>
        </w:tc>
        <w:tc>
          <w:tcPr/>
          <w:p>
            <w:pPr>
              <w:pStyle w:val="Compact"/>
              <w:keepNext/>
              <w:spacing w:before="8" w:after="8" w:line="240" w:lineRule="auto"/>
              <w:ind w:firstLine="0" w:left="0" w:right="0"/>
              <w:jc w:val="left"/>
              <w:jc w:val="center"/>
            </w:pPr>
            <w:r>
              <w:rPr>
                <w:rFonts w:ascii="Calibri" w:hAnsi="Calibri"/>
                <w:sz w:val="13"/>
              </w:rPr>
              <w:t xml:space="preserve">0.62 (0.540)</w:t>
            </w:r>
          </w:p>
        </w:tc>
      </w:tr>
      <w:tr>
        <w:trPr>
          <w:cantSplit/>
        </w:trPr>
        <w:tc>
          <w:tcPr/>
          <w:p>
            <w:pPr>
              <w:pStyle w:val="Compact"/>
              <w:keepNext/>
              <w:spacing w:before="8" w:after="8" w:line="240" w:lineRule="auto"/>
              <w:ind w:firstLine="0" w:left="0" w:right="0"/>
              <w:jc w:val="left"/>
              <w:jc w:val="center"/>
            </w:pPr>
            <w:r>
              <w:rPr>
                <w:rFonts w:ascii="Calibri" w:hAnsi="Calibri"/>
                <w:sz w:val="13"/>
              </w:rPr>
              <w:t xml:space="preserve">Change in ROIC-WACC spread (pp, TTM)</w:t>
            </w:r>
          </w:p>
        </w:tc>
        <w:tc>
          <w:tcPr/>
          <w:p>
            <w:pPr>
              <w:pStyle w:val="Compact"/>
              <w:keepNext/>
              <w:spacing w:before="8" w:after="8" w:line="240" w:lineRule="auto"/>
              <w:ind w:firstLine="0" w:left="0" w:right="0"/>
              <w:jc w:val="left"/>
              <w:jc w:val="center"/>
            </w:pPr>
            <w:r>
              <w:rPr>
                <w:rFonts w:ascii="Calibri" w:hAnsi="Calibri"/>
                <w:sz w:val="13"/>
              </w:rPr>
              <w:t xml:space="preserve">-0.031 (0.792)</w:t>
            </w:r>
          </w:p>
        </w:tc>
        <w:tc>
          <w:tcPr/>
          <w:p>
            <w:pPr>
              <w:pStyle w:val="Compact"/>
              <w:keepNext/>
              <w:spacing w:before="8" w:after="8" w:line="240" w:lineRule="auto"/>
              <w:ind w:firstLine="0" w:left="0" w:right="0"/>
              <w:jc w:val="left"/>
              <w:jc w:val="center"/>
            </w:pPr>
            <w:r>
              <w:rPr>
                <w:rFonts w:ascii="Calibri" w:hAnsi="Calibri"/>
                <w:b/>
                <w:bCs/>
                <w:sz w:val="13"/>
              </w:rPr>
              <w:t xml:space="preserve">+0.064** (0.033)</w:t>
            </w:r>
          </w:p>
        </w:tc>
        <w:tc>
          <w:tcPr/>
          <w:p>
            <w:pPr>
              <w:pStyle w:val="Compact"/>
              <w:keepNext/>
              <w:spacing w:before="8" w:after="8" w:line="240" w:lineRule="auto"/>
              <w:ind w:firstLine="0" w:left="0" w:right="0"/>
              <w:jc w:val="left"/>
              <w:jc w:val="center"/>
            </w:pPr>
            <w:r>
              <w:rPr>
                <w:rFonts w:ascii="Calibri" w:hAnsi="Calibri"/>
                <w:b/>
                <w:bCs/>
                <w:sz w:val="13"/>
              </w:rPr>
              <w:t xml:space="preserve">+0.085*** (0.000)</w:t>
            </w:r>
          </w:p>
        </w:tc>
        <w:tc>
          <w:tcPr/>
          <w:p>
            <w:pPr>
              <w:pStyle w:val="Compact"/>
              <w:keepNext/>
              <w:spacing w:before="8" w:after="8" w:line="240" w:lineRule="auto"/>
              <w:ind w:firstLine="0" w:left="0" w:right="0"/>
              <w:jc w:val="left"/>
              <w:jc w:val="center"/>
            </w:pPr>
            <w:r>
              <w:rPr>
                <w:rFonts w:ascii="Calibri" w:hAnsi="Calibri"/>
                <w:b/>
                <w:bCs/>
                <w:sz w:val="13"/>
              </w:rPr>
              <w:t xml:space="preserve">-0.264*** (0.000)</w:t>
            </w:r>
          </w:p>
        </w:tc>
        <w:tc>
          <w:tcPr/>
          <w:p>
            <w:pPr>
              <w:pStyle w:val="Compact"/>
              <w:keepNext/>
              <w:spacing w:before="8" w:after="8" w:line="240" w:lineRule="auto"/>
              <w:ind w:firstLine="0" w:left="0" w:right="0"/>
              <w:jc w:val="left"/>
              <w:jc w:val="center"/>
            </w:pPr>
            <w:r>
              <w:rPr>
                <w:rFonts w:ascii="Calibri" w:hAnsi="Calibri"/>
                <w:sz w:val="13"/>
              </w:rPr>
              <w:t xml:space="preserve">OK</w:t>
            </w:r>
          </w:p>
        </w:tc>
        <w:tc>
          <w:tcPr/>
          <w:p>
            <w:pPr>
              <w:pStyle w:val="Compact"/>
              <w:keepNext/>
              <w:spacing w:before="8" w:after="8" w:line="240" w:lineRule="auto"/>
              <w:ind w:firstLine="0" w:left="0" w:right="0"/>
              <w:jc w:val="left"/>
              <w:jc w:val="center"/>
            </w:pPr>
            <w:r>
              <w:rPr>
                <w:rFonts w:ascii="Calibri" w:hAnsi="Calibri"/>
                <w:sz w:val="13"/>
              </w:rPr>
              <w:t xml:space="preserve">OK</w:t>
            </w:r>
          </w:p>
        </w:tc>
        <w:tc>
          <w:tcPr/>
          <w:p>
            <w:pPr>
              <w:pStyle w:val="Compact"/>
              <w:keepNext/>
              <w:spacing w:before="8" w:after="8" w:line="240" w:lineRule="auto"/>
              <w:ind w:firstLine="0" w:left="0" w:right="0"/>
              <w:jc w:val="left"/>
              <w:jc w:val="center"/>
            </w:pPr>
            <w:r>
              <w:rPr>
                <w:rFonts w:ascii="Calibri" w:hAnsi="Calibri"/>
                <w:sz w:val="13"/>
              </w:rPr>
              <w:t xml:space="preserve">firm</w:t>
            </w:r>
          </w:p>
        </w:tc>
        <w:tc>
          <w:tcPr/>
          <w:p>
            <w:pPr>
              <w:pStyle w:val="Compact"/>
              <w:keepNext/>
              <w:spacing w:before="8" w:after="8" w:line="240" w:lineRule="auto"/>
              <w:ind w:firstLine="0" w:left="0" w:right="0"/>
              <w:jc w:val="right"/>
              <w:jc w:val="center"/>
            </w:pPr>
            <w:r>
              <w:rPr>
                <w:rFonts w:ascii="Calibri" w:hAnsi="Calibri"/>
                <w:sz w:val="13"/>
              </w:rPr>
              <w:t xml:space="preserve">6,214</w:t>
            </w:r>
          </w:p>
        </w:tc>
        <w:tc>
          <w:tcPr/>
          <w:p>
            <w:pPr>
              <w:pStyle w:val="Compact"/>
              <w:keepNext/>
              <w:spacing w:before="8" w:after="8" w:line="240" w:lineRule="auto"/>
              <w:ind w:firstLine="0" w:left="0" w:right="0"/>
              <w:jc w:val="right"/>
              <w:jc w:val="center"/>
            </w:pPr>
            <w:r>
              <w:rPr>
                <w:rFonts w:ascii="Calibri" w:hAnsi="Calibri"/>
                <w:sz w:val="13"/>
              </w:rPr>
              <w:t xml:space="preserve">383</w:t>
            </w:r>
          </w:p>
        </w:tc>
        <w:tc>
          <w:tcPr/>
          <w:p>
            <w:pPr>
              <w:pStyle w:val="Compact"/>
              <w:keepNext/>
              <w:spacing w:before="8" w:after="8" w:line="240" w:lineRule="auto"/>
              <w:ind w:firstLine="0" w:left="0" w:right="0"/>
              <w:jc w:val="right"/>
              <w:jc w:val="center"/>
            </w:pPr>
            <w:r>
              <w:rPr>
                <w:rFonts w:ascii="Calibri" w:hAnsi="Calibri"/>
                <w:sz w:val="13"/>
              </w:rPr>
              <w:t xml:space="preserve">0.151</w:t>
            </w:r>
          </w:p>
        </w:tc>
        <w:tc>
          <w:tcPr/>
          <w:p>
            <w:pPr>
              <w:pStyle w:val="Compact"/>
              <w:keepNext/>
              <w:spacing w:before="8" w:after="8" w:line="240" w:lineRule="auto"/>
              <w:ind w:firstLine="0" w:left="0" w:right="0"/>
              <w:jc w:val="left"/>
              <w:jc w:val="center"/>
            </w:pPr>
            <w:r>
              <w:rPr>
                <w:rFonts w:ascii="Calibri" w:hAnsi="Calibri"/>
                <w:sz w:val="13"/>
              </w:rPr>
              <w:t xml:space="preserve">0.25 (0.780)</w:t>
            </w:r>
          </w:p>
        </w:tc>
      </w:tr>
      <w:tr>
        <w:trPr>
          <w:cantSplit/>
        </w:trPr>
        <w:tc>
          <w:tcPr/>
          <w:p>
            <w:pPr>
              <w:pStyle w:val="Compact"/>
              <w:spacing w:before="8" w:after="8" w:line="240" w:lineRule="auto"/>
              <w:ind w:firstLine="0" w:left="0" w:right="0"/>
              <w:jc w:val="left"/>
              <w:jc w:val="center"/>
            </w:pPr>
            <w:r>
              <w:rPr>
                <w:rFonts w:ascii="Calibri" w:hAnsi="Calibri"/>
                <w:sz w:val="13"/>
              </w:rPr>
              <w:t xml:space="preserve">Revenue growth (%, TTM)</w:t>
            </w:r>
          </w:p>
        </w:tc>
        <w:tc>
          <w:tcPr/>
          <w:p>
            <w:pPr>
              <w:pStyle w:val="Compact"/>
              <w:spacing w:before="8" w:after="8" w:line="240" w:lineRule="auto"/>
              <w:ind w:firstLine="0" w:left="0" w:right="0"/>
              <w:jc w:val="left"/>
              <w:jc w:val="center"/>
            </w:pPr>
            <w:r>
              <w:rPr>
                <w:rFonts w:ascii="Calibri" w:hAnsi="Calibri"/>
                <w:b/>
                <w:bCs/>
                <w:sz w:val="13"/>
              </w:rPr>
              <w:t xml:space="preserve">+0.163*** (0.000)</w:t>
            </w:r>
          </w:p>
        </w:tc>
        <w:tc>
          <w:tcPr/>
          <w:p>
            <w:pPr>
              <w:pStyle w:val="Compact"/>
              <w:spacing w:before="8" w:after="8" w:line="240" w:lineRule="auto"/>
              <w:ind w:firstLine="0" w:left="0" w:right="0"/>
              <w:jc w:val="left"/>
              <w:jc w:val="center"/>
            </w:pPr>
            <w:r>
              <w:rPr>
                <w:rFonts w:ascii="Calibri" w:hAnsi="Calibri"/>
                <w:b/>
                <w:bCs/>
                <w:sz w:val="13"/>
              </w:rPr>
              <w:t xml:space="preserve">+0.106*** (0.000)</w:t>
            </w:r>
          </w:p>
        </w:tc>
        <w:tc>
          <w:tcPr/>
          <w:p>
            <w:pPr>
              <w:pStyle w:val="Compact"/>
              <w:spacing w:before="8" w:after="8" w:line="240" w:lineRule="auto"/>
              <w:ind w:firstLine="0" w:left="0" w:right="0"/>
              <w:jc w:val="left"/>
              <w:jc w:val="center"/>
            </w:pPr>
            <w:r>
              <w:rPr>
                <w:rFonts w:ascii="Calibri" w:hAnsi="Calibri"/>
                <w:sz w:val="13"/>
              </w:rPr>
              <w:t xml:space="preserve">+0.029 (0.218)</w:t>
            </w:r>
          </w:p>
        </w:tc>
        <w:tc>
          <w:tcPr/>
          <w:p>
            <w:pPr>
              <w:pStyle w:val="Compact"/>
              <w:spacing w:before="8" w:after="8" w:line="240" w:lineRule="auto"/>
              <w:ind w:firstLine="0" w:left="0" w:right="0"/>
              <w:jc w:val="left"/>
              <w:jc w:val="center"/>
            </w:pPr>
            <w:r>
              <w:rPr>
                <w:rFonts w:ascii="Calibri" w:hAnsi="Calibri"/>
                <w:b/>
                <w:bCs/>
                <w:sz w:val="13"/>
              </w:rPr>
              <w:t xml:space="preserve">-0.108*** (0.007)</w:t>
            </w:r>
          </w:p>
        </w:tc>
        <w:tc>
          <w:tcPr/>
          <w:p>
            <w:pPr>
              <w:pStyle w:val="Compact"/>
              <w:spacing w:before="8" w:after="8" w:line="240" w:lineRule="auto"/>
              <w:ind w:firstLine="0" w:left="0" w:right="0"/>
              <w:jc w:val="left"/>
              <w:jc w:val="center"/>
            </w:pPr>
            <w:r>
              <w:rPr>
                <w:rFonts w:ascii="Calibri" w:hAnsi="Calibri"/>
                <w:sz w:val="13"/>
              </w:rPr>
              <w:t xml:space="preserve">OK</w:t>
            </w:r>
          </w:p>
        </w:tc>
        <w:tc>
          <w:tcPr/>
          <w:p>
            <w:pPr>
              <w:pStyle w:val="Compact"/>
              <w:spacing w:before="8" w:after="8" w:line="240" w:lineRule="auto"/>
              <w:ind w:firstLine="0" w:left="0" w:right="0"/>
              <w:jc w:val="left"/>
              <w:jc w:val="center"/>
            </w:pPr>
            <w:r>
              <w:rPr>
                <w:rFonts w:ascii="Calibri" w:hAnsi="Calibri"/>
                <w:sz w:val="13"/>
              </w:rPr>
              <w:t xml:space="preserve">OK</w:t>
            </w:r>
          </w:p>
        </w:tc>
        <w:tc>
          <w:tcPr/>
          <w:p>
            <w:pPr>
              <w:pStyle w:val="Compact"/>
              <w:spacing w:before="8" w:after="8" w:line="240" w:lineRule="auto"/>
              <w:ind w:firstLine="0" w:left="0" w:right="0"/>
              <w:jc w:val="left"/>
              <w:jc w:val="center"/>
            </w:pPr>
            <w:r>
              <w:rPr>
                <w:rFonts w:ascii="Calibri" w:hAnsi="Calibri"/>
                <w:sz w:val="13"/>
              </w:rPr>
              <w:t xml:space="preserve">firm</w:t>
            </w:r>
          </w:p>
        </w:tc>
        <w:tc>
          <w:tcPr/>
          <w:p>
            <w:pPr>
              <w:pStyle w:val="Compact"/>
              <w:spacing w:before="8" w:after="8" w:line="240" w:lineRule="auto"/>
              <w:ind w:firstLine="0" w:left="0" w:right="0"/>
              <w:jc w:val="right"/>
              <w:jc w:val="center"/>
            </w:pPr>
            <w:r>
              <w:rPr>
                <w:rFonts w:ascii="Calibri" w:hAnsi="Calibri"/>
                <w:sz w:val="13"/>
              </w:rPr>
              <w:t xml:space="preserve">6,427</w:t>
            </w:r>
          </w:p>
        </w:tc>
        <w:tc>
          <w:tcPr/>
          <w:p>
            <w:pPr>
              <w:pStyle w:val="Compact"/>
              <w:spacing w:before="8" w:after="8" w:line="240" w:lineRule="auto"/>
              <w:ind w:firstLine="0" w:left="0" w:right="0"/>
              <w:jc w:val="right"/>
              <w:jc w:val="center"/>
            </w:pPr>
            <w:r>
              <w:rPr>
                <w:rFonts w:ascii="Calibri" w:hAnsi="Calibri"/>
                <w:sz w:val="13"/>
              </w:rPr>
              <w:t xml:space="preserve">473</w:t>
            </w:r>
          </w:p>
        </w:tc>
        <w:tc>
          <w:tcPr/>
          <w:p>
            <w:pPr>
              <w:pStyle w:val="Compact"/>
              <w:spacing w:before="8" w:after="8" w:line="240" w:lineRule="auto"/>
              <w:ind w:firstLine="0" w:left="0" w:right="0"/>
              <w:jc w:val="right"/>
              <w:jc w:val="center"/>
            </w:pPr>
            <w:r>
              <w:rPr>
                <w:rFonts w:ascii="Calibri" w:hAnsi="Calibri"/>
                <w:sz w:val="13"/>
              </w:rPr>
              <w:t xml:space="preserve">0.235</w:t>
            </w:r>
          </w:p>
        </w:tc>
        <w:tc>
          <w:tcPr/>
          <w:p>
            <w:pPr>
              <w:pStyle w:val="Compact"/>
              <w:spacing w:before="8" w:after="8" w:line="240" w:lineRule="auto"/>
              <w:ind w:firstLine="0" w:left="0" w:right="0"/>
              <w:jc w:val="left"/>
              <w:jc w:val="center"/>
            </w:pPr>
            <w:r>
              <w:rPr>
                <w:rFonts w:ascii="Calibri" w:hAnsi="Calibri"/>
                <w:b/>
                <w:bCs/>
                <w:sz w:val="13"/>
              </w:rPr>
              <w:t xml:space="preserve">4.02** (0.019)</w:t>
            </w:r>
          </w:p>
        </w:tc>
      </w:tr>
    </w:tbl>
    <w:bookmarkEnd w:id="217"/>
    <w:p/>
    <w:bookmarkEnd w:id="218"/>
    <w:bookmarkEnd w:id="219"/>
    <w:bookmarkStart w:id="221" w:name="appendix-d"/>
    <w:p>
      <w:pPr>
        <w:pStyle w:val="Ttulo2"/>
      </w:pPr>
      <w:r>
        <w:t xml:space="preserve">Appendix D: SEC Comment-Letter Inventory and Case Comparisons</w:t>
      </w:r>
    </w:p>
    <w:p>
      <w:pPr>
        <w:pStyle w:val="FirstParagraph"/>
      </w:pPr>
      <w:r>
        <w:t xml:space="preserve">This appendix documents the search for SEC staff comment letters that touch corporate AI disclosure, the classification of every letter found, and the case comparisons reported in the regulatory-scrutiny analysis.</w:t>
      </w:r>
    </w:p>
    <w:bookmarkStart w:id="222" w:name="appendix-d1"/>
    <w:p>
      <w:pPr>
        <w:pStyle w:val="Ttulo3"/>
      </w:pPr>
      <w:r>
        <w:t xml:space="preserve">D.1 Search and classification</w:t>
      </w:r>
    </w:p>
    <w:p>
      <w:pPr>
        <w:pStyle w:val="FirstParagraph"/>
      </w:pPr>
      <w:r>
        <w:t xml:space="preserve">The EDGAR full-text index was searched for staff comment letters (form</w:t>
      </w:r>
      <w:r>
        <w:t xml:space="preserve"> </w:t>
      </w:r>
      <w:r>
        <w:rPr>
          <w:rStyle w:val="VerbatimChar"/>
        </w:rPr>
        <w:t xml:space="preserve">UPLOAD</w:t>
      </w:r>
      <w:r>
        <w:t xml:space="preserve">) and issuer responses (</w:t>
      </w:r>
      <w:r>
        <w:rPr>
          <w:rStyle w:val="VerbatimChar"/>
        </w:rPr>
        <w:t xml:space="preserve">CORRESP</w:t>
      </w:r>
      <w:r>
        <w:t xml:space="preserve">) filed between 2022-01-01 and 2026-09-11. Search terms included</w:t>
      </w:r>
      <w:r>
        <w:t xml:space="preserve"> </w:t>
      </w:r>
      <w:r>
        <w:t xml:space="preserve">“artificial intelligence”</w:t>
      </w:r>
      <w:r>
        <w:t xml:space="preserve">,</w:t>
      </w:r>
      <w:r>
        <w:t xml:space="preserve"> </w:t>
      </w:r>
      <w:r>
        <w:t xml:space="preserve">“AI”</w:t>
      </w:r>
      <w:r>
        <w:t xml:space="preserve">,</w:t>
      </w:r>
      <w:r>
        <w:t xml:space="preserve"> </w:t>
      </w:r>
      <w:r>
        <w:t xml:space="preserve">“machine learning”</w:t>
      </w:r>
      <w:r>
        <w:t xml:space="preserve">,</w:t>
      </w:r>
      <w:r>
        <w:t xml:space="preserve"> </w:t>
      </w:r>
      <w:r>
        <w:t xml:space="preserve">“generative”</w:t>
      </w:r>
      <w:r>
        <w:t xml:space="preserve">,</w:t>
      </w:r>
      <w:r>
        <w:t xml:space="preserve"> </w:t>
      </w:r>
      <w:r>
        <w:t xml:space="preserve">“large language”</w:t>
      </w:r>
      <w:r>
        <w:t xml:space="preserve">, and hyphenated compounds (</w:t>
      </w:r>
      <w:r>
        <w:t xml:space="preserve">“AI-driven”</w:t>
      </w:r>
      <w:r>
        <w:t xml:space="preserve">,</w:t>
      </w:r>
      <w:r>
        <w:t xml:space="preserve"> </w:t>
      </w:r>
      <w:r>
        <w:t xml:space="preserve">“AI-powered”</w:t>
      </w:r>
      <w:r>
        <w:t xml:space="preserve">,</w:t>
      </w:r>
      <w:r>
        <w:t xml:space="preserve"> </w:t>
      </w:r>
      <w:r>
        <w:t xml:space="preserve">“AI-enabled”</w:t>
      </w:r>
      <w:r>
        <w:t xml:space="preserve">). Queries were restricted to the 499 universe issuers, and every matching letter was read in full.</w:t>
      </w:r>
    </w:p>
    <w:p>
      <w:pPr>
        <w:pStyle w:val="Textoindependiente"/>
      </w:pPr>
      <w:r>
        <w:t xml:space="preserve">Correspondence for eight universe issuers matched at least one term, plus Match Group, which joined after the panel date (</w:t>
      </w:r>
      <w:hyperlink w:anchor="tbl-g1-sec-letters">
        <w:r>
          <w:rPr>
            <w:rStyle w:val="Hipervnculo"/>
          </w:rPr>
          <w:t xml:space="preserve">Table 48</w:t>
        </w:r>
      </w:hyperlink>
      <w:r>
        <w:t xml:space="preserve">). Reading the letters in full shows that most of those matches have nothing to do with AI disclosure. Two responses, from Apple and Amazon, matched only because of a confidential-treatment page code (</w:t>
      </w:r>
      <w:r>
        <w:t xml:space="preserve">“AI-001”</w:t>
      </w:r>
      <w:r>
        <w:t xml:space="preserve">) or an incidental reference inside a climate-risk review, and they are omitted.</w:t>
      </w:r>
    </w:p>
    <w:bookmarkStart w:id="223" w:name="tbl-g1-sec-letters"/>
    <w:p>
      <w:pPr>
        <w:keepNext/>
        <w:pStyle w:val="ImageCaption"/>
        <w:jc w:val="left"/>
        <w:spacing w:before="200"/>
        <w:ind w:firstLine="0" w:left="0" w:right="0"/>
      </w:pPr>
      <w:r>
        <w:t xml:space="preserve">Table 48:</w:t>
      </w:r>
      <w:r>
        <w:t xml:space="preserve"> </w:t>
      </w:r>
      <w:r>
        <w:rPr>
          <w:rStyle w:val="CaptionText"/>
        </w:rPr>
        <w:t xml:space="preserve">SEC staff comment letters matching AI-related terms, S&amp;P 500 (2021-01-01 universe), 2022–2026.</w:t>
      </w:r>
    </w:p>
    <w:tbl>
      <w:tblPr>
        <w:tblStyle w:val="Table"/>
        <w:tblW w:type="auto" w:w="0"/>
        <w:jc w:val="center"/>
        <w:tblLook w:firstRow="1" w:lastRow="0" w:firstColumn="0" w:lastColumn="0" w:noHBand="0" w:noVBand="0" w:val="0020"/>
        <w:tblBorders>
          <w:top w:val="single" w:sz="8" w:space="0" w:color="0F172A"/>
          <w:bottom w:val="single" w:sz="8" w:space="0" w:color="0F172A"/>
          <w:left w:val="none"/>
          <w:right w:val="none"/>
          <w:insideH w:val="single" w:sz="4" w:space="0" w:color="E2E8F0"/>
          <w:insideV w:val="none"/>
        </w:tblBorders>
        <w:tblCellMar>
          <w:top w:w="22" w:type="dxa"/>
          <w:bottom w:w="22" w:type="dxa"/>
          <w:left w:w="40" w:type="dxa"/>
          <w:right w:w="40" w:type="dxa"/>
        </w:tblCellMar>
      </w:tblPr>
      <w:tblGrid>
        <w:gridCol w:w="1320"/>
        <w:gridCol w:w="1320"/>
        <w:gridCol w:w="1320"/>
        <w:gridCol w:w="1320"/>
        <w:gridCol w:w="1320"/>
        <w:gridCol w:w="1320"/>
      </w:tblGrid>
      <w:tr>
        <w:trPr>
          <w:tblHeader w:val="on"/>
          <w:cantSplit/>
          <w:tblHeader/>
        </w:trPr>
        <w:tc>
          <w:tcPr>
            <w:shd w:fill="F1F5F9"/>
            <w:tcBorders>
              <w:bottom w:val="single" w:sz="8" w:space="0" w:color="475569"/>
            </w:tcBorders>
          </w:tcPr>
          <w:p>
            <w:pPr>
              <w:pStyle w:val="Compact"/>
              <w:spacing w:before="8" w:after="8" w:line="240" w:lineRule="auto"/>
              <w:ind w:firstLine="0" w:left="0" w:right="0"/>
              <w:jc w:val="left"/>
              <w:jc w:val="center"/>
            </w:pPr>
            <w:r>
              <w:rPr>
                <w:rFonts w:ascii="Calibri" w:hAnsi="Calibri"/>
                <w:b/>
                <w:color w:val="0F172A"/>
                <w:sz w:val="15"/>
              </w:rPr>
              <w:t xml:space="preserve">Ticker</w:t>
            </w:r>
          </w:p>
        </w:tc>
        <w:tc>
          <w:tcPr>
            <w:shd w:fill="F1F5F9"/>
            <w:tcBorders>
              <w:bottom w:val="single" w:sz="8" w:space="0" w:color="475569"/>
            </w:tcBorders>
          </w:tcPr>
          <w:p>
            <w:pPr>
              <w:pStyle w:val="Compact"/>
              <w:spacing w:before="8" w:after="8" w:line="240" w:lineRule="auto"/>
              <w:ind w:firstLine="0" w:left="0" w:right="0"/>
              <w:jc w:val="left"/>
              <w:jc w:val="center"/>
            </w:pPr>
            <w:r>
              <w:rPr>
                <w:rFonts w:ascii="Calibri" w:hAnsi="Calibri"/>
                <w:b/>
                <w:color w:val="0F172A"/>
                <w:sz w:val="15"/>
              </w:rPr>
              <w:t xml:space="preserve">Company</w:t>
            </w:r>
          </w:p>
        </w:tc>
        <w:tc>
          <w:tcPr>
            <w:shd w:fill="F1F5F9"/>
            <w:tcBorders>
              <w:bottom w:val="single" w:sz="8" w:space="0" w:color="475569"/>
            </w:tcBorders>
          </w:tcPr>
          <w:p>
            <w:pPr>
              <w:pStyle w:val="Compact"/>
              <w:spacing w:before="8" w:after="8" w:line="240" w:lineRule="auto"/>
              <w:ind w:firstLine="0" w:left="0" w:right="0"/>
              <w:jc w:val="left"/>
              <w:jc w:val="center"/>
            </w:pPr>
            <w:r>
              <w:rPr>
                <w:rFonts w:ascii="Calibri" w:hAnsi="Calibri"/>
                <w:b/>
                <w:color w:val="0F172A"/>
                <w:sz w:val="15"/>
              </w:rPr>
              <w:t xml:space="preserve">Letter date</w:t>
            </w:r>
          </w:p>
        </w:tc>
        <w:tc>
          <w:tcPr>
            <w:shd w:fill="F1F5F9"/>
            <w:tcBorders>
              <w:bottom w:val="single" w:sz="8" w:space="0" w:color="475569"/>
            </w:tcBorders>
          </w:tcPr>
          <w:p>
            <w:pPr>
              <w:pStyle w:val="Compact"/>
              <w:spacing w:before="8" w:after="8" w:line="240" w:lineRule="auto"/>
              <w:ind w:firstLine="0" w:left="0" w:right="0"/>
              <w:jc w:val="left"/>
              <w:jc w:val="center"/>
            </w:pPr>
            <w:r>
              <w:rPr>
                <w:rFonts w:ascii="Calibri" w:hAnsi="Calibri"/>
                <w:b/>
                <w:color w:val="0F172A"/>
                <w:sz w:val="15"/>
              </w:rPr>
              <w:t xml:space="preserve">Filing reviewed</w:t>
            </w:r>
          </w:p>
        </w:tc>
        <w:tc>
          <w:tcPr>
            <w:shd w:fill="F1F5F9"/>
            <w:tcBorders>
              <w:bottom w:val="single" w:sz="8" w:space="0" w:color="475569"/>
            </w:tcBorders>
          </w:tcPr>
          <w:p>
            <w:pPr>
              <w:pStyle w:val="Compact"/>
              <w:spacing w:before="8" w:after="8" w:line="240" w:lineRule="auto"/>
              <w:ind w:firstLine="0" w:left="0" w:right="0"/>
              <w:jc w:val="left"/>
              <w:jc w:val="center"/>
            </w:pPr>
            <w:r>
              <w:rPr>
                <w:rFonts w:ascii="Calibri" w:hAnsi="Calibri"/>
                <w:b/>
                <w:color w:val="0F172A"/>
                <w:sz w:val="15"/>
              </w:rPr>
              <w:t xml:space="preserve">Subject of the staff comment (from the letter)</w:t>
            </w:r>
          </w:p>
        </w:tc>
        <w:tc>
          <w:tcPr>
            <w:shd w:fill="F1F5F9"/>
            <w:tcBorders>
              <w:bottom w:val="single" w:sz="8" w:space="0" w:color="475569"/>
            </w:tcBorders>
          </w:tcPr>
          <w:p>
            <w:pPr>
              <w:pStyle w:val="Compact"/>
              <w:spacing w:before="8" w:after="8" w:line="240" w:lineRule="auto"/>
              <w:ind w:firstLine="0" w:left="0" w:right="0"/>
              <w:jc w:val="left"/>
              <w:jc w:val="center"/>
            </w:pPr>
            <w:r>
              <w:rPr>
                <w:rFonts w:ascii="Calibri" w:hAnsi="Calibri"/>
                <w:b/>
                <w:color w:val="0F172A"/>
                <w:sz w:val="15"/>
              </w:rPr>
              <w:t xml:space="preserve">AI-disclosure relevance</w:t>
            </w:r>
          </w:p>
        </w:tc>
      </w:tr>
      <w:tr>
        <w:trPr>
          <w:cantSplit/>
        </w:trPr>
        <w:tc>
          <w:tcPr/>
          <w:p>
            <w:pPr>
              <w:pStyle w:val="Compact"/>
              <w:spacing w:before="8" w:after="8" w:line="240" w:lineRule="auto"/>
              <w:ind w:firstLine="0" w:left="0" w:right="0"/>
              <w:jc w:val="left"/>
              <w:jc w:val="center"/>
            </w:pPr>
            <w:r>
              <w:rPr>
                <w:rFonts w:ascii="Calibri" w:hAnsi="Calibri"/>
                <w:sz w:val="15"/>
              </w:rPr>
              <w:t xml:space="preserve">META</w:t>
            </w:r>
          </w:p>
        </w:tc>
        <w:tc>
          <w:tcPr/>
          <w:p>
            <w:pPr>
              <w:pStyle w:val="Compact"/>
              <w:spacing w:before="8" w:after="8" w:line="240" w:lineRule="auto"/>
              <w:ind w:firstLine="0" w:left="0" w:right="0"/>
              <w:jc w:val="left"/>
              <w:jc w:val="center"/>
            </w:pPr>
            <w:r>
              <w:rPr>
                <w:rFonts w:ascii="Calibri" w:hAnsi="Calibri"/>
                <w:sz w:val="15"/>
              </w:rPr>
              <w:t xml:space="preserve">Meta Platforms</w:t>
            </w:r>
          </w:p>
        </w:tc>
        <w:tc>
          <w:tcPr/>
          <w:p>
            <w:pPr>
              <w:pStyle w:val="Compact"/>
              <w:spacing w:before="8" w:after="8" w:line="240" w:lineRule="auto"/>
              <w:ind w:firstLine="0" w:left="0" w:right="0"/>
              <w:jc w:val="left"/>
              <w:jc w:val="center"/>
            </w:pPr>
            <w:r>
              <w:rPr>
                <w:rFonts w:ascii="Calibri" w:hAnsi="Calibri"/>
                <w:sz w:val="15"/>
              </w:rPr>
              <w:t xml:space="preserve">2022-11-21</w:t>
            </w:r>
          </w:p>
        </w:tc>
        <w:tc>
          <w:tcPr/>
          <w:p>
            <w:pPr>
              <w:pStyle w:val="Compact"/>
              <w:spacing w:before="8" w:after="8" w:line="240" w:lineRule="auto"/>
              <w:ind w:firstLine="0" w:left="0" w:right="0"/>
              <w:jc w:val="left"/>
              <w:jc w:val="center"/>
            </w:pPr>
            <w:r>
              <w:rPr>
                <w:rFonts w:ascii="Calibri" w:hAnsi="Calibri"/>
                <w:sz w:val="15"/>
              </w:rPr>
              <w:t xml:space="preserve">10-Q Q3 2022</w:t>
            </w:r>
          </w:p>
        </w:tc>
        <w:tc>
          <w:tcPr/>
          <w:p>
            <w:pPr>
              <w:pStyle w:val="Compact"/>
              <w:spacing w:before="8" w:after="8" w:line="240" w:lineRule="auto"/>
              <w:ind w:firstLine="0" w:left="0" w:right="0"/>
              <w:jc w:val="left"/>
              <w:jc w:val="center"/>
            </w:pPr>
            <w:r>
              <w:rPr>
                <w:rFonts w:ascii="Calibri" w:hAnsi="Calibri"/>
                <w:sz w:val="15"/>
              </w:rPr>
              <w:t xml:space="preserve">Drivers of the decline in advertising demand and steps to replace lost ad revenue; the AI discovery engine discussed on the Q3 call is cited as one such step</w:t>
            </w:r>
          </w:p>
        </w:tc>
        <w:tc>
          <w:tcPr/>
          <w:p>
            <w:pPr>
              <w:pStyle w:val="Compact"/>
              <w:spacing w:before="8" w:after="8" w:line="240" w:lineRule="auto"/>
              <w:ind w:firstLine="0" w:left="0" w:right="0"/>
              <w:jc w:val="left"/>
              <w:jc w:val="center"/>
            </w:pPr>
            <w:r>
              <w:rPr>
                <w:rFonts w:ascii="Calibri" w:hAnsi="Calibri"/>
                <w:sz w:val="15"/>
              </w:rPr>
              <w:t xml:space="preserve">incidental</w:t>
            </w:r>
          </w:p>
        </w:tc>
      </w:tr>
      <w:tr>
        <w:trPr>
          <w:cantSplit/>
        </w:trPr>
        <w:tc>
          <w:tcPr/>
          <w:p>
            <w:pPr>
              <w:pStyle w:val="Compact"/>
              <w:spacing w:before="8" w:after="8" w:line="240" w:lineRule="auto"/>
              <w:ind w:firstLine="0" w:left="0" w:right="0"/>
              <w:jc w:val="left"/>
              <w:jc w:val="center"/>
            </w:pPr>
            <w:r>
              <w:rPr>
                <w:rFonts w:ascii="Calibri" w:hAnsi="Calibri"/>
                <w:sz w:val="15"/>
              </w:rPr>
              <w:t xml:space="preserve">HPE</w:t>
            </w:r>
          </w:p>
        </w:tc>
        <w:tc>
          <w:tcPr/>
          <w:p>
            <w:pPr>
              <w:pStyle w:val="Compact"/>
              <w:spacing w:before="8" w:after="8" w:line="240" w:lineRule="auto"/>
              <w:ind w:firstLine="0" w:left="0" w:right="0"/>
              <w:jc w:val="left"/>
              <w:jc w:val="center"/>
            </w:pPr>
            <w:r>
              <w:rPr>
                <w:rFonts w:ascii="Calibri" w:hAnsi="Calibri"/>
                <w:sz w:val="15"/>
              </w:rPr>
              <w:t xml:space="preserve">Hewlett Packard Enterprise</w:t>
            </w:r>
          </w:p>
        </w:tc>
        <w:tc>
          <w:tcPr/>
          <w:p>
            <w:pPr>
              <w:pStyle w:val="Compact"/>
              <w:spacing w:before="8" w:after="8" w:line="240" w:lineRule="auto"/>
              <w:ind w:firstLine="0" w:left="0" w:right="0"/>
              <w:jc w:val="left"/>
              <w:jc w:val="center"/>
            </w:pPr>
            <w:r>
              <w:rPr>
                <w:rFonts w:ascii="Calibri" w:hAnsi="Calibri"/>
                <w:sz w:val="15"/>
              </w:rPr>
              <w:t xml:space="preserve">2023-04-20</w:t>
            </w:r>
          </w:p>
        </w:tc>
        <w:tc>
          <w:tcPr/>
          <w:p>
            <w:pPr>
              <w:pStyle w:val="Compact"/>
              <w:spacing w:before="8" w:after="8" w:line="240" w:lineRule="auto"/>
              <w:ind w:firstLine="0" w:left="0" w:right="0"/>
              <w:jc w:val="left"/>
              <w:jc w:val="center"/>
            </w:pPr>
            <w:r>
              <w:rPr>
                <w:rFonts w:ascii="Calibri" w:hAnsi="Calibri"/>
                <w:sz w:val="15"/>
              </w:rPr>
              <w:t xml:space="preserve">10-K FY2022</w:t>
            </w:r>
          </w:p>
        </w:tc>
        <w:tc>
          <w:tcPr/>
          <w:p>
            <w:pPr>
              <w:pStyle w:val="Compact"/>
              <w:spacing w:before="8" w:after="8" w:line="240" w:lineRule="auto"/>
              <w:ind w:firstLine="0" w:left="0" w:right="0"/>
              <w:jc w:val="left"/>
              <w:jc w:val="center"/>
            </w:pPr>
            <w:r>
              <w:rPr>
                <w:rFonts w:ascii="Calibri" w:hAnsi="Calibri"/>
                <w:sz w:val="15"/>
              </w:rPr>
              <w:t xml:space="preserve">Quantification of price, volume and other drivers of segment revenue (including the HPC &amp; AI segment); non-GAAP transformation costs</w:t>
            </w:r>
          </w:p>
        </w:tc>
        <w:tc>
          <w:tcPr/>
          <w:p>
            <w:pPr>
              <w:pStyle w:val="Compact"/>
              <w:spacing w:before="8" w:after="8" w:line="240" w:lineRule="auto"/>
              <w:ind w:firstLine="0" w:left="0" w:right="0"/>
              <w:jc w:val="left"/>
              <w:jc w:val="center"/>
            </w:pPr>
            <w:r>
              <w:rPr>
                <w:rFonts w:ascii="Calibri" w:hAnsi="Calibri"/>
                <w:sz w:val="15"/>
              </w:rPr>
              <w:t xml:space="preserve">none</w:t>
            </w:r>
          </w:p>
        </w:tc>
      </w:tr>
      <w:tr>
        <w:trPr>
          <w:cantSplit/>
        </w:trPr>
        <w:tc>
          <w:tcPr/>
          <w:p>
            <w:pPr>
              <w:pStyle w:val="Compact"/>
              <w:spacing w:before="8" w:after="8" w:line="240" w:lineRule="auto"/>
              <w:ind w:firstLine="0" w:left="0" w:right="0"/>
              <w:jc w:val="left"/>
              <w:jc w:val="center"/>
            </w:pPr>
            <w:r>
              <w:rPr>
                <w:rFonts w:ascii="Calibri" w:hAnsi="Calibri"/>
                <w:sz w:val="15"/>
              </w:rPr>
              <w:t xml:space="preserve">NVDA</w:t>
            </w:r>
          </w:p>
        </w:tc>
        <w:tc>
          <w:tcPr/>
          <w:p>
            <w:pPr>
              <w:pStyle w:val="Compact"/>
              <w:spacing w:before="8" w:after="8" w:line="240" w:lineRule="auto"/>
              <w:ind w:firstLine="0" w:left="0" w:right="0"/>
              <w:jc w:val="left"/>
              <w:jc w:val="center"/>
            </w:pPr>
            <w:r>
              <w:rPr>
                <w:rFonts w:ascii="Calibri" w:hAnsi="Calibri"/>
                <w:sz w:val="15"/>
              </w:rPr>
              <w:t xml:space="preserve">NVIDIA</w:t>
            </w:r>
          </w:p>
        </w:tc>
        <w:tc>
          <w:tcPr/>
          <w:p>
            <w:pPr>
              <w:pStyle w:val="Compact"/>
              <w:spacing w:before="8" w:after="8" w:line="240" w:lineRule="auto"/>
              <w:ind w:firstLine="0" w:left="0" w:right="0"/>
              <w:jc w:val="left"/>
              <w:jc w:val="center"/>
            </w:pPr>
            <w:r>
              <w:rPr>
                <w:rFonts w:ascii="Calibri" w:hAnsi="Calibri"/>
                <w:sz w:val="15"/>
              </w:rPr>
              <w:t xml:space="preserve">2023-06-15</w:t>
            </w:r>
          </w:p>
        </w:tc>
        <w:tc>
          <w:tcPr/>
          <w:p>
            <w:pPr>
              <w:pStyle w:val="Compact"/>
              <w:spacing w:before="8" w:after="8" w:line="240" w:lineRule="auto"/>
              <w:ind w:firstLine="0" w:left="0" w:right="0"/>
              <w:jc w:val="left"/>
              <w:jc w:val="center"/>
            </w:pPr>
            <w:r>
              <w:rPr>
                <w:rFonts w:ascii="Calibri" w:hAnsi="Calibri"/>
                <w:sz w:val="15"/>
              </w:rPr>
              <w:t xml:space="preserve">10-K FY2023</w:t>
            </w:r>
          </w:p>
        </w:tc>
        <w:tc>
          <w:tcPr/>
          <w:p>
            <w:pPr>
              <w:pStyle w:val="Compact"/>
              <w:spacing w:before="8" w:after="8" w:line="240" w:lineRule="auto"/>
              <w:ind w:firstLine="0" w:left="0" w:right="0"/>
              <w:jc w:val="left"/>
              <w:jc w:val="center"/>
            </w:pPr>
            <w:r>
              <w:rPr>
                <w:rFonts w:ascii="Calibri" w:hAnsi="Calibri"/>
                <w:sz w:val="15"/>
              </w:rPr>
              <w:t xml:space="preserve">Quantification of MD&amp;A drivers, inflation, segment operating income, revenue recognition for multi-year cloud service agreements</w:t>
            </w:r>
          </w:p>
        </w:tc>
        <w:tc>
          <w:tcPr/>
          <w:p>
            <w:pPr>
              <w:pStyle w:val="Compact"/>
              <w:spacing w:before="8" w:after="8" w:line="240" w:lineRule="auto"/>
              <w:ind w:firstLine="0" w:left="0" w:right="0"/>
              <w:jc w:val="left"/>
              <w:jc w:val="center"/>
            </w:pPr>
            <w:r>
              <w:rPr>
                <w:rFonts w:ascii="Calibri" w:hAnsi="Calibri"/>
                <w:sz w:val="15"/>
              </w:rPr>
              <w:t xml:space="preserve">none</w:t>
            </w:r>
          </w:p>
        </w:tc>
      </w:tr>
      <w:tr>
        <w:trPr>
          <w:cantSplit/>
        </w:trPr>
        <w:tc>
          <w:tcPr/>
          <w:p>
            <w:pPr>
              <w:pStyle w:val="Compact"/>
              <w:spacing w:before="8" w:after="8" w:line="240" w:lineRule="auto"/>
              <w:ind w:firstLine="0" w:left="0" w:right="0"/>
              <w:jc w:val="left"/>
              <w:jc w:val="center"/>
            </w:pPr>
            <w:r>
              <w:rPr>
                <w:rFonts w:ascii="Calibri" w:hAnsi="Calibri"/>
                <w:sz w:val="15"/>
              </w:rPr>
              <w:t xml:space="preserve">AMD</w:t>
            </w:r>
          </w:p>
        </w:tc>
        <w:tc>
          <w:tcPr/>
          <w:p>
            <w:pPr>
              <w:pStyle w:val="Compact"/>
              <w:spacing w:before="8" w:after="8" w:line="240" w:lineRule="auto"/>
              <w:ind w:firstLine="0" w:left="0" w:right="0"/>
              <w:jc w:val="left"/>
              <w:jc w:val="center"/>
            </w:pPr>
            <w:r>
              <w:rPr>
                <w:rFonts w:ascii="Calibri" w:hAnsi="Calibri"/>
                <w:sz w:val="15"/>
              </w:rPr>
              <w:t xml:space="preserve">Advanced Micro Devices</w:t>
            </w:r>
          </w:p>
        </w:tc>
        <w:tc>
          <w:tcPr/>
          <w:p>
            <w:pPr>
              <w:pStyle w:val="Compact"/>
              <w:spacing w:before="8" w:after="8" w:line="240" w:lineRule="auto"/>
              <w:ind w:firstLine="0" w:left="0" w:right="0"/>
              <w:jc w:val="left"/>
              <w:jc w:val="center"/>
            </w:pPr>
            <w:r>
              <w:rPr>
                <w:rFonts w:ascii="Calibri" w:hAnsi="Calibri"/>
                <w:sz w:val="15"/>
              </w:rPr>
              <w:t xml:space="preserve">2023-09-08</w:t>
            </w:r>
          </w:p>
        </w:tc>
        <w:tc>
          <w:tcPr/>
          <w:p>
            <w:pPr>
              <w:pStyle w:val="Compact"/>
              <w:spacing w:before="8" w:after="8" w:line="240" w:lineRule="auto"/>
              <w:ind w:firstLine="0" w:left="0" w:right="0"/>
              <w:jc w:val="left"/>
              <w:jc w:val="center"/>
            </w:pPr>
            <w:r>
              <w:rPr>
                <w:rFonts w:ascii="Calibri" w:hAnsi="Calibri"/>
                <w:sz w:val="15"/>
              </w:rPr>
              <w:t xml:space="preserve">10-K FY2022</w:t>
            </w:r>
          </w:p>
        </w:tc>
        <w:tc>
          <w:tcPr/>
          <w:p>
            <w:pPr>
              <w:pStyle w:val="Compact"/>
              <w:spacing w:before="8" w:after="8" w:line="240" w:lineRule="auto"/>
              <w:ind w:firstLine="0" w:left="0" w:right="0"/>
              <w:jc w:val="left"/>
              <w:jc w:val="center"/>
            </w:pPr>
            <w:r>
              <w:rPr>
                <w:rFonts w:ascii="Calibri" w:hAnsi="Calibri"/>
                <w:sz w:val="15"/>
              </w:rPr>
              <w:t xml:space="preserve">Climate-related risk disclosure (regulation, water, reputational risk, carbon credits)</w:t>
            </w:r>
          </w:p>
        </w:tc>
        <w:tc>
          <w:tcPr/>
          <w:p>
            <w:pPr>
              <w:pStyle w:val="Compact"/>
              <w:spacing w:before="8" w:after="8" w:line="240" w:lineRule="auto"/>
              <w:ind w:firstLine="0" w:left="0" w:right="0"/>
              <w:jc w:val="left"/>
              <w:jc w:val="center"/>
            </w:pPr>
            <w:r>
              <w:rPr>
                <w:rFonts w:ascii="Calibri" w:hAnsi="Calibri"/>
                <w:sz w:val="15"/>
              </w:rPr>
              <w:t xml:space="preserve">none</w:t>
            </w:r>
          </w:p>
        </w:tc>
      </w:tr>
      <w:tr>
        <w:trPr>
          <w:cantSplit/>
        </w:trPr>
        <w:tc>
          <w:tcPr/>
          <w:p>
            <w:pPr>
              <w:pStyle w:val="Compact"/>
              <w:spacing w:before="8" w:after="8" w:line="240" w:lineRule="auto"/>
              <w:ind w:firstLine="0" w:left="0" w:right="0"/>
              <w:jc w:val="left"/>
              <w:jc w:val="center"/>
            </w:pPr>
            <w:r>
              <w:rPr>
                <w:rFonts w:ascii="Calibri" w:hAnsi="Calibri"/>
                <w:sz w:val="15"/>
              </w:rPr>
              <w:t xml:space="preserve">DIS</w:t>
            </w:r>
          </w:p>
        </w:tc>
        <w:tc>
          <w:tcPr/>
          <w:p>
            <w:pPr>
              <w:pStyle w:val="Compact"/>
              <w:spacing w:before="8" w:after="8" w:line="240" w:lineRule="auto"/>
              <w:ind w:firstLine="0" w:left="0" w:right="0"/>
              <w:jc w:val="left"/>
              <w:jc w:val="center"/>
            </w:pPr>
            <w:r>
              <w:rPr>
                <w:rFonts w:ascii="Calibri" w:hAnsi="Calibri"/>
                <w:sz w:val="15"/>
              </w:rPr>
              <w:t xml:space="preserve">Walt Disney</w:t>
            </w:r>
          </w:p>
        </w:tc>
        <w:tc>
          <w:tcPr/>
          <w:p>
            <w:pPr>
              <w:pStyle w:val="Compact"/>
              <w:spacing w:before="8" w:after="8" w:line="240" w:lineRule="auto"/>
              <w:ind w:firstLine="0" w:left="0" w:right="0"/>
              <w:jc w:val="left"/>
              <w:jc w:val="center"/>
            </w:pPr>
            <w:r>
              <w:rPr>
                <w:rFonts w:ascii="Calibri" w:hAnsi="Calibri"/>
                <w:sz w:val="15"/>
              </w:rPr>
              <w:t xml:space="preserve">2024-02-27</w:t>
            </w:r>
          </w:p>
        </w:tc>
        <w:tc>
          <w:tcPr/>
          <w:p>
            <w:pPr>
              <w:pStyle w:val="Compact"/>
              <w:spacing w:before="8" w:after="8" w:line="240" w:lineRule="auto"/>
              <w:ind w:firstLine="0" w:left="0" w:right="0"/>
              <w:jc w:val="left"/>
              <w:jc w:val="center"/>
            </w:pPr>
            <w:r>
              <w:rPr>
                <w:rFonts w:ascii="Calibri" w:hAnsi="Calibri"/>
                <w:sz w:val="15"/>
              </w:rPr>
              <w:t xml:space="preserve">DEFA14A (Blackwells Capital)</w:t>
            </w:r>
          </w:p>
        </w:tc>
        <w:tc>
          <w:tcPr/>
          <w:p>
            <w:pPr>
              <w:pStyle w:val="Compact"/>
              <w:spacing w:before="8" w:after="8" w:line="240" w:lineRule="auto"/>
              <w:ind w:firstLine="0" w:left="0" w:right="0"/>
              <w:jc w:val="left"/>
              <w:jc w:val="center"/>
            </w:pPr>
            <w:r>
              <w:rPr>
                <w:rFonts w:ascii="Calibri" w:hAnsi="Calibri"/>
                <w:sz w:val="15"/>
              </w:rPr>
              <w:t xml:space="preserve">Support for stock-price targets in an activist’s soliciting materials premised on greater use of AI; addressed to the activist, not to Disney’s own disclosure</w:t>
            </w:r>
          </w:p>
        </w:tc>
        <w:tc>
          <w:tcPr/>
          <w:p>
            <w:pPr>
              <w:pStyle w:val="Compact"/>
              <w:spacing w:before="8" w:after="8" w:line="240" w:lineRule="auto"/>
              <w:ind w:firstLine="0" w:left="0" w:right="0"/>
              <w:jc w:val="left"/>
              <w:jc w:val="center"/>
            </w:pPr>
            <w:r>
              <w:rPr>
                <w:rFonts w:ascii="Calibri" w:hAnsi="Calibri"/>
                <w:sz w:val="15"/>
              </w:rPr>
              <w:t xml:space="preserve">none</w:t>
            </w:r>
          </w:p>
        </w:tc>
      </w:tr>
      <w:tr>
        <w:trPr>
          <w:cantSplit/>
        </w:trPr>
        <w:tc>
          <w:tcPr/>
          <w:p>
            <w:pPr>
              <w:pStyle w:val="Compact"/>
              <w:spacing w:before="8" w:after="8" w:line="240" w:lineRule="auto"/>
              <w:ind w:firstLine="0" w:left="0" w:right="0"/>
              <w:jc w:val="left"/>
              <w:jc w:val="center"/>
            </w:pPr>
            <w:r>
              <w:rPr>
                <w:rFonts w:ascii="Calibri" w:hAnsi="Calibri"/>
                <w:sz w:val="15"/>
              </w:rPr>
              <w:t xml:space="preserve">MTCH</w:t>
            </w:r>
          </w:p>
        </w:tc>
        <w:tc>
          <w:tcPr/>
          <w:p>
            <w:pPr>
              <w:pStyle w:val="Compact"/>
              <w:spacing w:before="8" w:after="8" w:line="240" w:lineRule="auto"/>
              <w:ind w:firstLine="0" w:left="0" w:right="0"/>
              <w:jc w:val="left"/>
              <w:jc w:val="center"/>
            </w:pPr>
            <w:r>
              <w:rPr>
                <w:rFonts w:ascii="Calibri" w:hAnsi="Calibri"/>
                <w:sz w:val="15"/>
              </w:rPr>
              <w:t xml:space="preserve">Match Group</w:t>
            </w:r>
          </w:p>
        </w:tc>
        <w:tc>
          <w:tcPr/>
          <w:p>
            <w:pPr>
              <w:pStyle w:val="Compact"/>
              <w:spacing w:before="8" w:after="8" w:line="240" w:lineRule="auto"/>
              <w:ind w:firstLine="0" w:left="0" w:right="0"/>
              <w:jc w:val="left"/>
              <w:jc w:val="center"/>
            </w:pPr>
            <w:r>
              <w:rPr>
                <w:rFonts w:ascii="Calibri" w:hAnsi="Calibri"/>
                <w:sz w:val="15"/>
              </w:rPr>
              <w:t xml:space="preserve">2024-04-15</w:t>
            </w:r>
          </w:p>
        </w:tc>
        <w:tc>
          <w:tcPr/>
          <w:p>
            <w:pPr>
              <w:pStyle w:val="Compact"/>
              <w:spacing w:before="8" w:after="8" w:line="240" w:lineRule="auto"/>
              <w:ind w:firstLine="0" w:left="0" w:right="0"/>
              <w:jc w:val="left"/>
              <w:jc w:val="center"/>
            </w:pPr>
            <w:r>
              <w:rPr>
                <w:rFonts w:ascii="Calibri" w:hAnsi="Calibri"/>
                <w:sz w:val="15"/>
              </w:rPr>
              <w:t xml:space="preserve">10-K FY2023</w:t>
            </w:r>
          </w:p>
        </w:tc>
        <w:tc>
          <w:tcPr/>
          <w:p>
            <w:pPr>
              <w:pStyle w:val="Compact"/>
              <w:spacing w:before="8" w:after="8" w:line="240" w:lineRule="auto"/>
              <w:ind w:firstLine="0" w:left="0" w:right="0"/>
              <w:jc w:val="left"/>
              <w:jc w:val="center"/>
            </w:pPr>
            <w:r>
              <w:rPr>
                <w:rFonts w:ascii="Calibri" w:hAnsi="Calibri"/>
                <w:sz w:val="15"/>
              </w:rPr>
              <w:t xml:space="preserve">Board and management oversight of AI and user safety (outside the analysis universe; not re-verified)</w:t>
            </w:r>
          </w:p>
        </w:tc>
        <w:tc>
          <w:tcPr/>
          <w:p>
            <w:pPr>
              <w:pStyle w:val="Compact"/>
              <w:spacing w:before="8" w:after="8" w:line="240" w:lineRule="auto"/>
              <w:ind w:firstLine="0" w:left="0" w:right="0"/>
              <w:jc w:val="left"/>
              <w:jc w:val="center"/>
            </w:pPr>
            <w:r>
              <w:rPr>
                <w:rFonts w:ascii="Calibri" w:hAnsi="Calibri"/>
                <w:sz w:val="15"/>
              </w:rPr>
              <w:t xml:space="preserve">outside universe</w:t>
            </w:r>
          </w:p>
        </w:tc>
      </w:tr>
      <w:tr>
        <w:trPr>
          <w:cantSplit/>
        </w:trPr>
        <w:tc>
          <w:tcPr/>
          <w:p>
            <w:pPr>
              <w:pStyle w:val="Compact"/>
              <w:spacing w:before="8" w:after="8" w:line="240" w:lineRule="auto"/>
              <w:ind w:firstLine="0" w:left="0" w:right="0"/>
              <w:jc w:val="left"/>
              <w:jc w:val="center"/>
            </w:pPr>
            <w:r>
              <w:rPr>
                <w:rFonts w:ascii="Calibri" w:hAnsi="Calibri"/>
                <w:sz w:val="15"/>
              </w:rPr>
              <w:t xml:space="preserve">ANET</w:t>
            </w:r>
          </w:p>
        </w:tc>
        <w:tc>
          <w:tcPr/>
          <w:p>
            <w:pPr>
              <w:pStyle w:val="Compact"/>
              <w:spacing w:before="8" w:after="8" w:line="240" w:lineRule="auto"/>
              <w:ind w:firstLine="0" w:left="0" w:right="0"/>
              <w:jc w:val="left"/>
              <w:jc w:val="center"/>
            </w:pPr>
            <w:r>
              <w:rPr>
                <w:rFonts w:ascii="Calibri" w:hAnsi="Calibri"/>
                <w:sz w:val="15"/>
              </w:rPr>
              <w:t xml:space="preserve">Arista Networks</w:t>
            </w:r>
          </w:p>
        </w:tc>
        <w:tc>
          <w:tcPr/>
          <w:p>
            <w:pPr>
              <w:pStyle w:val="Compact"/>
              <w:spacing w:before="8" w:after="8" w:line="240" w:lineRule="auto"/>
              <w:ind w:firstLine="0" w:left="0" w:right="0"/>
              <w:jc w:val="left"/>
              <w:jc w:val="center"/>
            </w:pPr>
            <w:r>
              <w:rPr>
                <w:rFonts w:ascii="Calibri" w:hAnsi="Calibri"/>
                <w:sz w:val="15"/>
              </w:rPr>
              <w:t xml:space="preserve">2024-07-25</w:t>
            </w:r>
          </w:p>
        </w:tc>
        <w:tc>
          <w:tcPr/>
          <w:p>
            <w:pPr>
              <w:pStyle w:val="Compact"/>
              <w:spacing w:before="8" w:after="8" w:line="240" w:lineRule="auto"/>
              <w:ind w:firstLine="0" w:left="0" w:right="0"/>
              <w:jc w:val="left"/>
              <w:jc w:val="center"/>
            </w:pPr>
            <w:r>
              <w:rPr>
                <w:rFonts w:ascii="Calibri" w:hAnsi="Calibri"/>
                <w:sz w:val="15"/>
              </w:rPr>
              <w:t xml:space="preserve">10-K FY2023</w:t>
            </w:r>
          </w:p>
        </w:tc>
        <w:tc>
          <w:tcPr/>
          <w:p>
            <w:pPr>
              <w:pStyle w:val="Compact"/>
              <w:spacing w:before="8" w:after="8" w:line="240" w:lineRule="auto"/>
              <w:ind w:firstLine="0" w:left="0" w:right="0"/>
              <w:jc w:val="left"/>
              <w:jc w:val="center"/>
            </w:pPr>
            <w:r>
              <w:rPr>
                <w:rFonts w:ascii="Calibri" w:hAnsi="Calibri"/>
                <w:sz w:val="15"/>
              </w:rPr>
              <w:t xml:space="preserve">Key business metrics, gross-margin quantification, receivables; segment reporting, resolved (2024-10-16) by requiring revenue disclosure by customer sector including</w:t>
            </w:r>
            <w:r>
              <w:rPr>
                <w:rFonts w:ascii="Calibri" w:hAnsi="Calibri"/>
                <w:sz w:val="15"/>
              </w:rPr>
              <w:t xml:space="preserve"> </w:t>
            </w:r>
            <w:r>
              <w:rPr>
                <w:rFonts w:ascii="Calibri" w:hAnsi="Calibri"/>
                <w:sz w:val="15"/>
              </w:rPr>
              <w:t xml:space="preserve">‘Cloud and AI Titans’</w:t>
            </w:r>
          </w:p>
        </w:tc>
        <w:tc>
          <w:tcPr/>
          <w:p>
            <w:pPr>
              <w:pStyle w:val="Compact"/>
              <w:spacing w:before="8" w:after="8" w:line="240" w:lineRule="auto"/>
              <w:ind w:firstLine="0" w:left="0" w:right="0"/>
              <w:jc w:val="left"/>
              <w:jc w:val="center"/>
            </w:pPr>
            <w:r>
              <w:rPr>
                <w:rFonts w:ascii="Calibri" w:hAnsi="Calibri"/>
                <w:sz w:val="15"/>
              </w:rPr>
              <w:t xml:space="preserve">adjacent</w:t>
            </w:r>
          </w:p>
        </w:tc>
      </w:tr>
      <w:tr>
        <w:trPr>
          <w:cantSplit/>
        </w:trPr>
        <w:tc>
          <w:tcPr/>
          <w:p>
            <w:pPr>
              <w:pStyle w:val="Compact"/>
              <w:spacing w:before="8" w:after="8" w:line="240" w:lineRule="auto"/>
              <w:ind w:firstLine="0" w:left="0" w:right="0"/>
              <w:jc w:val="left"/>
              <w:jc w:val="center"/>
            </w:pPr>
            <w:r>
              <w:rPr>
                <w:rFonts w:ascii="Calibri" w:hAnsi="Calibri"/>
                <w:sz w:val="15"/>
              </w:rPr>
              <w:t xml:space="preserve">IRM</w:t>
            </w:r>
          </w:p>
        </w:tc>
        <w:tc>
          <w:tcPr/>
          <w:p>
            <w:pPr>
              <w:pStyle w:val="Compact"/>
              <w:spacing w:before="8" w:after="8" w:line="240" w:lineRule="auto"/>
              <w:ind w:firstLine="0" w:left="0" w:right="0"/>
              <w:jc w:val="left"/>
              <w:jc w:val="center"/>
            </w:pPr>
            <w:r>
              <w:rPr>
                <w:rFonts w:ascii="Calibri" w:hAnsi="Calibri"/>
                <w:sz w:val="15"/>
              </w:rPr>
              <w:t xml:space="preserve">Iron Mountain</w:t>
            </w:r>
          </w:p>
        </w:tc>
        <w:tc>
          <w:tcPr/>
          <w:p>
            <w:pPr>
              <w:pStyle w:val="Compact"/>
              <w:spacing w:before="8" w:after="8" w:line="240" w:lineRule="auto"/>
              <w:ind w:firstLine="0" w:left="0" w:right="0"/>
              <w:jc w:val="left"/>
              <w:jc w:val="center"/>
            </w:pPr>
            <w:r>
              <w:rPr>
                <w:rFonts w:ascii="Calibri" w:hAnsi="Calibri"/>
                <w:sz w:val="15"/>
              </w:rPr>
              <w:t xml:space="preserve">2025-03-25</w:t>
            </w:r>
          </w:p>
        </w:tc>
        <w:tc>
          <w:tcPr/>
          <w:p>
            <w:pPr>
              <w:pStyle w:val="Compact"/>
              <w:spacing w:before="8" w:after="8" w:line="240" w:lineRule="auto"/>
              <w:ind w:firstLine="0" w:left="0" w:right="0"/>
              <w:jc w:val="left"/>
              <w:jc w:val="center"/>
            </w:pPr>
            <w:r>
              <w:rPr>
                <w:rFonts w:ascii="Calibri" w:hAnsi="Calibri"/>
                <w:sz w:val="15"/>
              </w:rPr>
              <w:t xml:space="preserve">10-K FY2024</w:t>
            </w:r>
          </w:p>
        </w:tc>
        <w:tc>
          <w:tcPr/>
          <w:p>
            <w:pPr>
              <w:pStyle w:val="Compact"/>
              <w:spacing w:before="8" w:after="8" w:line="240" w:lineRule="auto"/>
              <w:ind w:firstLine="0" w:left="0" w:right="0"/>
              <w:jc w:val="left"/>
              <w:jc w:val="center"/>
            </w:pPr>
            <w:r>
              <w:rPr>
                <w:rFonts w:ascii="Calibri" w:hAnsi="Calibri"/>
                <w:sz w:val="15"/>
              </w:rPr>
              <w:t xml:space="preserve">Segment expense disclosure under ASC 280 (Adjusted EBITDA, other reportable segment expenses)</w:t>
            </w:r>
          </w:p>
        </w:tc>
        <w:tc>
          <w:tcPr/>
          <w:p>
            <w:pPr>
              <w:pStyle w:val="Compact"/>
              <w:spacing w:before="8" w:after="8" w:line="240" w:lineRule="auto"/>
              <w:ind w:firstLine="0" w:left="0" w:right="0"/>
              <w:jc w:val="left"/>
              <w:jc w:val="center"/>
            </w:pPr>
            <w:r>
              <w:rPr>
                <w:rFonts w:ascii="Calibri" w:hAnsi="Calibri"/>
                <w:sz w:val="15"/>
              </w:rPr>
              <w:t xml:space="preserve">none</w:t>
            </w:r>
          </w:p>
        </w:tc>
      </w:tr>
      <w:tr>
        <w:trPr>
          <w:cantSplit/>
        </w:trPr>
        <w:tc>
          <w:tcPr/>
          <w:p>
            <w:pPr>
              <w:pStyle w:val="Compact"/>
              <w:spacing w:before="8" w:after="8" w:line="240" w:lineRule="auto"/>
              <w:ind w:firstLine="0" w:left="0" w:right="0"/>
              <w:jc w:val="left"/>
              <w:jc w:val="center"/>
            </w:pPr>
            <w:r>
              <w:rPr>
                <w:rFonts w:ascii="Calibri" w:hAnsi="Calibri"/>
                <w:sz w:val="15"/>
              </w:rPr>
              <w:t xml:space="preserve">WELL</w:t>
            </w:r>
          </w:p>
        </w:tc>
        <w:tc>
          <w:tcPr/>
          <w:p>
            <w:pPr>
              <w:pStyle w:val="Compact"/>
              <w:spacing w:before="8" w:after="8" w:line="240" w:lineRule="auto"/>
              <w:ind w:firstLine="0" w:left="0" w:right="0"/>
              <w:jc w:val="left"/>
              <w:jc w:val="center"/>
            </w:pPr>
            <w:r>
              <w:rPr>
                <w:rFonts w:ascii="Calibri" w:hAnsi="Calibri"/>
                <w:sz w:val="15"/>
              </w:rPr>
              <w:t xml:space="preserve">Welltower</w:t>
            </w:r>
          </w:p>
        </w:tc>
        <w:tc>
          <w:tcPr/>
          <w:p>
            <w:pPr>
              <w:pStyle w:val="Compact"/>
              <w:spacing w:before="8" w:after="8" w:line="240" w:lineRule="auto"/>
              <w:ind w:firstLine="0" w:left="0" w:right="0"/>
              <w:jc w:val="left"/>
              <w:jc w:val="center"/>
            </w:pPr>
            <w:r>
              <w:rPr>
                <w:rFonts w:ascii="Calibri" w:hAnsi="Calibri"/>
                <w:sz w:val="15"/>
              </w:rPr>
              <w:t xml:space="preserve">2025-04-28</w:t>
            </w:r>
          </w:p>
        </w:tc>
        <w:tc>
          <w:tcPr/>
          <w:p>
            <w:pPr>
              <w:pStyle w:val="Compact"/>
              <w:spacing w:before="8" w:after="8" w:line="240" w:lineRule="auto"/>
              <w:ind w:firstLine="0" w:left="0" w:right="0"/>
              <w:jc w:val="left"/>
              <w:jc w:val="center"/>
            </w:pPr>
            <w:r>
              <w:rPr>
                <w:rFonts w:ascii="Calibri" w:hAnsi="Calibri"/>
                <w:sz w:val="15"/>
              </w:rPr>
              <w:t xml:space="preserve">10-K FY2024</w:t>
            </w:r>
          </w:p>
        </w:tc>
        <w:tc>
          <w:tcPr/>
          <w:p>
            <w:pPr>
              <w:pStyle w:val="Compact"/>
              <w:spacing w:before="8" w:after="8" w:line="240" w:lineRule="auto"/>
              <w:ind w:firstLine="0" w:left="0" w:right="0"/>
              <w:jc w:val="left"/>
              <w:jc w:val="center"/>
            </w:pPr>
            <w:r>
              <w:rPr>
                <w:rFonts w:ascii="Calibri" w:hAnsi="Calibri"/>
                <w:sz w:val="15"/>
              </w:rPr>
              <w:t xml:space="preserve">Requests discussion of the data science platform and the status of AI-integration efforts, contrasting the 10-K statement with the</w:t>
            </w:r>
            <w:r>
              <w:rPr>
                <w:rFonts w:ascii="Calibri" w:hAnsi="Calibri"/>
                <w:sz w:val="15"/>
              </w:rPr>
              <w:t xml:space="preserve"> </w:t>
            </w:r>
            <w:r>
              <w:rPr>
                <w:rFonts w:ascii="Calibri" w:hAnsi="Calibri"/>
                <w:sz w:val="15"/>
              </w:rPr>
              <w:t xml:space="preserve">‘industry-leading’</w:t>
            </w:r>
            <w:r>
              <w:rPr>
                <w:rFonts w:ascii="Calibri" w:hAnsi="Calibri"/>
                <w:sz w:val="15"/>
              </w:rPr>
              <w:t xml:space="preserve"> </w:t>
            </w:r>
            <w:r>
              <w:rPr>
                <w:rFonts w:ascii="Calibri" w:hAnsi="Calibri"/>
                <w:sz w:val="15"/>
              </w:rPr>
              <w:t xml:space="preserve">platform claimed on the Q4 2024 call and in a press release</w:t>
            </w:r>
          </w:p>
        </w:tc>
        <w:tc>
          <w:tcPr/>
          <w:p>
            <w:pPr>
              <w:pStyle w:val="Compact"/>
              <w:spacing w:before="8" w:after="8" w:line="240" w:lineRule="auto"/>
              <w:ind w:firstLine="0" w:left="0" w:right="0"/>
              <w:jc w:val="left"/>
              <w:jc w:val="center"/>
            </w:pPr>
            <w:r>
              <w:rPr>
                <w:rFonts w:ascii="Calibri" w:hAnsi="Calibri"/>
                <w:sz w:val="15"/>
              </w:rPr>
              <w:t xml:space="preserve">direct</w:t>
            </w:r>
          </w:p>
        </w:tc>
      </w:tr>
    </w:tbl>
    <w:bookmarkEnd w:id="220"/>
    <w:p>
      <w:pPr>
        <w:pStyle w:val="FigureNote"/>
        <w:ind w:firstLine="0" w:left="0" w:right="0"/>
        <w:spacing w:before="0" w:after="120"/>
      </w:pPr>
      <w:r>
        <w:rPr>
          <w:i/>
          <w:iCs/>
        </w:rPr>
        <w:t xml:space="preserve">Notes:</w:t>
      </w:r>
      <w:r>
        <w:t xml:space="preserve"> </w:t>
      </w:r>
      <w:r>
        <w:t xml:space="preserve">Reports what each letter asks and its AI-disclosure relevance.</w:t>
      </w:r>
      <w:r>
        <w:t xml:space="preserve"> </w:t>
      </w:r>
      <w:r>
        <w:t xml:space="preserve">“Direct”</w:t>
      </w:r>
      <w:r>
        <w:t xml:space="preserve"> </w:t>
      </w:r>
      <w:r>
        <w:t xml:space="preserve">means the comment questions the issuer’s own AI claims;</w:t>
      </w:r>
      <w:r>
        <w:t xml:space="preserve"> </w:t>
      </w:r>
      <w:r>
        <w:t xml:space="preserve">“adjacent”</w:t>
      </w:r>
      <w:r>
        <w:t xml:space="preserve"> </w:t>
      </w:r>
      <w:r>
        <w:t xml:space="preserve">requires AI revenue disaggregation without questioning claims;</w:t>
      </w:r>
      <w:r>
        <w:t xml:space="preserve"> </w:t>
      </w:r>
      <w:r>
        <w:t xml:space="preserve">“incidental”</w:t>
      </w:r>
      <w:r>
        <w:t xml:space="preserve"> </w:t>
      </w:r>
      <w:r>
        <w:t xml:space="preserve">means AI is cited only as evidence for another subject;</w:t>
      </w:r>
      <w:r>
        <w:t xml:space="preserve"> </w:t>
      </w:r>
      <w:r>
        <w:t xml:space="preserve">“none”</w:t>
      </w:r>
      <w:r>
        <w:t xml:space="preserve"> </w:t>
      </w:r>
      <w:r>
        <w:t xml:space="preserve">means the match was unrelated. Accession numbers: META 0000000000-22-012584, HPE 0000000000-23-003991, NVDA 0000000000-23-006470, AMD 0000000000-23-009979, DIS 0000000000-24-002194, ANET 0000000000-24-008424, IRM 0000000000-25-003212, WELL 0000000000-25-004473.</w:t>
      </w:r>
    </w:p>
    <w:bookmarkEnd w:id="221"/>
    <w:bookmarkStart w:id="224" w:name="appendix-d2"/>
    <w:p>
      <w:pPr>
        <w:pStyle w:val="Ttulo3"/>
      </w:pPr>
      <w:r>
        <w:t xml:space="preserve">D.2 Matched-peer comparison for the direct and adjacent cases</w:t>
      </w:r>
    </w:p>
    <w:p>
      <w:pPr>
        <w:pStyle w:val="FirstParagraph"/>
      </w:pPr>
      <w:r>
        <w:t xml:space="preserve">For each case, annual reports are indexed in event time</w:t>
      </w:r>
      <w:r>
        <w:t xml:space="preserve"> </w:t>
      </w:r>
      <m:oMath>
        <m:r>
          <w:rPr>
            <w:sz w:val="22"/>
          </w:rPr>
          <m:t>k</m:t>
        </m:r>
      </m:oMath>
      <w:r>
        <w:t xml:space="preserve">, where</w:t>
      </w:r>
      <w:r>
        <w:t xml:space="preserve"> </w:t>
      </w:r>
      <m:oMath>
        <m:r>
          <w:rPr>
            <w:sz w:val="22"/>
          </w:rPr>
          <m:t>k</m:t>
        </m:r>
        <m:r>
          <m:rPr>
            <m:sty m:val="p"/>
          </m:rPr>
          <w:rPr>
            <w:sz w:val="22"/>
          </w:rPr>
          <m:t>=</m:t>
        </m:r>
        <m:r>
          <w:rPr>
            <w:sz w:val="22"/>
          </w:rPr>
          <m:t>0</m:t>
        </m:r>
      </m:oMath>
      <w:r>
        <w:t xml:space="preserve"> </w:t>
      </w:r>
      <w:r>
        <w:t xml:space="preserve">denotes the first Form 10-K filed post-letter and</w:t>
      </w:r>
      <w:r>
        <w:t xml:space="preserve"> </w:t>
      </w:r>
      <m:oMath>
        <m:r>
          <w:rPr>
            <w:sz w:val="22"/>
          </w:rPr>
          <m:t>k</m:t>
        </m:r>
        <m:r>
          <m:rPr>
            <m:sty m:val="p"/>
          </m:rPr>
          <w:rPr>
            <w:sz w:val="22"/>
          </w:rPr>
          <m:t>=</m:t>
        </m:r>
        <m:r>
          <m:rPr>
            <m:sty m:val="p"/>
          </m:rPr>
          <w:rPr>
            <w:sz w:val="22"/>
          </w:rPr>
          <m:t>−</m:t>
        </m:r>
        <m:r>
          <w:rPr>
            <w:sz w:val="22"/>
          </w:rPr>
          <m:t>1</m:t>
        </m:r>
      </m:oMath>
      <w:r>
        <w:t xml:space="preserve"> </w:t>
      </w:r>
      <w:r>
        <w:t xml:space="preserve">the final pre-letter filing. Three control peers within the same two-digit SIC industry are selected via Mahalanobis nearest-neighbour matching on pre-letter log market capitalization, AI claim density, promotional density, and pre-letter claim trend (</w:t>
      </w:r>
      <m:oMath>
        <m:r>
          <w:rPr>
            <w:sz w:val="22"/>
          </w:rPr>
          <m:t>Δ</m:t>
        </m:r>
        <m:sSub>
          <m:e>
            <m:r>
              <w:rPr>
                <w:sz w:val="22"/>
              </w:rPr>
              <m:t>k</m:t>
            </m:r>
          </m:e>
          <m:sub>
            <m:r>
              <m:rPr>
                <m:sty m:val="p"/>
              </m:rPr>
              <w:rPr>
                <w:sz w:val="22"/>
              </w:rPr>
              <m:t>−</m:t>
            </m:r>
            <m:r>
              <w:rPr>
                <w:sz w:val="22"/>
              </w:rPr>
              <m:t>2</m:t>
            </m:r>
            <m:r>
              <m:rPr>
                <m:sty m:val="p"/>
              </m:rPr>
              <w:rPr>
                <w:sz w:val="22"/>
              </w:rPr>
              <m:t>→</m:t>
            </m:r>
            <m:r>
              <m:rPr>
                <m:sty m:val="p"/>
              </m:rPr>
              <w:rPr>
                <w:sz w:val="22"/>
              </w:rPr>
              <m:t>−</m:t>
            </m:r>
            <m:r>
              <w:rPr>
                <w:sz w:val="22"/>
              </w:rPr>
              <m:t>1</m:t>
            </m:r>
          </m:sub>
        </m:sSub>
      </m:oMath>
      <w:r>
        <w:t xml:space="preserve">). Control 10-Ks are aligned by filing year. With one direct and one adjacent case,</w:t>
      </w:r>
      <w:r>
        <w:t xml:space="preserve"> </w:t>
      </w:r>
      <w:hyperlink w:anchor="tbl-g2-sec-cases">
        <w:r>
          <w:rPr>
            <w:rStyle w:val="Hipervnculo"/>
          </w:rPr>
          <w:t xml:space="preserve">Table 49</w:t>
        </w:r>
      </w:hyperlink>
      <w:r>
        <w:t xml:space="preserve"> </w:t>
      </w:r>
      <w:r>
        <w:t xml:space="preserve">reports raw case comparisons without regression estimation.</w:t>
      </w:r>
    </w:p>
    <w:bookmarkStart w:id="225" w:name="tbl-g2-sec-cases"/>
    <w:p>
      <w:pPr>
        <w:keepNext/>
        <w:pStyle w:val="ImageCaption"/>
        <w:jc w:val="left"/>
        <w:spacing w:before="200"/>
        <w:ind w:firstLine="0" w:left="0" w:right="0"/>
      </w:pPr>
      <w:r>
        <w:t xml:space="preserve">Table 49:</w:t>
      </w:r>
      <w:r>
        <w:t xml:space="preserve"> </w:t>
      </w:r>
      <w:r>
        <w:rPr>
          <w:rStyle w:val="CaptionText"/>
        </w:rPr>
        <w:t xml:space="preserve">Annual-report AI disclosure measures around the SEC letter: treated firm versus the mean of three matched industry peers.</w:t>
      </w:r>
    </w:p>
    <w:tbl>
      <w:tblPr>
        <w:tblStyle w:val="Table"/>
        <w:tblW w:type="auto" w:w="0"/>
        <w:jc w:val="center"/>
        <w:tblLook w:firstRow="1" w:lastRow="0" w:firstColumn="0" w:lastColumn="0" w:noHBand="0" w:noVBand="0" w:val="0020"/>
        <w:tblBorders>
          <w:top w:val="single" w:sz="8" w:space="0" w:color="0F172A"/>
          <w:bottom w:val="single" w:sz="8" w:space="0" w:color="0F172A"/>
          <w:left w:val="none"/>
          <w:right w:val="none"/>
          <w:insideH w:val="single" w:sz="4" w:space="0" w:color="E2E8F0"/>
          <w:insideV w:val="none"/>
        </w:tblBorders>
        <w:tblCellMar>
          <w:top w:w="22" w:type="dxa"/>
          <w:bottom w:w="22" w:type="dxa"/>
          <w:left w:w="40" w:type="dxa"/>
          <w:right w:w="40" w:type="dxa"/>
        </w:tblCellMar>
      </w:tblPr>
      <w:tblGrid>
        <w:gridCol w:w="1320"/>
        <w:gridCol w:w="1320"/>
        <w:gridCol w:w="1320"/>
        <w:gridCol w:w="1320"/>
        <w:gridCol w:w="1320"/>
        <w:gridCol w:w="1320"/>
      </w:tblGrid>
      <w:tr>
        <w:trPr>
          <w:tblHeader w:val="on"/>
          <w:cantSplit/>
          <w:tblHeader/>
        </w:trPr>
        <w:tc>
          <w:tcPr>
            <w:shd w:fill="F1F5F9"/>
            <w:tcBorders>
              <w:bottom w:val="single" w:sz="8" w:space="0" w:color="475569"/>
            </w:tcBorders>
          </w:tcPr>
          <w:p>
            <w:pPr>
              <w:pStyle w:val="Compact"/>
              <w:spacing w:before="8" w:after="8" w:line="240" w:lineRule="auto"/>
              <w:ind w:firstLine="0" w:left="0" w:right="0"/>
              <w:jc w:val="left"/>
              <w:jc w:val="center"/>
            </w:pPr>
            <w:r>
              <w:rPr>
                <w:rFonts w:ascii="Calibri" w:hAnsi="Calibri"/>
                <w:b/>
                <w:color w:val="0F172A"/>
                <w:sz w:val="15"/>
              </w:rPr>
              <w:t xml:space="preserve">Case</w:t>
            </w:r>
          </w:p>
        </w:tc>
        <w:tc>
          <w:tcPr>
            <w:shd w:fill="F1F5F9"/>
            <w:tcBorders>
              <w:bottom w:val="single" w:sz="8" w:space="0" w:color="475569"/>
            </w:tcBorders>
          </w:tcPr>
          <w:p>
            <w:pPr>
              <w:pStyle w:val="Compact"/>
              <w:spacing w:before="8" w:after="8" w:line="240" w:lineRule="auto"/>
              <w:ind w:firstLine="0" w:left="0" w:right="0"/>
              <w:jc w:val="left"/>
              <w:jc w:val="center"/>
            </w:pPr>
            <w:r>
              <w:rPr>
                <w:rFonts w:ascii="Calibri" w:hAnsi="Calibri"/>
                <w:b/>
                <w:color w:val="0F172A"/>
                <w:sz w:val="15"/>
              </w:rPr>
              <w:t xml:space="preserve">Measure (treated / peers)</w:t>
            </w:r>
          </w:p>
        </w:tc>
        <w:tc>
          <w:tcPr>
            <w:shd w:fill="F1F5F9"/>
            <w:tcBorders>
              <w:bottom w:val="single" w:sz="8" w:space="0" w:color="475569"/>
            </w:tcBorders>
          </w:tcPr>
          <w:p>
            <w:pPr>
              <w:pStyle w:val="Compact"/>
              <w:spacing w:before="8" w:after="8" w:line="240" w:lineRule="auto"/>
              <w:ind w:firstLine="0" w:left="0" w:right="0"/>
              <w:jc w:val="left"/>
              <w:jc w:val="center"/>
            </w:pPr>
            <w:r>
              <w:rPr>
                <w:rFonts w:ascii="Calibri" w:hAnsi="Calibri"/>
                <w:b/>
                <w:color w:val="0F172A"/>
                <w:sz w:val="15"/>
              </w:rPr>
              <w:t xml:space="preserve">k = -2</w:t>
            </w:r>
          </w:p>
        </w:tc>
        <w:tc>
          <w:tcPr>
            <w:shd w:fill="F1F5F9"/>
            <w:tcBorders>
              <w:bottom w:val="single" w:sz="8" w:space="0" w:color="475569"/>
            </w:tcBorders>
          </w:tcPr>
          <w:p>
            <w:pPr>
              <w:pStyle w:val="Compact"/>
              <w:spacing w:before="8" w:after="8" w:line="240" w:lineRule="auto"/>
              <w:ind w:firstLine="0" w:left="0" w:right="0"/>
              <w:jc w:val="left"/>
              <w:jc w:val="center"/>
            </w:pPr>
            <w:r>
              <w:rPr>
                <w:rFonts w:ascii="Calibri" w:hAnsi="Calibri"/>
                <w:b/>
                <w:color w:val="0F172A"/>
                <w:sz w:val="15"/>
              </w:rPr>
              <w:t xml:space="preserve">k = -1</w:t>
            </w:r>
          </w:p>
        </w:tc>
        <w:tc>
          <w:tcPr>
            <w:shd w:fill="F1F5F9"/>
            <w:tcBorders>
              <w:bottom w:val="single" w:sz="8" w:space="0" w:color="475569"/>
            </w:tcBorders>
          </w:tcPr>
          <w:p>
            <w:pPr>
              <w:pStyle w:val="Compact"/>
              <w:spacing w:before="8" w:after="8" w:line="240" w:lineRule="auto"/>
              <w:ind w:firstLine="0" w:left="0" w:right="0"/>
              <w:jc w:val="left"/>
              <w:jc w:val="center"/>
            </w:pPr>
            <w:r>
              <w:rPr>
                <w:rFonts w:ascii="Calibri" w:hAnsi="Calibri"/>
                <w:b/>
                <w:color w:val="0F172A"/>
                <w:sz w:val="15"/>
              </w:rPr>
              <w:t xml:space="preserve">k = 0</w:t>
            </w:r>
          </w:p>
        </w:tc>
        <w:tc>
          <w:tcPr>
            <w:shd w:fill="F1F5F9"/>
            <w:tcBorders>
              <w:bottom w:val="single" w:sz="8" w:space="0" w:color="475569"/>
            </w:tcBorders>
          </w:tcPr>
          <w:p>
            <w:pPr>
              <w:pStyle w:val="Compact"/>
              <w:spacing w:before="8" w:after="8" w:line="240" w:lineRule="auto"/>
              <w:ind w:firstLine="0" w:left="0" w:right="0"/>
              <w:jc w:val="left"/>
              <w:jc w:val="center"/>
            </w:pPr>
            <w:r>
              <w:rPr>
                <w:rFonts w:ascii="Calibri" w:hAnsi="Calibri"/>
                <w:b/>
                <w:color w:val="0F172A"/>
                <w:sz w:val="15"/>
              </w:rPr>
              <w:t xml:space="preserve">k = +1</w:t>
            </w:r>
          </w:p>
        </w:tc>
      </w:tr>
      <w:tr>
        <w:trPr>
          <w:cantSplit/>
        </w:trPr>
        <w:tc>
          <w:tcPr/>
          <w:p>
            <w:pPr>
              <w:pStyle w:val="Compact"/>
              <w:spacing w:before="8" w:after="8" w:line="240" w:lineRule="auto"/>
              <w:ind w:firstLine="0" w:left="0" w:right="0"/>
              <w:jc w:val="left"/>
              <w:jc w:val="center"/>
            </w:pPr>
            <w:r>
              <w:rPr>
                <w:rFonts w:ascii="Calibri" w:hAnsi="Calibri"/>
                <w:b/>
                <w:bCs/>
                <w:sz w:val="15"/>
              </w:rPr>
              <w:t xml:space="preserve">ANET</w:t>
            </w:r>
          </w:p>
        </w:tc>
        <w:tc>
          <w:tcPr/>
          <w:p>
            <w:pPr>
              <w:pStyle w:val="Compact"/>
              <w:spacing w:before="8" w:after="8" w:line="240" w:lineRule="auto"/>
              <w:ind w:firstLine="0" w:left="0" w:right="0"/>
              <w:jc w:val="left"/>
              <w:jc w:val="center"/>
            </w:pPr>
            <w:r>
              <w:rPr>
                <w:rFonts w:ascii="Calibri" w:hAnsi="Calibri"/>
                <w:sz w:val="15"/>
              </w:rPr>
              <w:t xml:space="preserve">Filing year of the 10-K</w:t>
            </w:r>
          </w:p>
        </w:tc>
        <w:tc>
          <w:tcPr/>
          <w:p>
            <w:pPr>
              <w:pStyle w:val="Compact"/>
              <w:spacing w:before="8" w:after="8" w:line="240" w:lineRule="auto"/>
              <w:ind w:firstLine="0" w:left="0" w:right="0"/>
              <w:jc w:val="right"/>
              <w:jc w:val="center"/>
            </w:pPr>
            <w:r>
              <w:rPr>
                <w:rFonts w:ascii="Calibri" w:hAnsi="Calibri"/>
                <w:sz w:val="15"/>
              </w:rPr>
              <w:t xml:space="preserve">2023</w:t>
            </w:r>
          </w:p>
        </w:tc>
        <w:tc>
          <w:tcPr/>
          <w:p>
            <w:pPr>
              <w:pStyle w:val="Compact"/>
              <w:spacing w:before="8" w:after="8" w:line="240" w:lineRule="auto"/>
              <w:ind w:firstLine="0" w:left="0" w:right="0"/>
              <w:jc w:val="right"/>
              <w:jc w:val="center"/>
            </w:pPr>
            <w:r>
              <w:rPr>
                <w:rFonts w:ascii="Calibri" w:hAnsi="Calibri"/>
                <w:sz w:val="15"/>
              </w:rPr>
              <w:t xml:space="preserve">2024</w:t>
            </w:r>
          </w:p>
        </w:tc>
        <w:tc>
          <w:tcPr/>
          <w:p>
            <w:pPr>
              <w:pStyle w:val="Compact"/>
              <w:spacing w:before="8" w:after="8" w:line="240" w:lineRule="auto"/>
              <w:ind w:firstLine="0" w:left="0" w:right="0"/>
              <w:jc w:val="right"/>
              <w:jc w:val="center"/>
            </w:pPr>
            <w:r>
              <w:rPr>
                <w:rFonts w:ascii="Calibri" w:hAnsi="Calibri"/>
                <w:sz w:val="15"/>
              </w:rPr>
              <w:t xml:space="preserve">2025</w:t>
            </w:r>
          </w:p>
        </w:tc>
        <w:tc>
          <w:tcPr/>
          <w:p>
            <w:pPr>
              <w:pStyle w:val="Compact"/>
              <w:spacing w:before="8" w:after="8" w:line="240" w:lineRule="auto"/>
              <w:ind w:firstLine="0" w:left="0" w:right="0"/>
              <w:jc w:val="right"/>
              <w:jc w:val="center"/>
            </w:pPr>
            <w:r>
              <w:rPr>
                <w:rFonts w:ascii="Calibri" w:hAnsi="Calibri"/>
                <w:sz w:val="15"/>
              </w:rPr>
              <w:t xml:space="preserve">2026</w:t>
            </w:r>
          </w:p>
        </w:tc>
      </w:tr>
      <w:tr>
        <w:trPr>
          <w:cantSplit/>
        </w:trPr>
        <w:tc>
          <w:tcPr/>
          <w:p>
            <w:pPr>
              <w:pStyle w:val="Compact"/>
              <w:spacing w:before="8" w:after="8" w:line="240" w:lineRule="auto"/>
              <w:ind w:firstLine="0" w:left="0" w:right="0"/>
              <w:jc w:val="left"/>
              <w:jc w:val="center"/>
            </w:pPr>
            <w:r>
              <w:rPr>
                <w:rFonts w:ascii="Calibri" w:hAnsi="Calibri"/>
                <w:sz w:val="15"/>
              </w:rPr>
              <w:t xml:space="preserve">ANET</w:t>
            </w:r>
          </w:p>
        </w:tc>
        <w:tc>
          <w:tcPr/>
          <w:p>
            <w:pPr>
              <w:pStyle w:val="Compact"/>
              <w:spacing w:before="8" w:after="8" w:line="240" w:lineRule="auto"/>
              <w:ind w:firstLine="0" w:left="0" w:right="0"/>
              <w:jc w:val="left"/>
              <w:jc w:val="center"/>
            </w:pPr>
            <w:r>
              <w:rPr>
                <w:rFonts w:ascii="Calibri" w:hAnsi="Calibri"/>
                <w:sz w:val="15"/>
              </w:rPr>
              <w:t xml:space="preserve">AI claim density (per 1k words)</w:t>
            </w:r>
          </w:p>
        </w:tc>
        <w:tc>
          <w:tcPr/>
          <w:p>
            <w:pPr>
              <w:pStyle w:val="Compact"/>
              <w:spacing w:before="8" w:after="8" w:line="240" w:lineRule="auto"/>
              <w:ind w:firstLine="0" w:left="0" w:right="0"/>
              <w:jc w:val="left"/>
              <w:jc w:val="center"/>
            </w:pPr>
            <w:r>
              <w:rPr>
                <w:rFonts w:ascii="Calibri" w:hAnsi="Calibri"/>
                <w:sz w:val="15"/>
              </w:rPr>
              <w:t xml:space="preserve">0.284 / 0.319</w:t>
            </w:r>
          </w:p>
        </w:tc>
        <w:tc>
          <w:tcPr/>
          <w:p>
            <w:pPr>
              <w:pStyle w:val="Compact"/>
              <w:spacing w:before="8" w:after="8" w:line="240" w:lineRule="auto"/>
              <w:ind w:firstLine="0" w:left="0" w:right="0"/>
              <w:jc w:val="left"/>
              <w:jc w:val="center"/>
            </w:pPr>
            <w:r>
              <w:rPr>
                <w:rFonts w:ascii="Calibri" w:hAnsi="Calibri"/>
                <w:sz w:val="15"/>
              </w:rPr>
              <w:t xml:space="preserve">1.510 / 0.886</w:t>
            </w:r>
          </w:p>
        </w:tc>
        <w:tc>
          <w:tcPr/>
          <w:p>
            <w:pPr>
              <w:pStyle w:val="Compact"/>
              <w:spacing w:before="8" w:after="8" w:line="240" w:lineRule="auto"/>
              <w:ind w:firstLine="0" w:left="0" w:right="0"/>
              <w:jc w:val="left"/>
              <w:jc w:val="center"/>
            </w:pPr>
            <w:r>
              <w:rPr>
                <w:rFonts w:ascii="Calibri" w:hAnsi="Calibri"/>
                <w:sz w:val="15"/>
              </w:rPr>
              <w:t xml:space="preserve">2.065 / 1.052</w:t>
            </w:r>
          </w:p>
        </w:tc>
        <w:tc>
          <w:tcPr/>
          <w:p>
            <w:pPr>
              <w:pStyle w:val="Compact"/>
              <w:spacing w:before="8" w:after="8" w:line="240" w:lineRule="auto"/>
              <w:ind w:firstLine="0" w:left="0" w:right="0"/>
              <w:jc w:val="left"/>
              <w:jc w:val="center"/>
            </w:pPr>
            <w:r>
              <w:rPr>
                <w:rFonts w:ascii="Calibri" w:hAnsi="Calibri"/>
                <w:sz w:val="15"/>
              </w:rPr>
              <w:t xml:space="preserve">2.557 / 2.505</w:t>
            </w:r>
          </w:p>
        </w:tc>
      </w:tr>
      <w:tr>
        <w:trPr>
          <w:cantSplit/>
        </w:trPr>
        <w:tc>
          <w:tcPr/>
          <w:p>
            <w:pPr>
              <w:pStyle w:val="Compact"/>
              <w:spacing w:before="8" w:after="8" w:line="240" w:lineRule="auto"/>
              <w:ind w:firstLine="0" w:left="0" w:right="0"/>
              <w:jc w:val="left"/>
              <w:jc w:val="center"/>
            </w:pPr>
            <w:r>
              <w:rPr>
                <w:rFonts w:ascii="Calibri" w:hAnsi="Calibri"/>
                <w:sz w:val="15"/>
              </w:rPr>
              <w:t xml:space="preserve">ANET</w:t>
            </w:r>
          </w:p>
        </w:tc>
        <w:tc>
          <w:tcPr/>
          <w:p>
            <w:pPr>
              <w:pStyle w:val="Compact"/>
              <w:spacing w:before="8" w:after="8" w:line="240" w:lineRule="auto"/>
              <w:ind w:firstLine="0" w:left="0" w:right="0"/>
              <w:jc w:val="left"/>
              <w:jc w:val="center"/>
            </w:pPr>
            <w:r>
              <w:rPr>
                <w:rFonts w:ascii="Calibri" w:hAnsi="Calibri"/>
                <w:sz w:val="15"/>
              </w:rPr>
              <w:t xml:space="preserve">Realized-integration claims (per 1k words)</w:t>
            </w:r>
          </w:p>
        </w:tc>
        <w:tc>
          <w:tcPr/>
          <w:p>
            <w:pPr>
              <w:pStyle w:val="Compact"/>
              <w:spacing w:before="8" w:after="8" w:line="240" w:lineRule="auto"/>
              <w:ind w:firstLine="0" w:left="0" w:right="0"/>
              <w:jc w:val="left"/>
              <w:jc w:val="center"/>
            </w:pPr>
            <w:r>
              <w:rPr>
                <w:rFonts w:ascii="Calibri" w:hAnsi="Calibri"/>
                <w:sz w:val="15"/>
              </w:rPr>
              <w:t xml:space="preserve">0.284 / 0.136</w:t>
            </w:r>
          </w:p>
        </w:tc>
        <w:tc>
          <w:tcPr/>
          <w:p>
            <w:pPr>
              <w:pStyle w:val="Compact"/>
              <w:spacing w:before="8" w:after="8" w:line="240" w:lineRule="auto"/>
              <w:ind w:firstLine="0" w:left="0" w:right="0"/>
              <w:jc w:val="left"/>
              <w:jc w:val="center"/>
            </w:pPr>
            <w:r>
              <w:rPr>
                <w:rFonts w:ascii="Calibri" w:hAnsi="Calibri"/>
                <w:sz w:val="15"/>
              </w:rPr>
              <w:t xml:space="preserve">0.918 / 0.416</w:t>
            </w:r>
          </w:p>
        </w:tc>
        <w:tc>
          <w:tcPr/>
          <w:p>
            <w:pPr>
              <w:pStyle w:val="Compact"/>
              <w:spacing w:before="8" w:after="8" w:line="240" w:lineRule="auto"/>
              <w:ind w:firstLine="0" w:left="0" w:right="0"/>
              <w:jc w:val="left"/>
              <w:jc w:val="center"/>
            </w:pPr>
            <w:r>
              <w:rPr>
                <w:rFonts w:ascii="Calibri" w:hAnsi="Calibri"/>
                <w:sz w:val="15"/>
              </w:rPr>
              <w:t xml:space="preserve">1.239 / 0.536</w:t>
            </w:r>
          </w:p>
        </w:tc>
        <w:tc>
          <w:tcPr/>
          <w:p>
            <w:pPr>
              <w:pStyle w:val="Compact"/>
              <w:spacing w:before="8" w:after="8" w:line="240" w:lineRule="auto"/>
              <w:ind w:firstLine="0" w:left="0" w:right="0"/>
              <w:jc w:val="left"/>
              <w:jc w:val="center"/>
            </w:pPr>
            <w:r>
              <w:rPr>
                <w:rFonts w:ascii="Calibri" w:hAnsi="Calibri"/>
                <w:sz w:val="15"/>
              </w:rPr>
              <w:t xml:space="preserve">1.587 / 1.702</w:t>
            </w:r>
          </w:p>
        </w:tc>
      </w:tr>
      <w:tr>
        <w:trPr>
          <w:cantSplit/>
        </w:trPr>
        <w:tc>
          <w:tcPr/>
          <w:p>
            <w:pPr>
              <w:pStyle w:val="Compact"/>
              <w:spacing w:before="8" w:after="8" w:line="240" w:lineRule="auto"/>
              <w:ind w:firstLine="0" w:left="0" w:right="0"/>
              <w:jc w:val="left"/>
              <w:jc w:val="center"/>
            </w:pPr>
            <w:r>
              <w:rPr>
                <w:rFonts w:ascii="Calibri" w:hAnsi="Calibri"/>
                <w:sz w:val="15"/>
              </w:rPr>
              <w:t xml:space="preserve">ANET</w:t>
            </w:r>
          </w:p>
        </w:tc>
        <w:tc>
          <w:tcPr/>
          <w:p>
            <w:pPr>
              <w:pStyle w:val="Compact"/>
              <w:spacing w:before="8" w:after="8" w:line="240" w:lineRule="auto"/>
              <w:ind w:firstLine="0" w:left="0" w:right="0"/>
              <w:jc w:val="left"/>
              <w:jc w:val="center"/>
            </w:pPr>
            <w:r>
              <w:rPr>
                <w:rFonts w:ascii="Calibri" w:hAnsi="Calibri"/>
                <w:sz w:val="15"/>
              </w:rPr>
              <w:t xml:space="preserve">Quantified-metric claims (per 1k words)</w:t>
            </w:r>
          </w:p>
        </w:tc>
        <w:tc>
          <w:tcPr/>
          <w:p>
            <w:pPr>
              <w:pStyle w:val="Compact"/>
              <w:spacing w:before="8" w:after="8" w:line="240" w:lineRule="auto"/>
              <w:ind w:firstLine="0" w:left="0" w:right="0"/>
              <w:jc w:val="left"/>
              <w:jc w:val="center"/>
            </w:pPr>
            <w:r>
              <w:rPr>
                <w:rFonts w:ascii="Calibri" w:hAnsi="Calibri"/>
                <w:sz w:val="15"/>
              </w:rPr>
              <w:t xml:space="preserve">0.000 / 0.000</w:t>
            </w:r>
          </w:p>
        </w:tc>
        <w:tc>
          <w:tcPr/>
          <w:p>
            <w:pPr>
              <w:pStyle w:val="Compact"/>
              <w:spacing w:before="8" w:after="8" w:line="240" w:lineRule="auto"/>
              <w:ind w:firstLine="0" w:left="0" w:right="0"/>
              <w:jc w:val="left"/>
              <w:jc w:val="center"/>
            </w:pPr>
            <w:r>
              <w:rPr>
                <w:rFonts w:ascii="Calibri" w:hAnsi="Calibri"/>
                <w:sz w:val="15"/>
              </w:rPr>
              <w:t xml:space="preserve">0.000 / 0.012</w:t>
            </w:r>
          </w:p>
        </w:tc>
        <w:tc>
          <w:tcPr/>
          <w:p>
            <w:pPr>
              <w:pStyle w:val="Compact"/>
              <w:spacing w:before="8" w:after="8" w:line="240" w:lineRule="auto"/>
              <w:ind w:firstLine="0" w:left="0" w:right="0"/>
              <w:jc w:val="left"/>
              <w:jc w:val="center"/>
            </w:pPr>
            <w:r>
              <w:rPr>
                <w:rFonts w:ascii="Calibri" w:hAnsi="Calibri"/>
                <w:sz w:val="15"/>
              </w:rPr>
              <w:t xml:space="preserve">0.000 / 0.012</w:t>
            </w:r>
          </w:p>
        </w:tc>
        <w:tc>
          <w:tcPr/>
          <w:p>
            <w:pPr>
              <w:pStyle w:val="Compact"/>
              <w:spacing w:before="8" w:after="8" w:line="240" w:lineRule="auto"/>
              <w:ind w:firstLine="0" w:left="0" w:right="0"/>
              <w:jc w:val="left"/>
              <w:jc w:val="center"/>
            </w:pPr>
            <w:r>
              <w:rPr>
                <w:rFonts w:ascii="Calibri" w:hAnsi="Calibri"/>
                <w:sz w:val="15"/>
              </w:rPr>
              <w:t xml:space="preserve">0.022 / 0.000</w:t>
            </w:r>
          </w:p>
        </w:tc>
      </w:tr>
      <w:tr>
        <w:trPr>
          <w:cantSplit/>
        </w:trPr>
        <w:tc>
          <w:tcPr/>
          <w:p>
            <w:pPr>
              <w:pStyle w:val="Compact"/>
              <w:spacing w:before="8" w:after="8" w:line="240" w:lineRule="auto"/>
              <w:ind w:firstLine="0" w:left="0" w:right="0"/>
              <w:jc w:val="left"/>
              <w:jc w:val="center"/>
            </w:pPr>
            <w:r>
              <w:rPr>
                <w:rFonts w:ascii="Calibri" w:hAnsi="Calibri"/>
                <w:sz w:val="15"/>
              </w:rPr>
              <w:t xml:space="preserve">ANET</w:t>
            </w:r>
          </w:p>
        </w:tc>
        <w:tc>
          <w:tcPr/>
          <w:p>
            <w:pPr>
              <w:pStyle w:val="Compact"/>
              <w:spacing w:before="8" w:after="8" w:line="240" w:lineRule="auto"/>
              <w:ind w:firstLine="0" w:left="0" w:right="0"/>
              <w:jc w:val="left"/>
              <w:jc w:val="center"/>
            </w:pPr>
            <w:r>
              <w:rPr>
                <w:rFonts w:ascii="Calibri" w:hAnsi="Calibri"/>
                <w:sz w:val="15"/>
              </w:rPr>
              <w:t xml:space="preserve">Specificity index (per frame)</w:t>
            </w:r>
          </w:p>
        </w:tc>
        <w:tc>
          <w:tcPr/>
          <w:p>
            <w:pPr>
              <w:pStyle w:val="Compact"/>
              <w:spacing w:before="8" w:after="8" w:line="240" w:lineRule="auto"/>
              <w:ind w:firstLine="0" w:left="0" w:right="0"/>
              <w:jc w:val="left"/>
              <w:jc w:val="center"/>
            </w:pPr>
            <w:r>
              <w:rPr>
                <w:rFonts w:ascii="Calibri" w:hAnsi="Calibri"/>
                <w:sz w:val="15"/>
              </w:rPr>
              <w:t xml:space="preserve">0.354 / 0.242</w:t>
            </w:r>
          </w:p>
        </w:tc>
        <w:tc>
          <w:tcPr/>
          <w:p>
            <w:pPr>
              <w:pStyle w:val="Compact"/>
              <w:spacing w:before="8" w:after="8" w:line="240" w:lineRule="auto"/>
              <w:ind w:firstLine="0" w:left="0" w:right="0"/>
              <w:jc w:val="left"/>
              <w:jc w:val="center"/>
            </w:pPr>
            <w:r>
              <w:rPr>
                <w:rFonts w:ascii="Calibri" w:hAnsi="Calibri"/>
                <w:sz w:val="15"/>
              </w:rPr>
              <w:t xml:space="preserve">0.251 / 0.227</w:t>
            </w:r>
          </w:p>
        </w:tc>
        <w:tc>
          <w:tcPr/>
          <w:p>
            <w:pPr>
              <w:pStyle w:val="Compact"/>
              <w:spacing w:before="8" w:after="8" w:line="240" w:lineRule="auto"/>
              <w:ind w:firstLine="0" w:left="0" w:right="0"/>
              <w:jc w:val="left"/>
              <w:jc w:val="center"/>
            </w:pPr>
            <w:r>
              <w:rPr>
                <w:rFonts w:ascii="Calibri" w:hAnsi="Calibri"/>
                <w:sz w:val="15"/>
              </w:rPr>
              <w:t xml:space="preserve">0.253 / 0.235</w:t>
            </w:r>
          </w:p>
        </w:tc>
        <w:tc>
          <w:tcPr/>
          <w:p>
            <w:pPr>
              <w:pStyle w:val="Compact"/>
              <w:spacing w:before="8" w:after="8" w:line="240" w:lineRule="auto"/>
              <w:ind w:firstLine="0" w:left="0" w:right="0"/>
              <w:jc w:val="left"/>
              <w:jc w:val="center"/>
            </w:pPr>
            <w:r>
              <w:rPr>
                <w:rFonts w:ascii="Calibri" w:hAnsi="Calibri"/>
                <w:sz w:val="15"/>
              </w:rPr>
              <w:t xml:space="preserve">0.250 / 0.226</w:t>
            </w:r>
          </w:p>
        </w:tc>
      </w:tr>
      <w:tr>
        <w:trPr>
          <w:cantSplit/>
        </w:trPr>
        <w:tc>
          <w:tcPr/>
          <w:p>
            <w:pPr>
              <w:pStyle w:val="Compact"/>
              <w:spacing w:before="8" w:after="8" w:line="240" w:lineRule="auto"/>
              <w:ind w:firstLine="0" w:left="0" w:right="0"/>
              <w:jc w:val="left"/>
              <w:jc w:val="center"/>
            </w:pPr>
            <w:r>
              <w:rPr>
                <w:rFonts w:ascii="Calibri" w:hAnsi="Calibri"/>
                <w:sz w:val="15"/>
              </w:rPr>
              <w:t xml:space="preserve">ANET</w:t>
            </w:r>
          </w:p>
        </w:tc>
        <w:tc>
          <w:tcPr/>
          <w:p>
            <w:pPr>
              <w:pStyle w:val="Compact"/>
              <w:spacing w:before="8" w:after="8" w:line="240" w:lineRule="auto"/>
              <w:ind w:firstLine="0" w:left="0" w:right="0"/>
              <w:jc w:val="left"/>
              <w:jc w:val="center"/>
            </w:pPr>
            <w:r>
              <w:rPr>
                <w:rFonts w:ascii="Calibri" w:hAnsi="Calibri"/>
                <w:sz w:val="15"/>
              </w:rPr>
              <w:t xml:space="preserve">Decoupling (</w:t>
            </w:r>
            <m:oMath>
              <m:r>
                <w:rPr>
                  <w:sz w:val="15"/>
                </w:rPr>
                <m:t>W</m:t>
              </m:r>
            </m:oMath>
            <w:r>
              <w:rPr>
                <w:rFonts w:ascii="Calibri" w:hAnsi="Calibri"/>
                <w:sz w:val="15"/>
              </w:rPr>
              <w:t xml:space="preserve">)</w:t>
            </w:r>
          </w:p>
        </w:tc>
        <w:tc>
          <w:tcPr/>
          <w:p>
            <w:pPr>
              <w:pStyle w:val="Compact"/>
              <w:spacing w:before="8" w:after="8" w:line="240" w:lineRule="auto"/>
              <w:ind w:firstLine="0" w:left="0" w:right="0"/>
              <w:jc w:val="left"/>
              <w:jc w:val="center"/>
            </w:pPr>
            <w:r>
              <w:rPr>
                <w:rFonts w:ascii="Calibri" w:hAnsi="Calibri"/>
                <w:sz w:val="15"/>
              </w:rPr>
              <w:t xml:space="preserve">-0.025 / 0.071</w:t>
            </w:r>
          </w:p>
        </w:tc>
        <w:tc>
          <w:tcPr/>
          <w:p>
            <w:pPr>
              <w:pStyle w:val="Compact"/>
              <w:spacing w:before="8" w:after="8" w:line="240" w:lineRule="auto"/>
              <w:ind w:firstLine="0" w:left="0" w:right="0"/>
              <w:jc w:val="left"/>
              <w:jc w:val="center"/>
            </w:pPr>
            <w:r>
              <w:rPr>
                <w:rFonts w:ascii="Calibri" w:hAnsi="Calibri"/>
                <w:sz w:val="15"/>
              </w:rPr>
              <w:t xml:space="preserve">0.051 / 0.068</w:t>
            </w:r>
          </w:p>
        </w:tc>
        <w:tc>
          <w:tcPr/>
          <w:p>
            <w:pPr>
              <w:pStyle w:val="Compact"/>
              <w:spacing w:before="8" w:after="8" w:line="240" w:lineRule="auto"/>
              <w:ind w:firstLine="0" w:left="0" w:right="0"/>
              <w:jc w:val="left"/>
              <w:jc w:val="center"/>
            </w:pPr>
            <w:r>
              <w:rPr>
                <w:rFonts w:ascii="Calibri" w:hAnsi="Calibri"/>
                <w:sz w:val="15"/>
              </w:rPr>
              <w:t xml:space="preserve">0.038 / 0.044</w:t>
            </w:r>
          </w:p>
        </w:tc>
        <w:tc>
          <w:tcPr/>
          <w:p>
            <w:pPr>
              <w:pStyle w:val="Compact"/>
              <w:spacing w:before="8" w:after="8" w:line="240" w:lineRule="auto"/>
              <w:ind w:firstLine="0" w:left="0" w:right="0"/>
              <w:jc w:val="left"/>
              <w:jc w:val="center"/>
            </w:pPr>
            <w:r>
              <w:rPr>
                <w:rFonts w:ascii="Calibri" w:hAnsi="Calibri"/>
                <w:sz w:val="15"/>
              </w:rPr>
              <w:t xml:space="preserve">0.086 / 0.056</w:t>
            </w:r>
          </w:p>
        </w:tc>
      </w:tr>
      <w:tr>
        <w:trPr>
          <w:cantSplit/>
        </w:trPr>
        <w:tc>
          <w:tcPr/>
          <w:p>
            <w:pPr>
              <w:pStyle w:val="Compact"/>
              <w:spacing w:before="8" w:after="8" w:line="240" w:lineRule="auto"/>
              <w:ind w:firstLine="0" w:left="0" w:right="0"/>
              <w:jc w:val="left"/>
              <w:jc w:val="center"/>
            </w:pPr>
            <w:r>
              <w:rPr>
                <w:rFonts w:ascii="Calibri" w:hAnsi="Calibri"/>
                <w:b/>
                <w:bCs/>
                <w:sz w:val="15"/>
              </w:rPr>
              <w:t xml:space="preserve">WELL</w:t>
            </w:r>
          </w:p>
        </w:tc>
        <w:tc>
          <w:tcPr/>
          <w:p>
            <w:pPr>
              <w:pStyle w:val="Compact"/>
              <w:spacing w:before="8" w:after="8" w:line="240" w:lineRule="auto"/>
              <w:ind w:firstLine="0" w:left="0" w:right="0"/>
              <w:jc w:val="left"/>
              <w:jc w:val="center"/>
            </w:pPr>
            <w:r>
              <w:rPr>
                <w:rFonts w:ascii="Calibri" w:hAnsi="Calibri"/>
                <w:sz w:val="15"/>
              </w:rPr>
              <w:t xml:space="preserve">Filing year of the 10-K</w:t>
            </w:r>
          </w:p>
        </w:tc>
        <w:tc>
          <w:tcPr/>
          <w:p>
            <w:pPr>
              <w:pStyle w:val="Compact"/>
              <w:spacing w:before="8" w:after="8" w:line="240" w:lineRule="auto"/>
              <w:ind w:firstLine="0" w:left="0" w:right="0"/>
              <w:jc w:val="right"/>
              <w:jc w:val="center"/>
            </w:pPr>
            <w:r>
              <w:rPr>
                <w:rFonts w:ascii="Calibri" w:hAnsi="Calibri"/>
                <w:sz w:val="15"/>
              </w:rPr>
              <w:t xml:space="preserve">2024</w:t>
            </w:r>
          </w:p>
        </w:tc>
        <w:tc>
          <w:tcPr/>
          <w:p>
            <w:pPr>
              <w:pStyle w:val="Compact"/>
              <w:spacing w:before="8" w:after="8" w:line="240" w:lineRule="auto"/>
              <w:ind w:firstLine="0" w:left="0" w:right="0"/>
              <w:jc w:val="right"/>
              <w:jc w:val="center"/>
            </w:pPr>
            <w:r>
              <w:rPr>
                <w:rFonts w:ascii="Calibri" w:hAnsi="Calibri"/>
                <w:sz w:val="15"/>
              </w:rPr>
              <w:t xml:space="preserve">2025</w:t>
            </w:r>
          </w:p>
        </w:tc>
        <w:tc>
          <w:tcPr/>
          <w:p>
            <w:pPr>
              <w:pStyle w:val="Compact"/>
              <w:spacing w:before="8" w:after="8" w:line="240" w:lineRule="auto"/>
              <w:ind w:firstLine="0" w:left="0" w:right="0"/>
              <w:jc w:val="right"/>
              <w:jc w:val="center"/>
            </w:pPr>
            <w:r>
              <w:rPr>
                <w:rFonts w:ascii="Calibri" w:hAnsi="Calibri"/>
                <w:sz w:val="15"/>
              </w:rPr>
              <w:t xml:space="preserve">2026</w:t>
            </w:r>
          </w:p>
        </w:tc>
        <w:tc>
          <w:tcPr/>
          <w:p>
            <w:pPr>
              <w:pStyle w:val="Compact"/>
              <w:spacing w:before="8" w:after="8" w:line="240" w:lineRule="auto"/>
              <w:ind w:firstLine="0" w:left="0" w:right="0"/>
              <w:jc w:val="left"/>
              <w:jc w:val="center"/>
            </w:pPr>
            <w:r>
              <w:rPr>
                <w:rFonts w:ascii="Calibri" w:hAnsi="Calibri"/>
                <w:sz w:val="15"/>
              </w:rPr>
              <w:t xml:space="preserve">—</w:t>
            </w:r>
          </w:p>
        </w:tc>
      </w:tr>
      <w:tr>
        <w:trPr>
          <w:cantSplit/>
        </w:trPr>
        <w:tc>
          <w:tcPr/>
          <w:p>
            <w:pPr>
              <w:pStyle w:val="Compact"/>
              <w:spacing w:before="8" w:after="8" w:line="240" w:lineRule="auto"/>
              <w:ind w:firstLine="0" w:left="0" w:right="0"/>
              <w:jc w:val="left"/>
              <w:jc w:val="center"/>
            </w:pPr>
            <w:r>
              <w:rPr>
                <w:rFonts w:ascii="Calibri" w:hAnsi="Calibri"/>
                <w:sz w:val="15"/>
              </w:rPr>
              <w:t xml:space="preserve">WELL</w:t>
            </w:r>
          </w:p>
        </w:tc>
        <w:tc>
          <w:tcPr/>
          <w:p>
            <w:pPr>
              <w:pStyle w:val="Compact"/>
              <w:spacing w:before="8" w:after="8" w:line="240" w:lineRule="auto"/>
              <w:ind w:firstLine="0" w:left="0" w:right="0"/>
              <w:jc w:val="left"/>
              <w:jc w:val="center"/>
            </w:pPr>
            <w:r>
              <w:rPr>
                <w:rFonts w:ascii="Calibri" w:hAnsi="Calibri"/>
                <w:sz w:val="15"/>
              </w:rPr>
              <w:t xml:space="preserve">AI claim density (per 1k words)</w:t>
            </w:r>
          </w:p>
        </w:tc>
        <w:tc>
          <w:tcPr/>
          <w:p>
            <w:pPr>
              <w:pStyle w:val="Compact"/>
              <w:spacing w:before="8" w:after="8" w:line="240" w:lineRule="auto"/>
              <w:ind w:firstLine="0" w:left="0" w:right="0"/>
              <w:jc w:val="left"/>
              <w:jc w:val="center"/>
            </w:pPr>
            <w:r>
              <w:rPr>
                <w:rFonts w:ascii="Calibri" w:hAnsi="Calibri"/>
                <w:sz w:val="15"/>
              </w:rPr>
              <w:t xml:space="preserve">0.000 / 0.038</w:t>
            </w:r>
          </w:p>
        </w:tc>
        <w:tc>
          <w:tcPr/>
          <w:p>
            <w:pPr>
              <w:pStyle w:val="Compact"/>
              <w:spacing w:before="8" w:after="8" w:line="240" w:lineRule="auto"/>
              <w:ind w:firstLine="0" w:left="0" w:right="0"/>
              <w:jc w:val="left"/>
              <w:jc w:val="center"/>
            </w:pPr>
            <w:r>
              <w:rPr>
                <w:rFonts w:ascii="Calibri" w:hAnsi="Calibri"/>
                <w:sz w:val="15"/>
              </w:rPr>
              <w:t xml:space="preserve">0.309 / 0.269</w:t>
            </w:r>
          </w:p>
        </w:tc>
        <w:tc>
          <w:tcPr/>
          <w:p>
            <w:pPr>
              <w:pStyle w:val="Compact"/>
              <w:spacing w:before="8" w:after="8" w:line="240" w:lineRule="auto"/>
              <w:ind w:firstLine="0" w:left="0" w:right="0"/>
              <w:jc w:val="left"/>
              <w:jc w:val="center"/>
            </w:pPr>
            <w:r>
              <w:rPr>
                <w:rFonts w:ascii="Calibri" w:hAnsi="Calibri"/>
                <w:sz w:val="15"/>
              </w:rPr>
              <w:t xml:space="preserve">0.268 / 0.387</w:t>
            </w:r>
          </w:p>
        </w:tc>
        <w:tc>
          <w:tcPr/>
          <w:p>
            <w:pPr>
              <w:pStyle w:val="Compact"/>
              <w:spacing w:before="8" w:after="8" w:line="240" w:lineRule="auto"/>
              <w:ind w:firstLine="0" w:left="0" w:right="0"/>
              <w:jc w:val="left"/>
              <w:jc w:val="center"/>
            </w:pPr>
            <w:r>
              <w:rPr>
                <w:rFonts w:ascii="Calibri" w:hAnsi="Calibri"/>
                <w:sz w:val="15"/>
              </w:rPr>
              <w:t xml:space="preserve">—</w:t>
            </w:r>
          </w:p>
        </w:tc>
      </w:tr>
      <w:tr>
        <w:trPr>
          <w:cantSplit/>
        </w:trPr>
        <w:tc>
          <w:tcPr/>
          <w:p>
            <w:pPr>
              <w:pStyle w:val="Compact"/>
              <w:spacing w:before="8" w:after="8" w:line="240" w:lineRule="auto"/>
              <w:ind w:firstLine="0" w:left="0" w:right="0"/>
              <w:jc w:val="left"/>
              <w:jc w:val="center"/>
            </w:pPr>
            <w:r>
              <w:rPr>
                <w:rFonts w:ascii="Calibri" w:hAnsi="Calibri"/>
                <w:sz w:val="15"/>
              </w:rPr>
              <w:t xml:space="preserve">WELL</w:t>
            </w:r>
          </w:p>
        </w:tc>
        <w:tc>
          <w:tcPr/>
          <w:p>
            <w:pPr>
              <w:pStyle w:val="Compact"/>
              <w:spacing w:before="8" w:after="8" w:line="240" w:lineRule="auto"/>
              <w:ind w:firstLine="0" w:left="0" w:right="0"/>
              <w:jc w:val="left"/>
              <w:jc w:val="center"/>
            </w:pPr>
            <w:r>
              <w:rPr>
                <w:rFonts w:ascii="Calibri" w:hAnsi="Calibri"/>
                <w:sz w:val="15"/>
              </w:rPr>
              <w:t xml:space="preserve">Realized-integration claims (per 1k words)</w:t>
            </w:r>
          </w:p>
        </w:tc>
        <w:tc>
          <w:tcPr/>
          <w:p>
            <w:pPr>
              <w:pStyle w:val="Compact"/>
              <w:spacing w:before="8" w:after="8" w:line="240" w:lineRule="auto"/>
              <w:ind w:firstLine="0" w:left="0" w:right="0"/>
              <w:jc w:val="left"/>
              <w:jc w:val="center"/>
            </w:pPr>
            <w:r>
              <w:rPr>
                <w:rFonts w:ascii="Calibri" w:hAnsi="Calibri"/>
                <w:sz w:val="15"/>
              </w:rPr>
              <w:t xml:space="preserve">0.000 / 0.010</w:t>
            </w:r>
          </w:p>
        </w:tc>
        <w:tc>
          <w:tcPr/>
          <w:p>
            <w:pPr>
              <w:pStyle w:val="Compact"/>
              <w:spacing w:before="8" w:after="8" w:line="240" w:lineRule="auto"/>
              <w:ind w:firstLine="0" w:left="0" w:right="0"/>
              <w:jc w:val="left"/>
              <w:jc w:val="center"/>
            </w:pPr>
            <w:r>
              <w:rPr>
                <w:rFonts w:ascii="Calibri" w:hAnsi="Calibri"/>
                <w:sz w:val="15"/>
              </w:rPr>
              <w:t xml:space="preserve">0.099 / 0.076</w:t>
            </w:r>
          </w:p>
        </w:tc>
        <w:tc>
          <w:tcPr/>
          <w:p>
            <w:pPr>
              <w:pStyle w:val="Compact"/>
              <w:spacing w:before="8" w:after="8" w:line="240" w:lineRule="auto"/>
              <w:ind w:firstLine="0" w:left="0" w:right="0"/>
              <w:jc w:val="left"/>
              <w:jc w:val="center"/>
            </w:pPr>
            <w:r>
              <w:rPr>
                <w:rFonts w:ascii="Calibri" w:hAnsi="Calibri"/>
                <w:sz w:val="15"/>
              </w:rPr>
              <w:t xml:space="preserve">0.097 / 0.149</w:t>
            </w:r>
          </w:p>
        </w:tc>
        <w:tc>
          <w:tcPr/>
          <w:p>
            <w:pPr>
              <w:pStyle w:val="Compact"/>
              <w:spacing w:before="8" w:after="8" w:line="240" w:lineRule="auto"/>
              <w:ind w:firstLine="0" w:left="0" w:right="0"/>
              <w:jc w:val="left"/>
              <w:jc w:val="center"/>
            </w:pPr>
            <w:r>
              <w:rPr>
                <w:rFonts w:ascii="Calibri" w:hAnsi="Calibri"/>
                <w:sz w:val="15"/>
              </w:rPr>
              <w:t xml:space="preserve">—</w:t>
            </w:r>
          </w:p>
        </w:tc>
      </w:tr>
      <w:tr>
        <w:trPr>
          <w:cantSplit/>
        </w:trPr>
        <w:tc>
          <w:tcPr/>
          <w:p>
            <w:pPr>
              <w:pStyle w:val="Compact"/>
              <w:spacing w:before="8" w:after="8" w:line="240" w:lineRule="auto"/>
              <w:ind w:firstLine="0" w:left="0" w:right="0"/>
              <w:jc w:val="left"/>
              <w:jc w:val="center"/>
            </w:pPr>
            <w:r>
              <w:rPr>
                <w:rFonts w:ascii="Calibri" w:hAnsi="Calibri"/>
                <w:sz w:val="15"/>
              </w:rPr>
              <w:t xml:space="preserve">WELL</w:t>
            </w:r>
          </w:p>
        </w:tc>
        <w:tc>
          <w:tcPr/>
          <w:p>
            <w:pPr>
              <w:pStyle w:val="Compact"/>
              <w:spacing w:before="8" w:after="8" w:line="240" w:lineRule="auto"/>
              <w:ind w:firstLine="0" w:left="0" w:right="0"/>
              <w:jc w:val="left"/>
              <w:jc w:val="center"/>
            </w:pPr>
            <w:r>
              <w:rPr>
                <w:rFonts w:ascii="Calibri" w:hAnsi="Calibri"/>
                <w:sz w:val="15"/>
              </w:rPr>
              <w:t xml:space="preserve">Quantified-metric claims (per 1k words)</w:t>
            </w:r>
          </w:p>
        </w:tc>
        <w:tc>
          <w:tcPr/>
          <w:p>
            <w:pPr>
              <w:pStyle w:val="Compact"/>
              <w:spacing w:before="8" w:after="8" w:line="240" w:lineRule="auto"/>
              <w:ind w:firstLine="0" w:left="0" w:right="0"/>
              <w:jc w:val="left"/>
              <w:jc w:val="center"/>
            </w:pPr>
            <w:r>
              <w:rPr>
                <w:rFonts w:ascii="Calibri" w:hAnsi="Calibri"/>
                <w:sz w:val="15"/>
              </w:rPr>
              <w:t xml:space="preserve">0.000 / 0.000</w:t>
            </w:r>
          </w:p>
        </w:tc>
        <w:tc>
          <w:tcPr/>
          <w:p>
            <w:pPr>
              <w:pStyle w:val="Compact"/>
              <w:spacing w:before="8" w:after="8" w:line="240" w:lineRule="auto"/>
              <w:ind w:firstLine="0" w:left="0" w:right="0"/>
              <w:jc w:val="left"/>
              <w:jc w:val="center"/>
            </w:pPr>
            <w:r>
              <w:rPr>
                <w:rFonts w:ascii="Calibri" w:hAnsi="Calibri"/>
                <w:sz w:val="15"/>
              </w:rPr>
              <w:t xml:space="preserve">0.000 / 0.000</w:t>
            </w:r>
          </w:p>
        </w:tc>
        <w:tc>
          <w:tcPr/>
          <w:p>
            <w:pPr>
              <w:pStyle w:val="Compact"/>
              <w:spacing w:before="8" w:after="8" w:line="240" w:lineRule="auto"/>
              <w:ind w:firstLine="0" w:left="0" w:right="0"/>
              <w:jc w:val="left"/>
              <w:jc w:val="center"/>
            </w:pPr>
            <w:r>
              <w:rPr>
                <w:rFonts w:ascii="Calibri" w:hAnsi="Calibri"/>
                <w:sz w:val="15"/>
              </w:rPr>
              <w:t xml:space="preserve">0.000 / 0.000</w:t>
            </w:r>
          </w:p>
        </w:tc>
        <w:tc>
          <w:tcPr/>
          <w:p>
            <w:pPr>
              <w:pStyle w:val="Compact"/>
              <w:spacing w:before="8" w:after="8" w:line="240" w:lineRule="auto"/>
              <w:ind w:firstLine="0" w:left="0" w:right="0"/>
              <w:jc w:val="left"/>
              <w:jc w:val="center"/>
            </w:pPr>
            <w:r>
              <w:rPr>
                <w:rFonts w:ascii="Calibri" w:hAnsi="Calibri"/>
                <w:sz w:val="15"/>
              </w:rPr>
              <w:t xml:space="preserve">—</w:t>
            </w:r>
          </w:p>
        </w:tc>
      </w:tr>
      <w:tr>
        <w:trPr>
          <w:cantSplit/>
        </w:trPr>
        <w:tc>
          <w:tcPr/>
          <w:p>
            <w:pPr>
              <w:pStyle w:val="Compact"/>
              <w:spacing w:before="8" w:after="8" w:line="240" w:lineRule="auto"/>
              <w:ind w:firstLine="0" w:left="0" w:right="0"/>
              <w:jc w:val="left"/>
              <w:jc w:val="center"/>
            </w:pPr>
            <w:r>
              <w:rPr>
                <w:rFonts w:ascii="Calibri" w:hAnsi="Calibri"/>
                <w:sz w:val="15"/>
              </w:rPr>
              <w:t xml:space="preserve">WELL</w:t>
            </w:r>
          </w:p>
        </w:tc>
        <w:tc>
          <w:tcPr/>
          <w:p>
            <w:pPr>
              <w:pStyle w:val="Compact"/>
              <w:spacing w:before="8" w:after="8" w:line="240" w:lineRule="auto"/>
              <w:ind w:firstLine="0" w:left="0" w:right="0"/>
              <w:jc w:val="left"/>
              <w:jc w:val="center"/>
            </w:pPr>
            <w:r>
              <w:rPr>
                <w:rFonts w:ascii="Calibri" w:hAnsi="Calibri"/>
                <w:sz w:val="15"/>
              </w:rPr>
              <w:t xml:space="preserve">Specificity index (per frame)</w:t>
            </w:r>
          </w:p>
        </w:tc>
        <w:tc>
          <w:tcPr/>
          <w:p>
            <w:pPr>
              <w:pStyle w:val="Compact"/>
              <w:spacing w:before="8" w:after="8" w:line="240" w:lineRule="auto"/>
              <w:ind w:firstLine="0" w:left="0" w:right="0"/>
              <w:jc w:val="left"/>
              <w:jc w:val="center"/>
            </w:pPr>
            <w:r>
              <w:rPr>
                <w:rFonts w:ascii="Calibri" w:hAnsi="Calibri"/>
                <w:sz w:val="15"/>
              </w:rPr>
              <w:t xml:space="preserve">— / 0.333</w:t>
            </w:r>
          </w:p>
        </w:tc>
        <w:tc>
          <w:tcPr/>
          <w:p>
            <w:pPr>
              <w:pStyle w:val="Compact"/>
              <w:spacing w:before="8" w:after="8" w:line="240" w:lineRule="auto"/>
              <w:ind w:firstLine="0" w:left="0" w:right="0"/>
              <w:jc w:val="left"/>
              <w:jc w:val="center"/>
            </w:pPr>
            <w:r>
              <w:rPr>
                <w:rFonts w:ascii="Calibri" w:hAnsi="Calibri"/>
                <w:sz w:val="15"/>
              </w:rPr>
              <w:t xml:space="preserve">0.120 / 0.206</w:t>
            </w:r>
          </w:p>
        </w:tc>
        <w:tc>
          <w:tcPr/>
          <w:p>
            <w:pPr>
              <w:pStyle w:val="Compact"/>
              <w:spacing w:before="8" w:after="8" w:line="240" w:lineRule="auto"/>
              <w:ind w:firstLine="0" w:left="0" w:right="0"/>
              <w:jc w:val="left"/>
              <w:jc w:val="center"/>
            </w:pPr>
            <w:r>
              <w:rPr>
                <w:rFonts w:ascii="Calibri" w:hAnsi="Calibri"/>
                <w:sz w:val="15"/>
              </w:rPr>
              <w:t xml:space="preserve">0.155 / 0.223</w:t>
            </w:r>
          </w:p>
        </w:tc>
        <w:tc>
          <w:tcPr/>
          <w:p>
            <w:pPr>
              <w:pStyle w:val="Compact"/>
              <w:spacing w:before="8" w:after="8" w:line="240" w:lineRule="auto"/>
              <w:ind w:firstLine="0" w:left="0" w:right="0"/>
              <w:jc w:val="left"/>
              <w:jc w:val="center"/>
            </w:pPr>
            <w:r>
              <w:rPr>
                <w:rFonts w:ascii="Calibri" w:hAnsi="Calibri"/>
                <w:sz w:val="15"/>
              </w:rPr>
              <w:t xml:space="preserve">—</w:t>
            </w:r>
          </w:p>
        </w:tc>
      </w:tr>
      <w:tr>
        <w:trPr>
          <w:cantSplit/>
        </w:trPr>
        <w:tc>
          <w:tcPr/>
          <w:p>
            <w:pPr>
              <w:pStyle w:val="Compact"/>
              <w:spacing w:before="8" w:after="8" w:line="240" w:lineRule="auto"/>
              <w:ind w:firstLine="0" w:left="0" w:right="0"/>
              <w:jc w:val="left"/>
              <w:jc w:val="center"/>
            </w:pPr>
            <w:r>
              <w:rPr>
                <w:rFonts w:ascii="Calibri" w:hAnsi="Calibri"/>
                <w:sz w:val="15"/>
              </w:rPr>
              <w:t xml:space="preserve">WELL</w:t>
            </w:r>
          </w:p>
        </w:tc>
        <w:tc>
          <w:tcPr/>
          <w:p>
            <w:pPr>
              <w:pStyle w:val="Compact"/>
              <w:spacing w:before="8" w:after="8" w:line="240" w:lineRule="auto"/>
              <w:ind w:firstLine="0" w:left="0" w:right="0"/>
              <w:jc w:val="left"/>
              <w:jc w:val="center"/>
            </w:pPr>
            <w:r>
              <w:rPr>
                <w:rFonts w:ascii="Calibri" w:hAnsi="Calibri"/>
                <w:sz w:val="15"/>
              </w:rPr>
              <w:t xml:space="preserve">Decoupling (</w:t>
            </w:r>
            <m:oMath>
              <m:r>
                <w:rPr>
                  <w:sz w:val="15"/>
                </w:rPr>
                <m:t>W</m:t>
              </m:r>
            </m:oMath>
            <w:r>
              <w:rPr>
                <w:rFonts w:ascii="Calibri" w:hAnsi="Calibri"/>
                <w:sz w:val="15"/>
              </w:rPr>
              <w:t xml:space="preserve">)</w:t>
            </w:r>
          </w:p>
        </w:tc>
        <w:tc>
          <w:tcPr/>
          <w:p>
            <w:pPr>
              <w:pStyle w:val="Compact"/>
              <w:spacing w:before="8" w:after="8" w:line="240" w:lineRule="auto"/>
              <w:ind w:firstLine="0" w:left="0" w:right="0"/>
              <w:jc w:val="left"/>
              <w:jc w:val="center"/>
            </w:pPr>
            <w:r>
              <w:rPr>
                <w:rFonts w:ascii="Calibri" w:hAnsi="Calibri"/>
                <w:sz w:val="15"/>
              </w:rPr>
              <w:t xml:space="preserve">— / -0.068</w:t>
            </w:r>
          </w:p>
        </w:tc>
        <w:tc>
          <w:tcPr/>
          <w:p>
            <w:pPr>
              <w:pStyle w:val="Compact"/>
              <w:spacing w:before="8" w:after="8" w:line="240" w:lineRule="auto"/>
              <w:ind w:firstLine="0" w:left="0" w:right="0"/>
              <w:jc w:val="left"/>
              <w:jc w:val="center"/>
            </w:pPr>
            <w:r>
              <w:rPr>
                <w:rFonts w:ascii="Calibri" w:hAnsi="Calibri"/>
                <w:sz w:val="15"/>
              </w:rPr>
              <w:t xml:space="preserve">0.142 / -0.020</w:t>
            </w:r>
          </w:p>
        </w:tc>
        <w:tc>
          <w:tcPr/>
          <w:p>
            <w:pPr>
              <w:pStyle w:val="Compact"/>
              <w:spacing w:before="8" w:after="8" w:line="240" w:lineRule="auto"/>
              <w:ind w:firstLine="0" w:left="0" w:right="0"/>
              <w:jc w:val="left"/>
              <w:jc w:val="center"/>
            </w:pPr>
            <w:r>
              <w:rPr>
                <w:rFonts w:ascii="Calibri" w:hAnsi="Calibri"/>
                <w:sz w:val="15"/>
              </w:rPr>
              <w:t xml:space="preserve">-0.126 / -0.010</w:t>
            </w:r>
          </w:p>
        </w:tc>
        <w:tc>
          <w:tcPr/>
          <w:p>
            <w:pPr>
              <w:pStyle w:val="Compact"/>
              <w:spacing w:before="8" w:after="8" w:line="240" w:lineRule="auto"/>
              <w:ind w:firstLine="0" w:left="0" w:right="0"/>
              <w:jc w:val="left"/>
              <w:jc w:val="center"/>
            </w:pPr>
            <w:r>
              <w:rPr>
                <w:rFonts w:ascii="Calibri" w:hAnsi="Calibri"/>
                <w:sz w:val="15"/>
              </w:rPr>
              <w:t xml:space="preserve">—</w:t>
            </w:r>
          </w:p>
        </w:tc>
      </w:tr>
    </w:tbl>
    <w:bookmarkEnd w:id="222"/>
    <w:p>
      <w:pPr>
        <w:pStyle w:val="FigureNote"/>
        <w:ind w:firstLine="0" w:left="0" w:right="0"/>
        <w:spacing w:before="0" w:after="120"/>
      </w:pPr>
      <w:r>
        <w:rPr>
          <w:i/>
          <w:iCs/>
        </w:rPr>
        <w:t xml:space="preserve">Notes:</w:t>
      </w:r>
      <w:r>
        <w:t xml:space="preserve"> </w:t>
      </w:r>
      <w:r>
        <w:t xml:space="preserve">Welltower’s letter (2025-04-28) reviews the FY2024 10-K filed February 2025 (</w:t>
      </w:r>
      <m:oMath>
        <m:r>
          <w:rPr>
            <w:sz w:val="22"/>
          </w:rPr>
          <m:t>k</m:t>
        </m:r>
        <m:r>
          <m:rPr>
            <m:sty m:val="p"/>
          </m:rPr>
          <w:rPr>
            <w:sz w:val="22"/>
          </w:rPr>
          <m:t>=</m:t>
        </m:r>
        <m:r>
          <m:rPr>
            <m:sty m:val="p"/>
          </m:rPr>
          <w:rPr>
            <w:sz w:val="22"/>
          </w:rPr>
          <m:t>−</m:t>
        </m:r>
        <m:r>
          <w:rPr>
            <w:sz w:val="22"/>
          </w:rPr>
          <m:t>1</m:t>
        </m:r>
      </m:oMath>
      <w:r>
        <w:t xml:space="preserve">); the next annual report, the FY2025 10-K, files February 2026 (</w:t>
      </w:r>
      <m:oMath>
        <m:r>
          <w:rPr>
            <w:sz w:val="22"/>
          </w:rPr>
          <m:t>k</m:t>
        </m:r>
        <m:r>
          <m:rPr>
            <m:sty m:val="p"/>
          </m:rPr>
          <w:rPr>
            <w:sz w:val="22"/>
          </w:rPr>
          <m:t>=</m:t>
        </m:r>
        <m:r>
          <w:rPr>
            <w:sz w:val="22"/>
          </w:rPr>
          <m:t>0</m:t>
        </m:r>
      </m:oMath>
      <w:r>
        <w:t xml:space="preserve">), so</w:t>
      </w:r>
      <w:r>
        <w:t xml:space="preserve"> </w:t>
      </w:r>
      <m:oMath>
        <m:r>
          <w:rPr>
            <w:sz w:val="22"/>
          </w:rPr>
          <m:t>k</m:t>
        </m:r>
        <m:r>
          <m:rPr>
            <m:sty m:val="p"/>
          </m:rPr>
          <w:rPr>
            <w:sz w:val="22"/>
          </w:rPr>
          <m:t>=</m:t>
        </m:r>
        <m:r>
          <m:rPr>
            <m:sty m:val="p"/>
          </m:rPr>
          <w:rPr>
            <w:sz w:val="22"/>
          </w:rPr>
          <m:t>+</m:t>
        </m:r>
        <m:r>
          <w:rPr>
            <w:sz w:val="22"/>
          </w:rPr>
          <m:t>1</m:t>
        </m:r>
      </m:oMath>
      <w:r>
        <w:t xml:space="preserve"> </w:t>
      </w:r>
      <w:r>
        <w:t xml:space="preserve">does not exist yet. Arista’s letters (2024-07-25, 2024-10-16) review the FY2023 10-K;</w:t>
      </w:r>
      <w:r>
        <w:t xml:space="preserve"> </w:t>
      </w:r>
      <m:oMath>
        <m:r>
          <w:rPr>
            <w:sz w:val="22"/>
          </w:rPr>
          <m:t>k</m:t>
        </m:r>
        <m:r>
          <m:rPr>
            <m:sty m:val="p"/>
          </m:rPr>
          <w:rPr>
            <w:sz w:val="22"/>
          </w:rPr>
          <m:t>=</m:t>
        </m:r>
        <m:r>
          <w:rPr>
            <w:sz w:val="22"/>
          </w:rPr>
          <m:t>0</m:t>
        </m:r>
      </m:oMath>
      <w:r>
        <w:t xml:space="preserve"> </w:t>
      </w:r>
      <w:r>
        <w:t xml:space="preserve">is the FY2024 10-K filed February 2025. Peers: ANET: NTAP, HPQ, JCI, WELL: SPG, AVB, AMT.</w:t>
      </w:r>
    </w:p>
    <w:bookmarkEnd w:id="223"/>
    <w:bookmarkEnd w:id="224"/>
    <w:bookmarkStart w:id="226" w:name="appendix-e"/>
    <w:p>
      <w:pPr>
        <w:pStyle w:val="Ttulo2"/>
      </w:pPr>
      <w:r>
        <w:t xml:space="preserve">Appendix E: Sector, Cohort, and Rollup Disaggregation</w:t>
      </w:r>
    </w:p>
    <w:p>
      <w:pPr>
        <w:pStyle w:val="FirstParagraph"/>
      </w:pPr>
      <w:r>
        <w:t xml:space="preserve">The disclosure-posture, activity, decoupling, and credibility results above are computed on the pooled S&amp;P 500 panel. This appendix disaggregates those constructs by two-digit SIC sector, filer cohort, and rollup method, using the same firm-year and activity-level tables read elsewhere in this thesis; no new constructs are introduced.</w:t>
      </w:r>
    </w:p>
    <w:bookmarkStart w:id="227" w:name="appendix-e1"/>
    <w:p>
      <w:pPr>
        <w:pStyle w:val="Ttulo3"/>
      </w:pPr>
      <w:r>
        <w:t xml:space="preserve">E.1 Is the grounding decline within firms, or driven by new filers?</w:t>
      </w:r>
    </w:p>
    <w:bookmarkStart w:id="228" w:name="tbl-h5-cohort-grounding"/>
    <w:p>
      <w:pPr>
        <w:keepNext/>
        <w:pStyle w:val="ImageCaption"/>
        <w:jc w:val="left"/>
        <w:spacing w:before="200"/>
        <w:ind w:firstLine="0" w:left="0" w:right="0"/>
      </w:pPr>
      <w:r>
        <w:t xml:space="preserve">Table 50:</w:t>
      </w:r>
      <w:r>
        <w:t xml:space="preserve"> </w:t>
      </w:r>
      <w:r>
        <w:rPr>
          <w:rStyle w:val="CaptionText"/>
        </w:rPr>
        <w:t xml:space="preserve">Mean AI activity grounding (</w:t>
      </w:r>
      <m:oMath>
        <m:r>
          <w:rPr>
            <w:sz w:val="22"/>
          </w:rPr>
          <m:t>G</m:t>
        </m:r>
      </m:oMath>
      <w:r>
        <w:rPr>
          <w:rStyle w:val="CaptionText"/>
        </w:rPr>
        <w:t xml:space="preserve">) by year, fixed cohort vs. new filers.</w:t>
      </w:r>
    </w:p>
    <w:tbl>
      <w:tblPr>
        <w:tblStyle w:val="Table"/>
        <w:tblW w:type="auto" w:w="0"/>
        <w:jc w:val="center"/>
        <w:tblLook w:firstRow="1" w:lastRow="0" w:firstColumn="0" w:lastColumn="0" w:noHBand="0" w:noVBand="0" w:val="0020"/>
        <w:tblBorders>
          <w:top w:val="single" w:sz="8" w:space="0" w:color="0F172A"/>
          <w:bottom w:val="single" w:sz="8" w:space="0" w:color="0F172A"/>
          <w:left w:val="none"/>
          <w:right w:val="none"/>
          <w:insideH w:val="single" w:sz="4" w:space="0" w:color="E2E8F0"/>
          <w:insideV w:val="none"/>
        </w:tblBorders>
        <w:tblCellMar>
          <w:top w:w="26" w:type="dxa"/>
          <w:bottom w:w="26" w:type="dxa"/>
          <w:left w:w="48" w:type="dxa"/>
          <w:right w:w="48" w:type="dxa"/>
        </w:tblCellMar>
      </w:tblPr>
      <w:tblGrid>
        <w:gridCol w:w="2640"/>
        <w:gridCol w:w="2640"/>
        <w:gridCol w:w="2640"/>
      </w:tblGrid>
      <w:tr>
        <w:trPr>
          <w:tblHeader w:val="on"/>
          <w:cantSplit/>
          <w:tblHeader/>
        </w:trPr>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6"/>
              </w:rPr>
              <w:t xml:space="preserve">Year</w:t>
            </w:r>
          </w:p>
        </w:tc>
        <w:tc>
          <w:tcPr>
            <w:shd w:fill="F1F5F9"/>
            <w:tcBorders>
              <w:bottom w:val="single" w:sz="8" w:space="0" w:color="475569"/>
            </w:tcBorders>
          </w:tcPr>
          <w:p>
            <w:pPr>
              <w:pStyle w:val="Compact"/>
              <w:keepNext/>
              <w:spacing w:before="8" w:after="8" w:line="240" w:lineRule="auto"/>
              <w:ind w:firstLine="0" w:left="0" w:right="0"/>
              <w:jc w:val="right"/>
              <w:jc w:val="center"/>
            </w:pPr>
            <w:r>
              <w:rPr>
                <w:rFonts w:ascii="Calibri" w:hAnsi="Calibri"/>
                <w:b/>
                <w:color w:val="0F172A"/>
                <w:sz w:val="16"/>
              </w:rPr>
              <w:t xml:space="preserve">Fixed cohort (2021 filers),</w:t>
            </w:r>
            <w:r>
              <w:rPr>
                <w:rFonts w:ascii="Calibri" w:hAnsi="Calibri"/>
                <w:b/>
                <w:color w:val="0F172A"/>
                <w:sz w:val="16"/>
              </w:rPr>
              <w:t xml:space="preserve"> </w:t>
            </w:r>
            <m:oMath>
              <m:r>
                <w:rPr>
                  <w:sz w:val="16"/>
                </w:rPr>
                <m:t>G</m:t>
              </m:r>
            </m:oMath>
          </w:p>
        </w:tc>
        <w:tc>
          <w:tcPr>
            <w:shd w:fill="F1F5F9"/>
            <w:tcBorders>
              <w:bottom w:val="single" w:sz="8" w:space="0" w:color="475569"/>
            </w:tcBorders>
          </w:tcPr>
          <w:p>
            <w:pPr>
              <w:pStyle w:val="Compact"/>
              <w:keepNext/>
              <w:spacing w:before="8" w:after="8" w:line="240" w:lineRule="auto"/>
              <w:ind w:firstLine="0" w:left="0" w:right="0"/>
              <w:jc w:val="right"/>
              <w:jc w:val="center"/>
            </w:pPr>
            <w:r>
              <w:rPr>
                <w:rFonts w:ascii="Calibri" w:hAnsi="Calibri"/>
                <w:b/>
                <w:color w:val="0F172A"/>
                <w:sz w:val="16"/>
              </w:rPr>
              <w:t xml:space="preserve">New filers’ first year,</w:t>
            </w:r>
            <w:r>
              <w:rPr>
                <w:rFonts w:ascii="Calibri" w:hAnsi="Calibri"/>
                <w:b/>
                <w:color w:val="0F172A"/>
                <w:sz w:val="16"/>
              </w:rPr>
              <w:t xml:space="preserve"> </w:t>
            </w:r>
            <m:oMath>
              <m:r>
                <w:rPr>
                  <w:sz w:val="16"/>
                </w:rPr>
                <m:t>G</m:t>
              </m:r>
            </m:oMath>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2021</w:t>
            </w:r>
          </w:p>
        </w:tc>
        <w:tc>
          <w:tcPr/>
          <w:p>
            <w:pPr>
              <w:pStyle w:val="Compact"/>
              <w:keepNext/>
              <w:spacing w:before="8" w:after="8" w:line="240" w:lineRule="auto"/>
              <w:ind w:firstLine="0" w:left="0" w:right="0"/>
              <w:jc w:val="right"/>
              <w:jc w:val="center"/>
            </w:pPr>
            <w:r>
              <w:rPr>
                <w:rFonts w:ascii="Calibri" w:hAnsi="Calibri"/>
                <w:sz w:val="16"/>
              </w:rPr>
              <w:t xml:space="preserve">0.442</w:t>
            </w:r>
          </w:p>
        </w:tc>
        <w:tc>
          <w:tcPr/>
          <w:p>
            <w:pPr>
              <w:pStyle w:val="Compact"/>
              <w:keepNext/>
              <w:spacing w:before="8" w:after="8" w:line="240" w:lineRule="auto"/>
              <w:ind w:firstLine="0" w:left="0" w:right="0"/>
              <w:jc w:val="right"/>
              <w:jc w:val="center"/>
            </w:pPr>
            <w:r>
              <w:rPr>
                <w:rFonts w:ascii="Calibri" w:hAnsi="Calibri"/>
                <w:sz w:val="16"/>
              </w:rPr>
              <w:t xml:space="preserve">0.442</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2022</w:t>
            </w:r>
          </w:p>
        </w:tc>
        <w:tc>
          <w:tcPr/>
          <w:p>
            <w:pPr>
              <w:pStyle w:val="Compact"/>
              <w:keepNext/>
              <w:spacing w:before="8" w:after="8" w:line="240" w:lineRule="auto"/>
              <w:ind w:firstLine="0" w:left="0" w:right="0"/>
              <w:jc w:val="right"/>
              <w:jc w:val="center"/>
            </w:pPr>
            <w:r>
              <w:rPr>
                <w:rFonts w:ascii="Calibri" w:hAnsi="Calibri"/>
                <w:sz w:val="16"/>
              </w:rPr>
              <w:t xml:space="preserve">0.454</w:t>
            </w:r>
          </w:p>
        </w:tc>
        <w:tc>
          <w:tcPr/>
          <w:p>
            <w:pPr>
              <w:pStyle w:val="Compact"/>
              <w:keepNext/>
              <w:spacing w:before="8" w:after="8" w:line="240" w:lineRule="auto"/>
              <w:ind w:firstLine="0" w:left="0" w:right="0"/>
              <w:jc w:val="right"/>
              <w:jc w:val="center"/>
            </w:pPr>
            <w:r>
              <w:rPr>
                <w:rFonts w:ascii="Calibri" w:hAnsi="Calibri"/>
                <w:sz w:val="16"/>
              </w:rPr>
              <w:t xml:space="preserve">0.468</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2023</w:t>
            </w:r>
          </w:p>
        </w:tc>
        <w:tc>
          <w:tcPr/>
          <w:p>
            <w:pPr>
              <w:pStyle w:val="Compact"/>
              <w:keepNext/>
              <w:spacing w:before="8" w:after="8" w:line="240" w:lineRule="auto"/>
              <w:ind w:firstLine="0" w:left="0" w:right="0"/>
              <w:jc w:val="right"/>
              <w:jc w:val="center"/>
            </w:pPr>
            <w:r>
              <w:rPr>
                <w:rFonts w:ascii="Calibri" w:hAnsi="Calibri"/>
                <w:sz w:val="16"/>
              </w:rPr>
              <w:t xml:space="preserve">0.441</w:t>
            </w:r>
          </w:p>
        </w:tc>
        <w:tc>
          <w:tcPr/>
          <w:p>
            <w:pPr>
              <w:pStyle w:val="Compact"/>
              <w:keepNext/>
              <w:spacing w:before="8" w:after="8" w:line="240" w:lineRule="auto"/>
              <w:ind w:firstLine="0" w:left="0" w:right="0"/>
              <w:jc w:val="right"/>
              <w:jc w:val="center"/>
            </w:pPr>
            <w:r>
              <w:rPr>
                <w:rFonts w:ascii="Calibri" w:hAnsi="Calibri"/>
                <w:sz w:val="16"/>
              </w:rPr>
              <w:t xml:space="preserve">0.415</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2024</w:t>
            </w:r>
          </w:p>
        </w:tc>
        <w:tc>
          <w:tcPr/>
          <w:p>
            <w:pPr>
              <w:pStyle w:val="Compact"/>
              <w:keepNext/>
              <w:spacing w:before="8" w:after="8" w:line="240" w:lineRule="auto"/>
              <w:ind w:firstLine="0" w:left="0" w:right="0"/>
              <w:jc w:val="right"/>
              <w:jc w:val="center"/>
            </w:pPr>
            <w:r>
              <w:rPr>
                <w:rFonts w:ascii="Calibri" w:hAnsi="Calibri"/>
                <w:sz w:val="16"/>
              </w:rPr>
              <w:t xml:space="preserve">0.391</w:t>
            </w:r>
          </w:p>
        </w:tc>
        <w:tc>
          <w:tcPr/>
          <w:p>
            <w:pPr>
              <w:pStyle w:val="Compact"/>
              <w:keepNext/>
              <w:spacing w:before="8" w:after="8" w:line="240" w:lineRule="auto"/>
              <w:ind w:firstLine="0" w:left="0" w:right="0"/>
              <w:jc w:val="right"/>
              <w:jc w:val="center"/>
            </w:pPr>
            <w:r>
              <w:rPr>
                <w:rFonts w:ascii="Calibri" w:hAnsi="Calibri"/>
                <w:sz w:val="16"/>
              </w:rPr>
              <w:t xml:space="preserve">0.355</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2025</w:t>
            </w:r>
          </w:p>
        </w:tc>
        <w:tc>
          <w:tcPr/>
          <w:p>
            <w:pPr>
              <w:pStyle w:val="Compact"/>
              <w:keepNext/>
              <w:spacing w:before="8" w:after="8" w:line="240" w:lineRule="auto"/>
              <w:ind w:firstLine="0" w:left="0" w:right="0"/>
              <w:jc w:val="right"/>
              <w:jc w:val="center"/>
            </w:pPr>
            <w:r>
              <w:rPr>
                <w:rFonts w:ascii="Calibri" w:hAnsi="Calibri"/>
                <w:sz w:val="16"/>
              </w:rPr>
              <w:t xml:space="preserve">0.385</w:t>
            </w:r>
          </w:p>
        </w:tc>
        <w:tc>
          <w:tcPr/>
          <w:p>
            <w:pPr>
              <w:pStyle w:val="Compact"/>
              <w:keepNext/>
              <w:spacing w:before="8" w:after="8" w:line="240" w:lineRule="auto"/>
              <w:ind w:firstLine="0" w:left="0" w:right="0"/>
              <w:jc w:val="right"/>
              <w:jc w:val="center"/>
            </w:pPr>
            <w:r>
              <w:rPr>
                <w:rFonts w:ascii="Calibri" w:hAnsi="Calibri"/>
                <w:sz w:val="16"/>
              </w:rPr>
              <w:t xml:space="preserve">0.34</w:t>
            </w:r>
          </w:p>
        </w:tc>
      </w:tr>
      <w:tr>
        <w:trPr>
          <w:cantSplit/>
        </w:trPr>
        <w:tc>
          <w:tcPr/>
          <w:p>
            <w:pPr>
              <w:pStyle w:val="Compact"/>
              <w:spacing w:before="8" w:after="8" w:line="240" w:lineRule="auto"/>
              <w:ind w:firstLine="0" w:left="0" w:right="0"/>
              <w:jc w:val="left"/>
              <w:jc w:val="center"/>
            </w:pPr>
            <w:r>
              <w:rPr>
                <w:rFonts w:ascii="Calibri" w:hAnsi="Calibri"/>
                <w:sz w:val="16"/>
              </w:rPr>
              <w:t xml:space="preserve">2026</w:t>
            </w:r>
          </w:p>
        </w:tc>
        <w:tc>
          <w:tcPr/>
          <w:p>
            <w:pPr>
              <w:pStyle w:val="Compact"/>
              <w:spacing w:before="8" w:after="8" w:line="240" w:lineRule="auto"/>
              <w:ind w:firstLine="0" w:left="0" w:right="0"/>
              <w:jc w:val="right"/>
              <w:jc w:val="center"/>
            </w:pPr>
            <w:r>
              <w:rPr>
                <w:rFonts w:ascii="Calibri" w:hAnsi="Calibri"/>
                <w:sz w:val="16"/>
              </w:rPr>
              <w:t xml:space="preserve">0.388</w:t>
            </w:r>
          </w:p>
        </w:tc>
        <w:tc>
          <w:tcPr/>
          <w:p>
            <w:pPr>
              <w:pStyle w:val="Compact"/>
              <w:spacing w:before="8" w:after="8" w:line="240" w:lineRule="auto"/>
              <w:ind w:firstLine="0" w:left="0" w:right="0"/>
              <w:jc w:val="right"/>
              <w:jc w:val="center"/>
            </w:pPr>
            <w:r>
              <w:rPr>
                <w:rFonts w:ascii="Calibri" w:hAnsi="Calibri"/>
                <w:sz w:val="16"/>
              </w:rPr>
              <w:t xml:space="preserve">0.35</w:t>
            </w:r>
          </w:p>
        </w:tc>
      </w:tr>
    </w:tbl>
    <w:bookmarkEnd w:id="225"/>
    <w:p>
      <w:pPr>
        <w:pStyle w:val="FigureNote"/>
        <w:ind w:firstLine="0" w:left="0" w:right="0"/>
        <w:spacing w:before="0" w:after="120"/>
      </w:pPr>
      <w:r>
        <w:rPr>
          <w:i/>
          <w:iCs/>
        </w:rPr>
        <w:t xml:space="preserve">Notes:</w:t>
      </w:r>
      <w:r>
        <w:t xml:space="preserve"> </w:t>
      </w:r>
      <w:r>
        <w:t xml:space="preserve">Fixed cohort: firms present since the first panel year. New filers: firms in their first disclosing year.</w:t>
      </w:r>
    </w:p>
    <w:p>
      <w:pPr>
        <w:pStyle w:val="Textoindependiente"/>
      </w:pPr>
      <w:r>
        <w:t xml:space="preserve">Grounding falls inside the same fixed cohort of firms, so the decline is not only a composition effect from less-grounded firms entering the panel. Firms that have been disclosing AI activity since the first panel year show grounding falling over the whole period, and from 2023 onward each year’s new filers enter at or below that year’s incumbent level; in 2022, the first year with a new-filer cohort, new filers entered slightly above it. Both mechanisms are at work: existing disclosers dilute their own claims over time, and from 2023 new entrants arrive already diluted.</w:t>
      </w:r>
    </w:p>
    <w:bookmarkEnd w:id="226"/>
    <w:bookmarkStart w:id="229" w:name="appendix-e2"/>
    <w:p>
      <w:pPr>
        <w:pStyle w:val="Ttulo3"/>
      </w:pPr>
      <w:r>
        <w:t xml:space="preserve">E.2 Do the results depend on the rollup method?</w:t>
      </w:r>
    </w:p>
    <w:bookmarkStart w:id="230" w:name="tbl-h8-rollup-sensitivity"/>
    <w:p>
      <w:pPr>
        <w:keepNext/>
        <w:pStyle w:val="ImageCaption"/>
        <w:jc w:val="left"/>
        <w:spacing w:before="200"/>
        <w:ind w:firstLine="0" w:left="0" w:right="0"/>
      </w:pPr>
      <w:r>
        <w:t xml:space="preserve">Table 51:</w:t>
      </w:r>
      <w:r>
        <w:t xml:space="preserve"> </w:t>
      </w:r>
      <w:r>
        <w:rPr>
          <w:rStyle w:val="CaptionText"/>
        </w:rPr>
        <w:t xml:space="preserve">Share of disclosed AI activities meeting the named-product-or-metric grounding bar, by channel, under two rollup methods.</w:t>
      </w:r>
    </w:p>
    <w:tbl>
      <w:tblPr>
        <w:tblStyle w:val="Table"/>
        <w:tblW w:type="auto" w:w="0"/>
        <w:jc w:val="center"/>
        <w:tblLook w:firstRow="1" w:lastRow="0" w:firstColumn="0" w:lastColumn="0" w:noHBand="0" w:noVBand="0" w:val="0020"/>
        <w:tblBorders>
          <w:top w:val="single" w:sz="8" w:space="0" w:color="0F172A"/>
          <w:bottom w:val="single" w:sz="8" w:space="0" w:color="0F172A"/>
          <w:left w:val="none"/>
          <w:right w:val="none"/>
          <w:insideH w:val="single" w:sz="4" w:space="0" w:color="E2E8F0"/>
          <w:insideV w:val="none"/>
        </w:tblBorders>
        <w:tblCellMar>
          <w:top w:w="26" w:type="dxa"/>
          <w:bottom w:w="26" w:type="dxa"/>
          <w:left w:w="48" w:type="dxa"/>
          <w:right w:w="48" w:type="dxa"/>
        </w:tblCellMar>
      </w:tblPr>
      <w:tblGrid>
        <w:gridCol w:w="2640"/>
        <w:gridCol w:w="2640"/>
        <w:gridCol w:w="2640"/>
      </w:tblGrid>
      <w:tr>
        <w:trPr>
          <w:tblHeader w:val="on"/>
          <w:cantSplit/>
          <w:tblHeader/>
        </w:trPr>
        <w:tc>
          <w:tcPr>
            <w:shd w:fill="F1F5F9"/>
            <w:tcBorders>
              <w:bottom w:val="single" w:sz="8" w:space="0" w:color="475569"/>
            </w:tcBorders>
          </w:tcPr>
          <w:p>
            <w:pPr>
              <w:pStyle w:val="Compact"/>
              <w:keepNext/>
              <w:spacing w:before="8" w:after="8" w:line="240" w:lineRule="auto"/>
              <w:ind w:firstLine="0" w:left="0" w:right="0"/>
              <w:jc w:val="left"/>
              <w:jc w:val="center"/>
            </w:pPr>
            <w:r>
              <w:rPr>
                <w:rFonts w:ascii="Calibri" w:hAnsi="Calibri"/>
                <w:b/>
                <w:color w:val="0F172A"/>
                <w:sz w:val="16"/>
              </w:rPr>
              <w:t xml:space="preserve">Channel</w:t>
            </w:r>
          </w:p>
        </w:tc>
        <w:tc>
          <w:tcPr>
            <w:shd w:fill="F1F5F9"/>
            <w:tcBorders>
              <w:bottom w:val="single" w:sz="8" w:space="0" w:color="475569"/>
            </w:tcBorders>
          </w:tcPr>
          <w:p>
            <w:pPr>
              <w:pStyle w:val="Compact"/>
              <w:keepNext/>
              <w:spacing w:before="8" w:after="8" w:line="240" w:lineRule="auto"/>
              <w:ind w:firstLine="0" w:left="0" w:right="0"/>
              <w:jc w:val="right"/>
              <w:jc w:val="center"/>
            </w:pPr>
            <w:r>
              <w:rPr>
                <w:rFonts w:ascii="Calibri" w:hAnsi="Calibri"/>
                <w:b/>
                <w:color w:val="0F172A"/>
                <w:sz w:val="16"/>
              </w:rPr>
              <w:t xml:space="preserve">Activity-weighted (pooled)</w:t>
            </w:r>
          </w:p>
        </w:tc>
        <w:tc>
          <w:tcPr>
            <w:shd w:fill="F1F5F9"/>
            <w:tcBorders>
              <w:bottom w:val="single" w:sz="8" w:space="0" w:color="475569"/>
            </w:tcBorders>
          </w:tcPr>
          <w:p>
            <w:pPr>
              <w:pStyle w:val="Compact"/>
              <w:keepNext/>
              <w:spacing w:before="8" w:after="8" w:line="240" w:lineRule="auto"/>
              <w:ind w:firstLine="0" w:left="0" w:right="0"/>
              <w:jc w:val="right"/>
              <w:jc w:val="center"/>
            </w:pPr>
            <w:r>
              <w:rPr>
                <w:rFonts w:ascii="Calibri" w:hAnsi="Calibri"/>
                <w:b/>
                <w:color w:val="0F172A"/>
                <w:sz w:val="16"/>
              </w:rPr>
              <w:t xml:space="preserve">Firm-weighted (equal per firm)</w:t>
            </w:r>
          </w:p>
        </w:tc>
      </w:tr>
      <w:tr>
        <w:trPr>
          <w:cantSplit/>
        </w:trPr>
        <w:tc>
          <w:tcPr/>
          <w:p>
            <w:pPr>
              <w:pStyle w:val="Compact"/>
              <w:keepNext/>
              <w:spacing w:before="8" w:after="8" w:line="240" w:lineRule="auto"/>
              <w:ind w:firstLine="0" w:left="0" w:right="0"/>
              <w:jc w:val="left"/>
              <w:jc w:val="center"/>
            </w:pPr>
            <w:r>
              <w:rPr>
                <w:rFonts w:ascii="Calibri" w:hAnsi="Calibri"/>
                <w:sz w:val="16"/>
              </w:rPr>
              <w:t xml:space="preserve">call</w:t>
            </w:r>
          </w:p>
        </w:tc>
        <w:tc>
          <w:tcPr/>
          <w:p>
            <w:pPr>
              <w:pStyle w:val="Compact"/>
              <w:keepNext/>
              <w:spacing w:before="8" w:after="8" w:line="240" w:lineRule="auto"/>
              <w:ind w:firstLine="0" w:left="0" w:right="0"/>
              <w:jc w:val="right"/>
              <w:jc w:val="center"/>
            </w:pPr>
            <w:r>
              <w:rPr>
                <w:rFonts w:ascii="Calibri" w:hAnsi="Calibri"/>
                <w:sz w:val="16"/>
              </w:rPr>
              <w:t xml:space="preserve">64.0%</w:t>
            </w:r>
          </w:p>
        </w:tc>
        <w:tc>
          <w:tcPr/>
          <w:p>
            <w:pPr>
              <w:pStyle w:val="Compact"/>
              <w:keepNext/>
              <w:spacing w:before="8" w:after="8" w:line="240" w:lineRule="auto"/>
              <w:ind w:firstLine="0" w:left="0" w:right="0"/>
              <w:jc w:val="right"/>
              <w:jc w:val="center"/>
            </w:pPr>
            <w:r>
              <w:rPr>
                <w:rFonts w:ascii="Calibri" w:hAnsi="Calibri"/>
                <w:sz w:val="16"/>
              </w:rPr>
              <w:t xml:space="preserve">52.1%</w:t>
            </w:r>
          </w:p>
        </w:tc>
      </w:tr>
      <w:tr>
        <w:trPr>
          <w:cantSplit/>
        </w:trPr>
        <w:tc>
          <w:tcPr/>
          <w:p>
            <w:pPr>
              <w:pStyle w:val="Compact"/>
              <w:spacing w:before="8" w:after="8" w:line="240" w:lineRule="auto"/>
              <w:ind w:firstLine="0" w:left="0" w:right="0"/>
              <w:jc w:val="left"/>
              <w:jc w:val="center"/>
            </w:pPr>
            <w:r>
              <w:rPr>
                <w:rFonts w:ascii="Calibri" w:hAnsi="Calibri"/>
                <w:sz w:val="16"/>
              </w:rPr>
              <w:t xml:space="preserve">filing</w:t>
            </w:r>
          </w:p>
        </w:tc>
        <w:tc>
          <w:tcPr/>
          <w:p>
            <w:pPr>
              <w:pStyle w:val="Compact"/>
              <w:spacing w:before="8" w:after="8" w:line="240" w:lineRule="auto"/>
              <w:ind w:firstLine="0" w:left="0" w:right="0"/>
              <w:jc w:val="right"/>
              <w:jc w:val="center"/>
            </w:pPr>
            <w:r>
              <w:rPr>
                <w:rFonts w:ascii="Calibri" w:hAnsi="Calibri"/>
                <w:sz w:val="16"/>
              </w:rPr>
              <w:t xml:space="preserve">50.8%</w:t>
            </w:r>
          </w:p>
        </w:tc>
        <w:tc>
          <w:tcPr/>
          <w:p>
            <w:pPr>
              <w:pStyle w:val="Compact"/>
              <w:spacing w:before="8" w:after="8" w:line="240" w:lineRule="auto"/>
              <w:ind w:firstLine="0" w:left="0" w:right="0"/>
              <w:jc w:val="right"/>
              <w:jc w:val="center"/>
            </w:pPr>
            <w:r>
              <w:rPr>
                <w:rFonts w:ascii="Calibri" w:hAnsi="Calibri"/>
                <w:sz w:val="16"/>
              </w:rPr>
              <w:t xml:space="preserve">34.0%</w:t>
            </w:r>
          </w:p>
        </w:tc>
      </w:tr>
    </w:tbl>
    <w:bookmarkEnd w:id="227"/>
    <w:p/>
    <w:p>
      <w:pPr>
        <w:pStyle w:val="Textoindependiente"/>
      </w:pPr>
      <w:r>
        <w:t xml:space="preserve">Activity-weighted rollups (each disclosed activity counted once, so heavy disclosers dominate) and firm-weighted rollups (each firm-year counted once regardless of how many activities it discloses) answer different questions:</w:t>
      </w:r>
      <w:r>
        <w:t xml:space="preserve"> </w:t>
      </w:r>
      <w:r>
        <w:t xml:space="preserve">“how grounded is the typical disclosed activity?”</w:t>
      </w:r>
      <w:r>
        <w:t xml:space="preserve"> </w:t>
      </w:r>
      <w:r>
        <w:t xml:space="preserve">versus</w:t>
      </w:r>
      <w:r>
        <w:t xml:space="preserve"> </w:t>
      </w:r>
      <w:r>
        <w:t xml:space="preserve">“how grounded is the typical firm’s disclosure?”</w:t>
      </w:r>
      <w:r>
        <w:t xml:space="preserve"> </w:t>
      </w:r>
      <w:r>
        <w:t xml:space="preserve">They give different levels here, because firms with fewer disclosed activities tend to ground a smaller share of them.</w:t>
      </w:r>
    </w:p>
    <w:p>
      <w:pPr>
        <w:pStyle w:val="Textoindependiente"/>
      </w:pPr>
      <w:r>
        <w:t xml:space="preserve">Both rollups agree on the qualitative finding that motivates the credibility chapter: calls are more grounded than filings under either weighting.</w:t>
      </w:r>
    </w:p>
    <w:bookmarkEnd w:id="228"/>
    <w:bookmarkEnd w:id="229"/>
    <w:bookmarkEnd w:id="230"/>
    <w:bookmarkStart w:id="231" w:name="ai-statement"/>
    <w:p>
      <w:pPr>
        <w:pStyle w:val="Ttulo1"/>
      </w:pPr>
      <w:r>
        <w:rPr>
          <w:caps/>
          <w:smallCaps w:val="0"/>
        </w:rPr>
        <w:t xml:space="preserve">AI Statement</w:t>
      </w:r>
    </w:p>
    <w:p>
      <w:pPr>
        <w:pStyle w:val="FirstParagraph"/>
      </w:pPr>
      <w:r>
        <w:t xml:space="preserve">Generative AI served two roles in this thesis. Both are declared here under program rules.</w:t>
      </w:r>
    </w:p>
    <w:p>
      <w:pPr>
        <w:pStyle w:val="Textoindependiente"/>
      </w:pPr>
      <w:r>
        <w:t xml:space="preserve">First, large language models served as measurement tools. A zero-shot LLM extractor (gpt-5.6-luna) extracted semantic frames from candidate paragraphs, and then in a second pass extracted the inventory of disclosed AI activities. It was accessed via an API with schema-constrained outputs. The models did not produce empirical results directly as both acted as annotators running a fixed, documented prompt. I checked their outputs against labels from a second, independent model, read selected paragraphs and firms myself during development, and checked cross-model agreement. The stratified samples for a systematic human review (300 paragraphs for the prefilter, 120 paragraphs and 267 activities for the activity fields) are drawn but not yet reviewed. Deterministic code then computed every downstream construct from these structured outputs.</w:t>
      </w:r>
    </w:p>
    <w:p>
      <w:pPr>
        <w:pStyle w:val="Textoindependiente"/>
      </w:pPr>
      <w:r>
        <w:t xml:space="preserve">Second, LLMs (Anthropic Claude, via Claude Code; and Google Gemini, via Antigravity CLI) served as tools while preparing this work. They helped write and debug both pipeline and analytics scripts, helped draft figures and tables from computed data. They also helped check references, find source PDFs, and both spellcheck and iterate on drafts. All research questions, hypotheses, design choices, interpretations, and conclusions are the author’s own. Every number reported comes from the author’s code on the author’s data. The author takes full responsibility for all the content.</w:t>
      </w:r>
    </w:p>
    <w:bookmarkEnd w:id="231"/>
    <w:sectPr w:rsidR="00E61A7C" w:rsidRPr="001479DE" w:rsidSect="00EF58DF">
      <w:headerReference w:type="even" r:id="rId13"/>
      <w:headerReference w:type="default" r:id="rId14"/>
      <w:footerReference w:type="even" r:id="rId15"/>
      <w:footerReference w:type="default" r:id="rId16"/>
      <w:headerReference w:type="first" r:id="rId17"/>
      <w:footerReference w:type="first" r:id="rId18"/>
      <w:pgSz w:w="11906" w:h="16838" w:code="9"/>
      <w:pgMar w:top="1701" w:right="1134" w:bottom="1559" w:left="1134" w:header="709" w:footer="567" w:gutter="56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4F441" w14:textId="77777777" w:rsidR="00B41EDC" w:rsidRDefault="00B41EDC">
      <w:pPr>
        <w:spacing w:before="0" w:after="0"/>
      </w:pPr>
      <w:r>
        <w:separator/>
      </w:r>
    </w:p>
  </w:endnote>
  <w:endnote w:type="continuationSeparator" w:id="0">
    <w:p w14:paraId="13160326" w14:textId="77777777" w:rsidR="00B41EDC" w:rsidRDefault="00B41ED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A731D" w14:textId="77777777" w:rsidR="009D408B" w:rsidRPr="00EF58DF" w:rsidRDefault="009D408B" w:rsidP="00EF58DF">
    <w:pPr>
      <w:pStyle w:val="Piedepgina"/>
      <w:pBdr>
        <w:top w:val="single" w:sz="4" w:space="1" w:color="00897B"/>
      </w:pBdr>
      <w:jc w:val="left"/>
      <w:rPr>
        <w:b/>
        <w:sz w:val="18"/>
      </w:rPr>
    </w:pPr>
    <w:r w:rsidRPr="00EF58DF">
      <w:rPr>
        <w:rStyle w:val="Nmerodepgina"/>
        <w:b w:val="0"/>
        <w:sz w:val="20"/>
      </w:rPr>
      <w:fldChar w:fldCharType="begin"/>
    </w:r>
    <w:r w:rsidRPr="00EF58DF">
      <w:rPr>
        <w:rStyle w:val="Nmerodepgina"/>
        <w:b w:val="0"/>
        <w:sz w:val="20"/>
      </w:rPr>
      <w:instrText xml:space="preserve"> PAGE </w:instrText>
    </w:r>
    <w:r w:rsidRPr="00EF58DF">
      <w:rPr>
        <w:rStyle w:val="Nmerodepgina"/>
        <w:b w:val="0"/>
        <w:sz w:val="20"/>
      </w:rPr>
      <w:fldChar w:fldCharType="separate"/>
    </w:r>
    <w:r w:rsidR="00A93668">
      <w:rPr>
        <w:rStyle w:val="Nmerodepgina"/>
        <w:b w:val="0"/>
        <w:noProof/>
        <w:sz w:val="20"/>
      </w:rPr>
      <w:t>2</w:t>
    </w:r>
    <w:r w:rsidRPr="00EF58DF">
      <w:rPr>
        <w:rStyle w:val="Nmerodepgina"/>
        <w:b w:val="0"/>
        <w:sz w:val="20"/>
      </w:rPr>
      <w:fldChar w:fldCharType="end"/>
    </w:r>
  </w:p>
  <w:p w14:paraId="63EB029B" w14:textId="77777777" w:rsidR="00AC6EC1" w:rsidRDefault="00AC6EC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61542" w14:textId="77777777" w:rsidR="00242CFA" w:rsidRPr="00EF58DF" w:rsidRDefault="00242CFA" w:rsidP="00EF58DF">
    <w:pPr>
      <w:pStyle w:val="Piedepgina"/>
      <w:pBdr>
        <w:top w:val="single" w:sz="4" w:space="1" w:color="00897B"/>
      </w:pBdr>
      <w:rPr>
        <w:b/>
        <w:sz w:val="18"/>
      </w:rPr>
    </w:pPr>
    <w:r w:rsidRPr="00EF58DF">
      <w:rPr>
        <w:rStyle w:val="Nmerodepgina"/>
        <w:b w:val="0"/>
        <w:sz w:val="20"/>
      </w:rPr>
      <w:fldChar w:fldCharType="begin"/>
    </w:r>
    <w:r w:rsidRPr="00EF58DF">
      <w:rPr>
        <w:rStyle w:val="Nmerodepgina"/>
        <w:b w:val="0"/>
        <w:sz w:val="20"/>
      </w:rPr>
      <w:instrText xml:space="preserve"> PAGE </w:instrText>
    </w:r>
    <w:r w:rsidRPr="00EF58DF">
      <w:rPr>
        <w:rStyle w:val="Nmerodepgina"/>
        <w:b w:val="0"/>
        <w:sz w:val="20"/>
      </w:rPr>
      <w:fldChar w:fldCharType="separate"/>
    </w:r>
    <w:r w:rsidR="00A93668">
      <w:rPr>
        <w:rStyle w:val="Nmerodepgina"/>
        <w:b w:val="0"/>
        <w:noProof/>
        <w:sz w:val="20"/>
      </w:rPr>
      <w:t>5</w:t>
    </w:r>
    <w:r w:rsidRPr="00EF58DF">
      <w:rPr>
        <w:rStyle w:val="Nmerodepgina"/>
        <w:b w:val="0"/>
        <w:sz w:val="20"/>
      </w:rPr>
      <w:fldChar w:fldCharType="end"/>
    </w:r>
  </w:p>
  <w:p w14:paraId="2B962AB7" w14:textId="77777777" w:rsidR="00AC6EC1" w:rsidRDefault="00AC6EC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6FC80" w14:textId="77777777" w:rsidR="00293BF1" w:rsidRPr="00952AB6" w:rsidRDefault="00293BF1" w:rsidP="009D408B">
    <w:pPr>
      <w:pStyle w:val="Piedepgina"/>
      <w:pBdr>
        <w:top w:val="none" w:sz="0" w:space="0" w:color="auto"/>
      </w:pBdr>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E3D52" w14:textId="77777777" w:rsidR="00B41EDC" w:rsidRDefault="00B41EDC" w:rsidP="00167879">
      <w:r>
        <w:separator/>
      </w:r>
    </w:p>
  </w:footnote>
  <w:footnote w:type="continuationSeparator" w:id="0">
    <w:p w14:paraId="655AB25F" w14:textId="77777777" w:rsidR="00B41EDC" w:rsidRDefault="00B41EDC" w:rsidP="00167879">
      <w:r>
        <w:continuationSeparator/>
      </w:r>
    </w:p>
  </w:footnote>
  <w:footnote w:type="continuationNotice" w:id="1">
    <w:p w14:paraId="5136C9F8" w14:textId="77777777" w:rsidR="00B41EDC" w:rsidRDefault="00B41EDC"/>
  </w:footnote>
  <w:footnote w:id="4">
    <w:p>
      <w:pPr>
        <w:pStyle w:val="Textonotapie"/>
      </w:pPr>
      <w:r>
        <w:rPr>
          <w:rStyle w:val="Refdenotaalpie"/>
        </w:rPr>
        <w:footnoteRef/>
      </w:r>
      <w:r>
        <w:t xml:space="preserve"> </w:t>
      </w:r>
      <w:r>
        <w:t xml:space="preserve">Full-year 2026 volume is projected via the same-window seasonal adjustment used throughout (Data sources and corpus), scaling year-to-date activity counts by a factor of 1.42 (full-year 2025 activities over the 2025 activities observed through the matching 1 September cut-off); grounding shares in Panel B are direct rate metrics and need no such adjustment.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30487" w14:textId="77777777" w:rsidR="00242CFA" w:rsidRPr="00242CFA" w:rsidRDefault="00242CFA" w:rsidP="00242CFA">
    <w:pPr>
      <w:rPr>
        <w:color w:val="404040"/>
        <w:sz w:val="18"/>
      </w:rPr>
    </w:pPr>
    <w:r w:rsidRPr="00B71CAC">
      <w:rPr>
        <w:color w:val="404040"/>
        <w:sz w:val="18"/>
      </w:rPr>
      <w:t>MIB TRIESTE SCHOOL OF MANAGEMENT</w:t>
    </w:r>
  </w:p>
  <w:p w14:paraId="4EF35A42" w14:textId="77777777" w:rsidR="00AC6EC1" w:rsidRDefault="00AC6EC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1EF50" w14:textId="77777777" w:rsidR="00242CFA" w:rsidRPr="00242CFA" w:rsidRDefault="00242CFA" w:rsidP="00242CFA">
    <w:pPr>
      <w:jc w:val="right"/>
      <w:rPr>
        <w:color w:val="404040"/>
        <w:sz w:val="18"/>
      </w:rPr>
    </w:pPr>
    <w:r w:rsidRPr="00242CFA">
      <w:rPr>
        <w:color w:val="404040"/>
        <w:sz w:val="18"/>
      </w:rPr>
      <w:t>MIB TRIESTE SCHOOL OF MANAGEMENT</w:t>
    </w:r>
  </w:p>
  <w:p w14:paraId="60E8AAB0" w14:textId="77777777" w:rsidR="00AC6EC1" w:rsidRDefault="00AC6EC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935F1" w14:textId="77777777" w:rsidR="00293BF1" w:rsidRPr="00B71CAC" w:rsidRDefault="00293BF1" w:rsidP="00B71CAC">
    <w:pPr>
      <w:rPr>
        <w:color w:val="404040"/>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1569B"/>
    <w:multiLevelType w:val="hybridMultilevel"/>
    <w:tmpl w:val="BABC73D6"/>
    <w:lvl w:ilvl="0" w:tplc="FAD2CEB2">
      <w:numFmt w:val="bullet"/>
      <w:lvlText w:val="-"/>
      <w:lvlJc w:val="left"/>
      <w:pPr>
        <w:tabs>
          <w:tab w:val="num" w:pos="720"/>
        </w:tabs>
        <w:ind w:left="720" w:hanging="360"/>
      </w:pPr>
      <w:rPr>
        <w:rFonts w:ascii="Arial" w:eastAsia="Times New Roman" w:hAnsi="Arial" w:cs="Aria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313FCF"/>
    <w:multiLevelType w:val="hybridMultilevel"/>
    <w:tmpl w:val="BE4C14BA"/>
    <w:lvl w:ilvl="0" w:tplc="04100001">
      <w:start w:val="1"/>
      <w:numFmt w:val="bullet"/>
      <w:lvlText w:val=""/>
      <w:lvlJc w:val="left"/>
      <w:pPr>
        <w:tabs>
          <w:tab w:val="num" w:pos="1069"/>
        </w:tabs>
        <w:ind w:left="1069" w:hanging="360"/>
      </w:pPr>
      <w:rPr>
        <w:rFonts w:ascii="Symbol" w:hAnsi="Symbol" w:hint="default"/>
        <w:sz w:val="24"/>
      </w:rPr>
    </w:lvl>
    <w:lvl w:ilvl="1" w:tplc="D2EC35C6">
      <w:start w:val="1"/>
      <w:numFmt w:val="bullet"/>
      <w:lvlText w:val=""/>
      <w:lvlJc w:val="left"/>
      <w:pPr>
        <w:tabs>
          <w:tab w:val="num" w:pos="2149"/>
        </w:tabs>
        <w:ind w:left="2149" w:hanging="360"/>
      </w:pPr>
      <w:rPr>
        <w:rFonts w:ascii="Wingdings" w:hAnsi="Wingdings" w:hint="default"/>
        <w:sz w:val="24"/>
      </w:rPr>
    </w:lvl>
    <w:lvl w:ilvl="2" w:tplc="04100005" w:tentative="1">
      <w:start w:val="1"/>
      <w:numFmt w:val="bullet"/>
      <w:lvlText w:val=""/>
      <w:lvlJc w:val="left"/>
      <w:pPr>
        <w:tabs>
          <w:tab w:val="num" w:pos="2869"/>
        </w:tabs>
        <w:ind w:left="2869" w:hanging="360"/>
      </w:pPr>
      <w:rPr>
        <w:rFonts w:ascii="Wingdings" w:hAnsi="Wingdings" w:hint="default"/>
      </w:rPr>
    </w:lvl>
    <w:lvl w:ilvl="3" w:tplc="04100001" w:tentative="1">
      <w:start w:val="1"/>
      <w:numFmt w:val="bullet"/>
      <w:lvlText w:val=""/>
      <w:lvlJc w:val="left"/>
      <w:pPr>
        <w:tabs>
          <w:tab w:val="num" w:pos="3589"/>
        </w:tabs>
        <w:ind w:left="3589" w:hanging="360"/>
      </w:pPr>
      <w:rPr>
        <w:rFonts w:ascii="Symbol" w:hAnsi="Symbol" w:hint="default"/>
      </w:rPr>
    </w:lvl>
    <w:lvl w:ilvl="4" w:tplc="04100003" w:tentative="1">
      <w:start w:val="1"/>
      <w:numFmt w:val="bullet"/>
      <w:lvlText w:val="o"/>
      <w:lvlJc w:val="left"/>
      <w:pPr>
        <w:tabs>
          <w:tab w:val="num" w:pos="4309"/>
        </w:tabs>
        <w:ind w:left="4309" w:hanging="360"/>
      </w:pPr>
      <w:rPr>
        <w:rFonts w:ascii="Courier New" w:hAnsi="Courier New" w:cs="Courier New" w:hint="default"/>
      </w:rPr>
    </w:lvl>
    <w:lvl w:ilvl="5" w:tplc="04100005" w:tentative="1">
      <w:start w:val="1"/>
      <w:numFmt w:val="bullet"/>
      <w:lvlText w:val=""/>
      <w:lvlJc w:val="left"/>
      <w:pPr>
        <w:tabs>
          <w:tab w:val="num" w:pos="5029"/>
        </w:tabs>
        <w:ind w:left="5029" w:hanging="360"/>
      </w:pPr>
      <w:rPr>
        <w:rFonts w:ascii="Wingdings" w:hAnsi="Wingdings" w:hint="default"/>
      </w:rPr>
    </w:lvl>
    <w:lvl w:ilvl="6" w:tplc="04100001" w:tentative="1">
      <w:start w:val="1"/>
      <w:numFmt w:val="bullet"/>
      <w:lvlText w:val=""/>
      <w:lvlJc w:val="left"/>
      <w:pPr>
        <w:tabs>
          <w:tab w:val="num" w:pos="5749"/>
        </w:tabs>
        <w:ind w:left="5749" w:hanging="360"/>
      </w:pPr>
      <w:rPr>
        <w:rFonts w:ascii="Symbol" w:hAnsi="Symbol" w:hint="default"/>
      </w:rPr>
    </w:lvl>
    <w:lvl w:ilvl="7" w:tplc="04100003" w:tentative="1">
      <w:start w:val="1"/>
      <w:numFmt w:val="bullet"/>
      <w:lvlText w:val="o"/>
      <w:lvlJc w:val="left"/>
      <w:pPr>
        <w:tabs>
          <w:tab w:val="num" w:pos="6469"/>
        </w:tabs>
        <w:ind w:left="6469" w:hanging="360"/>
      </w:pPr>
      <w:rPr>
        <w:rFonts w:ascii="Courier New" w:hAnsi="Courier New" w:cs="Courier New" w:hint="default"/>
      </w:rPr>
    </w:lvl>
    <w:lvl w:ilvl="8" w:tplc="04100005" w:tentative="1">
      <w:start w:val="1"/>
      <w:numFmt w:val="bullet"/>
      <w:lvlText w:val=""/>
      <w:lvlJc w:val="left"/>
      <w:pPr>
        <w:tabs>
          <w:tab w:val="num" w:pos="7189"/>
        </w:tabs>
        <w:ind w:left="7189" w:hanging="360"/>
      </w:pPr>
      <w:rPr>
        <w:rFonts w:ascii="Wingdings" w:hAnsi="Wingdings" w:hint="default"/>
      </w:rPr>
    </w:lvl>
  </w:abstractNum>
  <w:abstractNum w:abstractNumId="2" w15:restartNumberingAfterBreak="0">
    <w:nsid w:val="0B8D4245"/>
    <w:multiLevelType w:val="multilevel"/>
    <w:tmpl w:val="52389050"/>
    <w:lvl w:ilvl="0">
      <w:start w:val="1"/>
      <w:numFmt w:val="bullet"/>
      <w:lvlText w:val=""/>
      <w:lvlJc w:val="left"/>
      <w:pPr>
        <w:tabs>
          <w:tab w:val="num" w:pos="1069"/>
        </w:tabs>
        <w:ind w:left="1069" w:hanging="360"/>
      </w:pPr>
      <w:rPr>
        <w:rFonts w:ascii="Wingdings" w:hAnsi="Wingdings" w:hint="default"/>
        <w:sz w:val="24"/>
      </w:rPr>
    </w:lvl>
    <w:lvl w:ilvl="1">
      <w:start w:val="1"/>
      <w:numFmt w:val="bullet"/>
      <w:lvlText w:val="o"/>
      <w:lvlJc w:val="left"/>
      <w:pPr>
        <w:tabs>
          <w:tab w:val="num" w:pos="2149"/>
        </w:tabs>
        <w:ind w:left="2149" w:hanging="360"/>
      </w:pPr>
      <w:rPr>
        <w:rFonts w:ascii="Courier New" w:hAnsi="Courier New" w:cs="Courier New" w:hint="default"/>
      </w:rPr>
    </w:lvl>
    <w:lvl w:ilvl="2">
      <w:start w:val="1"/>
      <w:numFmt w:val="bullet"/>
      <w:lvlText w:val=""/>
      <w:lvlJc w:val="left"/>
      <w:pPr>
        <w:tabs>
          <w:tab w:val="num" w:pos="2869"/>
        </w:tabs>
        <w:ind w:left="2869" w:hanging="360"/>
      </w:pPr>
      <w:rPr>
        <w:rFonts w:ascii="Wingdings" w:hAnsi="Wingdings" w:hint="default"/>
      </w:rPr>
    </w:lvl>
    <w:lvl w:ilvl="3">
      <w:start w:val="1"/>
      <w:numFmt w:val="bullet"/>
      <w:lvlText w:val=""/>
      <w:lvlJc w:val="left"/>
      <w:pPr>
        <w:tabs>
          <w:tab w:val="num" w:pos="3589"/>
        </w:tabs>
        <w:ind w:left="3589" w:hanging="360"/>
      </w:pPr>
      <w:rPr>
        <w:rFonts w:ascii="Symbol" w:hAnsi="Symbol" w:hint="default"/>
      </w:rPr>
    </w:lvl>
    <w:lvl w:ilvl="4">
      <w:start w:val="1"/>
      <w:numFmt w:val="bullet"/>
      <w:lvlText w:val="o"/>
      <w:lvlJc w:val="left"/>
      <w:pPr>
        <w:tabs>
          <w:tab w:val="num" w:pos="4309"/>
        </w:tabs>
        <w:ind w:left="4309" w:hanging="360"/>
      </w:pPr>
      <w:rPr>
        <w:rFonts w:ascii="Courier New" w:hAnsi="Courier New" w:cs="Courier New" w:hint="default"/>
      </w:rPr>
    </w:lvl>
    <w:lvl w:ilvl="5">
      <w:start w:val="1"/>
      <w:numFmt w:val="bullet"/>
      <w:lvlText w:val=""/>
      <w:lvlJc w:val="left"/>
      <w:pPr>
        <w:tabs>
          <w:tab w:val="num" w:pos="5029"/>
        </w:tabs>
        <w:ind w:left="5029" w:hanging="360"/>
      </w:pPr>
      <w:rPr>
        <w:rFonts w:ascii="Wingdings" w:hAnsi="Wingdings" w:hint="default"/>
      </w:rPr>
    </w:lvl>
    <w:lvl w:ilvl="6">
      <w:start w:val="1"/>
      <w:numFmt w:val="bullet"/>
      <w:lvlText w:val=""/>
      <w:lvlJc w:val="left"/>
      <w:pPr>
        <w:tabs>
          <w:tab w:val="num" w:pos="5749"/>
        </w:tabs>
        <w:ind w:left="5749" w:hanging="360"/>
      </w:pPr>
      <w:rPr>
        <w:rFonts w:ascii="Symbol" w:hAnsi="Symbol" w:hint="default"/>
      </w:rPr>
    </w:lvl>
    <w:lvl w:ilvl="7">
      <w:start w:val="1"/>
      <w:numFmt w:val="bullet"/>
      <w:lvlText w:val="o"/>
      <w:lvlJc w:val="left"/>
      <w:pPr>
        <w:tabs>
          <w:tab w:val="num" w:pos="6469"/>
        </w:tabs>
        <w:ind w:left="6469" w:hanging="360"/>
      </w:pPr>
      <w:rPr>
        <w:rFonts w:ascii="Courier New" w:hAnsi="Courier New" w:cs="Courier New" w:hint="default"/>
      </w:rPr>
    </w:lvl>
    <w:lvl w:ilvl="8">
      <w:start w:val="1"/>
      <w:numFmt w:val="bullet"/>
      <w:lvlText w:val=""/>
      <w:lvlJc w:val="left"/>
      <w:pPr>
        <w:tabs>
          <w:tab w:val="num" w:pos="7189"/>
        </w:tabs>
        <w:ind w:left="7189" w:hanging="360"/>
      </w:pPr>
      <w:rPr>
        <w:rFonts w:ascii="Wingdings" w:hAnsi="Wingdings" w:hint="default"/>
      </w:rPr>
    </w:lvl>
  </w:abstractNum>
  <w:abstractNum w:abstractNumId="3" w15:restartNumberingAfterBreak="0">
    <w:nsid w:val="11ED56C7"/>
    <w:multiLevelType w:val="hybridMultilevel"/>
    <w:tmpl w:val="CBE23668"/>
    <w:lvl w:ilvl="0" w:tplc="04100001">
      <w:start w:val="1"/>
      <w:numFmt w:val="bullet"/>
      <w:lvlText w:val=""/>
      <w:lvlJc w:val="left"/>
      <w:pPr>
        <w:tabs>
          <w:tab w:val="num" w:pos="1069"/>
        </w:tabs>
        <w:ind w:left="1069" w:hanging="360"/>
      </w:pPr>
      <w:rPr>
        <w:rFonts w:ascii="Symbol" w:hAnsi="Symbol" w:hint="default"/>
        <w:sz w:val="24"/>
      </w:rPr>
    </w:lvl>
    <w:lvl w:ilvl="1" w:tplc="D2EC35C6">
      <w:start w:val="1"/>
      <w:numFmt w:val="bullet"/>
      <w:lvlText w:val=""/>
      <w:lvlJc w:val="left"/>
      <w:pPr>
        <w:tabs>
          <w:tab w:val="num" w:pos="2149"/>
        </w:tabs>
        <w:ind w:left="2149" w:hanging="360"/>
      </w:pPr>
      <w:rPr>
        <w:rFonts w:ascii="Wingdings" w:hAnsi="Wingdings" w:hint="default"/>
        <w:sz w:val="24"/>
      </w:rPr>
    </w:lvl>
    <w:lvl w:ilvl="2" w:tplc="04100005" w:tentative="1">
      <w:start w:val="1"/>
      <w:numFmt w:val="bullet"/>
      <w:lvlText w:val=""/>
      <w:lvlJc w:val="left"/>
      <w:pPr>
        <w:tabs>
          <w:tab w:val="num" w:pos="2869"/>
        </w:tabs>
        <w:ind w:left="2869" w:hanging="360"/>
      </w:pPr>
      <w:rPr>
        <w:rFonts w:ascii="Wingdings" w:hAnsi="Wingdings" w:hint="default"/>
      </w:rPr>
    </w:lvl>
    <w:lvl w:ilvl="3" w:tplc="04100001" w:tentative="1">
      <w:start w:val="1"/>
      <w:numFmt w:val="bullet"/>
      <w:lvlText w:val=""/>
      <w:lvlJc w:val="left"/>
      <w:pPr>
        <w:tabs>
          <w:tab w:val="num" w:pos="3589"/>
        </w:tabs>
        <w:ind w:left="3589" w:hanging="360"/>
      </w:pPr>
      <w:rPr>
        <w:rFonts w:ascii="Symbol" w:hAnsi="Symbol" w:hint="default"/>
      </w:rPr>
    </w:lvl>
    <w:lvl w:ilvl="4" w:tplc="04100003" w:tentative="1">
      <w:start w:val="1"/>
      <w:numFmt w:val="bullet"/>
      <w:lvlText w:val="o"/>
      <w:lvlJc w:val="left"/>
      <w:pPr>
        <w:tabs>
          <w:tab w:val="num" w:pos="4309"/>
        </w:tabs>
        <w:ind w:left="4309" w:hanging="360"/>
      </w:pPr>
      <w:rPr>
        <w:rFonts w:ascii="Courier New" w:hAnsi="Courier New" w:cs="Courier New" w:hint="default"/>
      </w:rPr>
    </w:lvl>
    <w:lvl w:ilvl="5" w:tplc="04100005" w:tentative="1">
      <w:start w:val="1"/>
      <w:numFmt w:val="bullet"/>
      <w:lvlText w:val=""/>
      <w:lvlJc w:val="left"/>
      <w:pPr>
        <w:tabs>
          <w:tab w:val="num" w:pos="5029"/>
        </w:tabs>
        <w:ind w:left="5029" w:hanging="360"/>
      </w:pPr>
      <w:rPr>
        <w:rFonts w:ascii="Wingdings" w:hAnsi="Wingdings" w:hint="default"/>
      </w:rPr>
    </w:lvl>
    <w:lvl w:ilvl="6" w:tplc="04100001" w:tentative="1">
      <w:start w:val="1"/>
      <w:numFmt w:val="bullet"/>
      <w:lvlText w:val=""/>
      <w:lvlJc w:val="left"/>
      <w:pPr>
        <w:tabs>
          <w:tab w:val="num" w:pos="5749"/>
        </w:tabs>
        <w:ind w:left="5749" w:hanging="360"/>
      </w:pPr>
      <w:rPr>
        <w:rFonts w:ascii="Symbol" w:hAnsi="Symbol" w:hint="default"/>
      </w:rPr>
    </w:lvl>
    <w:lvl w:ilvl="7" w:tplc="04100003" w:tentative="1">
      <w:start w:val="1"/>
      <w:numFmt w:val="bullet"/>
      <w:lvlText w:val="o"/>
      <w:lvlJc w:val="left"/>
      <w:pPr>
        <w:tabs>
          <w:tab w:val="num" w:pos="6469"/>
        </w:tabs>
        <w:ind w:left="6469" w:hanging="360"/>
      </w:pPr>
      <w:rPr>
        <w:rFonts w:ascii="Courier New" w:hAnsi="Courier New" w:cs="Courier New" w:hint="default"/>
      </w:rPr>
    </w:lvl>
    <w:lvl w:ilvl="8" w:tplc="04100005" w:tentative="1">
      <w:start w:val="1"/>
      <w:numFmt w:val="bullet"/>
      <w:lvlText w:val=""/>
      <w:lvlJc w:val="left"/>
      <w:pPr>
        <w:tabs>
          <w:tab w:val="num" w:pos="7189"/>
        </w:tabs>
        <w:ind w:left="7189" w:hanging="360"/>
      </w:pPr>
      <w:rPr>
        <w:rFonts w:ascii="Wingdings" w:hAnsi="Wingdings" w:hint="default"/>
      </w:rPr>
    </w:lvl>
  </w:abstractNum>
  <w:abstractNum w:abstractNumId="4" w15:restartNumberingAfterBreak="0">
    <w:nsid w:val="161C6BBE"/>
    <w:multiLevelType w:val="singleLevel"/>
    <w:tmpl w:val="51C68AEC"/>
    <w:lvl w:ilvl="0">
      <w:start w:val="1"/>
      <w:numFmt w:val="decimal"/>
      <w:lvlText w:val="%1."/>
      <w:legacy w:legacy="1" w:legacySpace="0" w:legacyIndent="283"/>
      <w:lvlJc w:val="left"/>
      <w:pPr>
        <w:ind w:left="283" w:hanging="283"/>
      </w:pPr>
    </w:lvl>
  </w:abstractNum>
  <w:abstractNum w:abstractNumId="5" w15:restartNumberingAfterBreak="0">
    <w:nsid w:val="238671C5"/>
    <w:multiLevelType w:val="hybridMultilevel"/>
    <w:tmpl w:val="963E66EE"/>
    <w:lvl w:ilvl="0" w:tplc="FAD2CEB2">
      <w:numFmt w:val="bullet"/>
      <w:lvlText w:val="-"/>
      <w:lvlJc w:val="left"/>
      <w:pPr>
        <w:tabs>
          <w:tab w:val="num" w:pos="720"/>
        </w:tabs>
        <w:ind w:left="720" w:hanging="360"/>
      </w:pPr>
      <w:rPr>
        <w:rFonts w:ascii="Arial" w:eastAsia="Times New Roman" w:hAnsi="Arial" w:cs="Aria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4B9145B"/>
    <w:multiLevelType w:val="hybridMultilevel"/>
    <w:tmpl w:val="428A13EA"/>
    <w:lvl w:ilvl="0" w:tplc="38DCD0EA">
      <w:start w:val="1"/>
      <w:numFmt w:val="lowerLetter"/>
      <w:pStyle w:val="Lista"/>
      <w:lvlText w:val="%1)"/>
      <w:lvlJc w:val="left"/>
      <w:pPr>
        <w:tabs>
          <w:tab w:val="num" w:pos="1429"/>
        </w:tabs>
        <w:ind w:left="1429" w:hanging="360"/>
      </w:pPr>
    </w:lvl>
    <w:lvl w:ilvl="1" w:tplc="04100019" w:tentative="1">
      <w:start w:val="1"/>
      <w:numFmt w:val="lowerLetter"/>
      <w:lvlText w:val="%2."/>
      <w:lvlJc w:val="left"/>
      <w:pPr>
        <w:tabs>
          <w:tab w:val="num" w:pos="2149"/>
        </w:tabs>
        <w:ind w:left="2149" w:hanging="360"/>
      </w:pPr>
    </w:lvl>
    <w:lvl w:ilvl="2" w:tplc="0410001B" w:tentative="1">
      <w:start w:val="1"/>
      <w:numFmt w:val="lowerRoman"/>
      <w:lvlText w:val="%3."/>
      <w:lvlJc w:val="right"/>
      <w:pPr>
        <w:tabs>
          <w:tab w:val="num" w:pos="2869"/>
        </w:tabs>
        <w:ind w:left="2869" w:hanging="180"/>
      </w:pPr>
    </w:lvl>
    <w:lvl w:ilvl="3" w:tplc="0410000F" w:tentative="1">
      <w:start w:val="1"/>
      <w:numFmt w:val="decimal"/>
      <w:lvlText w:val="%4."/>
      <w:lvlJc w:val="left"/>
      <w:pPr>
        <w:tabs>
          <w:tab w:val="num" w:pos="3589"/>
        </w:tabs>
        <w:ind w:left="3589" w:hanging="360"/>
      </w:pPr>
    </w:lvl>
    <w:lvl w:ilvl="4" w:tplc="04100019" w:tentative="1">
      <w:start w:val="1"/>
      <w:numFmt w:val="lowerLetter"/>
      <w:lvlText w:val="%5."/>
      <w:lvlJc w:val="left"/>
      <w:pPr>
        <w:tabs>
          <w:tab w:val="num" w:pos="4309"/>
        </w:tabs>
        <w:ind w:left="4309" w:hanging="360"/>
      </w:pPr>
    </w:lvl>
    <w:lvl w:ilvl="5" w:tplc="0410001B" w:tentative="1">
      <w:start w:val="1"/>
      <w:numFmt w:val="lowerRoman"/>
      <w:lvlText w:val="%6."/>
      <w:lvlJc w:val="right"/>
      <w:pPr>
        <w:tabs>
          <w:tab w:val="num" w:pos="5029"/>
        </w:tabs>
        <w:ind w:left="5029" w:hanging="180"/>
      </w:pPr>
    </w:lvl>
    <w:lvl w:ilvl="6" w:tplc="0410000F" w:tentative="1">
      <w:start w:val="1"/>
      <w:numFmt w:val="decimal"/>
      <w:lvlText w:val="%7."/>
      <w:lvlJc w:val="left"/>
      <w:pPr>
        <w:tabs>
          <w:tab w:val="num" w:pos="5749"/>
        </w:tabs>
        <w:ind w:left="5749" w:hanging="360"/>
      </w:pPr>
    </w:lvl>
    <w:lvl w:ilvl="7" w:tplc="04100019" w:tentative="1">
      <w:start w:val="1"/>
      <w:numFmt w:val="lowerLetter"/>
      <w:lvlText w:val="%8."/>
      <w:lvlJc w:val="left"/>
      <w:pPr>
        <w:tabs>
          <w:tab w:val="num" w:pos="6469"/>
        </w:tabs>
        <w:ind w:left="6469" w:hanging="360"/>
      </w:pPr>
    </w:lvl>
    <w:lvl w:ilvl="8" w:tplc="0410001B" w:tentative="1">
      <w:start w:val="1"/>
      <w:numFmt w:val="lowerRoman"/>
      <w:lvlText w:val="%9."/>
      <w:lvlJc w:val="right"/>
      <w:pPr>
        <w:tabs>
          <w:tab w:val="num" w:pos="7189"/>
        </w:tabs>
        <w:ind w:left="7189" w:hanging="180"/>
      </w:pPr>
    </w:lvl>
  </w:abstractNum>
  <w:abstractNum w:abstractNumId="7" w15:restartNumberingAfterBreak="0">
    <w:nsid w:val="2C98111F"/>
    <w:multiLevelType w:val="hybridMultilevel"/>
    <w:tmpl w:val="FB1ADA32"/>
    <w:lvl w:ilvl="0" w:tplc="FAD2CEB2">
      <w:numFmt w:val="bullet"/>
      <w:lvlText w:val="-"/>
      <w:lvlJc w:val="left"/>
      <w:pPr>
        <w:tabs>
          <w:tab w:val="num" w:pos="720"/>
        </w:tabs>
        <w:ind w:left="720" w:hanging="360"/>
      </w:pPr>
      <w:rPr>
        <w:rFonts w:ascii="Arial" w:eastAsia="Times New Roman" w:hAnsi="Arial" w:cs="Aria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14E05A8"/>
    <w:multiLevelType w:val="hybridMultilevel"/>
    <w:tmpl w:val="428ECCEE"/>
    <w:lvl w:ilvl="0" w:tplc="04100001">
      <w:start w:val="1"/>
      <w:numFmt w:val="bullet"/>
      <w:lvlText w:val=""/>
      <w:lvlJc w:val="left"/>
      <w:pPr>
        <w:tabs>
          <w:tab w:val="num" w:pos="1429"/>
        </w:tabs>
        <w:ind w:left="1429" w:hanging="360"/>
      </w:pPr>
      <w:rPr>
        <w:rFonts w:ascii="Symbol" w:hAnsi="Symbol" w:hint="default"/>
      </w:rPr>
    </w:lvl>
    <w:lvl w:ilvl="1" w:tplc="04100003" w:tentative="1">
      <w:start w:val="1"/>
      <w:numFmt w:val="bullet"/>
      <w:lvlText w:val="o"/>
      <w:lvlJc w:val="left"/>
      <w:pPr>
        <w:tabs>
          <w:tab w:val="num" w:pos="2149"/>
        </w:tabs>
        <w:ind w:left="2149" w:hanging="360"/>
      </w:pPr>
      <w:rPr>
        <w:rFonts w:ascii="Courier New" w:hAnsi="Courier New" w:cs="Courier New" w:hint="default"/>
      </w:rPr>
    </w:lvl>
    <w:lvl w:ilvl="2" w:tplc="04100005" w:tentative="1">
      <w:start w:val="1"/>
      <w:numFmt w:val="bullet"/>
      <w:lvlText w:val=""/>
      <w:lvlJc w:val="left"/>
      <w:pPr>
        <w:tabs>
          <w:tab w:val="num" w:pos="2869"/>
        </w:tabs>
        <w:ind w:left="2869" w:hanging="360"/>
      </w:pPr>
      <w:rPr>
        <w:rFonts w:ascii="Wingdings" w:hAnsi="Wingdings" w:hint="default"/>
      </w:rPr>
    </w:lvl>
    <w:lvl w:ilvl="3" w:tplc="04100001" w:tentative="1">
      <w:start w:val="1"/>
      <w:numFmt w:val="bullet"/>
      <w:lvlText w:val=""/>
      <w:lvlJc w:val="left"/>
      <w:pPr>
        <w:tabs>
          <w:tab w:val="num" w:pos="3589"/>
        </w:tabs>
        <w:ind w:left="3589" w:hanging="360"/>
      </w:pPr>
      <w:rPr>
        <w:rFonts w:ascii="Symbol" w:hAnsi="Symbol" w:hint="default"/>
      </w:rPr>
    </w:lvl>
    <w:lvl w:ilvl="4" w:tplc="04100003" w:tentative="1">
      <w:start w:val="1"/>
      <w:numFmt w:val="bullet"/>
      <w:lvlText w:val="o"/>
      <w:lvlJc w:val="left"/>
      <w:pPr>
        <w:tabs>
          <w:tab w:val="num" w:pos="4309"/>
        </w:tabs>
        <w:ind w:left="4309" w:hanging="360"/>
      </w:pPr>
      <w:rPr>
        <w:rFonts w:ascii="Courier New" w:hAnsi="Courier New" w:cs="Courier New" w:hint="default"/>
      </w:rPr>
    </w:lvl>
    <w:lvl w:ilvl="5" w:tplc="04100005" w:tentative="1">
      <w:start w:val="1"/>
      <w:numFmt w:val="bullet"/>
      <w:lvlText w:val=""/>
      <w:lvlJc w:val="left"/>
      <w:pPr>
        <w:tabs>
          <w:tab w:val="num" w:pos="5029"/>
        </w:tabs>
        <w:ind w:left="5029" w:hanging="360"/>
      </w:pPr>
      <w:rPr>
        <w:rFonts w:ascii="Wingdings" w:hAnsi="Wingdings" w:hint="default"/>
      </w:rPr>
    </w:lvl>
    <w:lvl w:ilvl="6" w:tplc="04100001" w:tentative="1">
      <w:start w:val="1"/>
      <w:numFmt w:val="bullet"/>
      <w:lvlText w:val=""/>
      <w:lvlJc w:val="left"/>
      <w:pPr>
        <w:tabs>
          <w:tab w:val="num" w:pos="5749"/>
        </w:tabs>
        <w:ind w:left="5749" w:hanging="360"/>
      </w:pPr>
      <w:rPr>
        <w:rFonts w:ascii="Symbol" w:hAnsi="Symbol" w:hint="default"/>
      </w:rPr>
    </w:lvl>
    <w:lvl w:ilvl="7" w:tplc="04100003" w:tentative="1">
      <w:start w:val="1"/>
      <w:numFmt w:val="bullet"/>
      <w:lvlText w:val="o"/>
      <w:lvlJc w:val="left"/>
      <w:pPr>
        <w:tabs>
          <w:tab w:val="num" w:pos="6469"/>
        </w:tabs>
        <w:ind w:left="6469" w:hanging="360"/>
      </w:pPr>
      <w:rPr>
        <w:rFonts w:ascii="Courier New" w:hAnsi="Courier New" w:cs="Courier New" w:hint="default"/>
      </w:rPr>
    </w:lvl>
    <w:lvl w:ilvl="8" w:tplc="04100005" w:tentative="1">
      <w:start w:val="1"/>
      <w:numFmt w:val="bullet"/>
      <w:lvlText w:val=""/>
      <w:lvlJc w:val="left"/>
      <w:pPr>
        <w:tabs>
          <w:tab w:val="num" w:pos="7189"/>
        </w:tabs>
        <w:ind w:left="7189" w:hanging="360"/>
      </w:pPr>
      <w:rPr>
        <w:rFonts w:ascii="Wingdings" w:hAnsi="Wingdings" w:hint="default"/>
      </w:rPr>
    </w:lvl>
  </w:abstractNum>
  <w:abstractNum w:abstractNumId="9" w15:restartNumberingAfterBreak="0">
    <w:nsid w:val="554A3FEA"/>
    <w:multiLevelType w:val="hybridMultilevel"/>
    <w:tmpl w:val="80F6BDE8"/>
    <w:lvl w:ilvl="0" w:tplc="D2EC35C6">
      <w:start w:val="1"/>
      <w:numFmt w:val="bullet"/>
      <w:lvlText w:val=""/>
      <w:lvlJc w:val="left"/>
      <w:pPr>
        <w:tabs>
          <w:tab w:val="num" w:pos="1069"/>
        </w:tabs>
        <w:ind w:left="1069" w:hanging="360"/>
      </w:pPr>
      <w:rPr>
        <w:rFonts w:ascii="Wingdings" w:hAnsi="Wingdings" w:hint="default"/>
        <w:sz w:val="24"/>
      </w:rPr>
    </w:lvl>
    <w:lvl w:ilvl="1" w:tplc="04100003" w:tentative="1">
      <w:start w:val="1"/>
      <w:numFmt w:val="bullet"/>
      <w:lvlText w:val="o"/>
      <w:lvlJc w:val="left"/>
      <w:pPr>
        <w:tabs>
          <w:tab w:val="num" w:pos="2149"/>
        </w:tabs>
        <w:ind w:left="2149" w:hanging="360"/>
      </w:pPr>
      <w:rPr>
        <w:rFonts w:ascii="Courier New" w:hAnsi="Courier New" w:cs="Courier New" w:hint="default"/>
      </w:rPr>
    </w:lvl>
    <w:lvl w:ilvl="2" w:tplc="04100005" w:tentative="1">
      <w:start w:val="1"/>
      <w:numFmt w:val="bullet"/>
      <w:lvlText w:val=""/>
      <w:lvlJc w:val="left"/>
      <w:pPr>
        <w:tabs>
          <w:tab w:val="num" w:pos="2869"/>
        </w:tabs>
        <w:ind w:left="2869" w:hanging="360"/>
      </w:pPr>
      <w:rPr>
        <w:rFonts w:ascii="Wingdings" w:hAnsi="Wingdings" w:hint="default"/>
      </w:rPr>
    </w:lvl>
    <w:lvl w:ilvl="3" w:tplc="04100001" w:tentative="1">
      <w:start w:val="1"/>
      <w:numFmt w:val="bullet"/>
      <w:lvlText w:val=""/>
      <w:lvlJc w:val="left"/>
      <w:pPr>
        <w:tabs>
          <w:tab w:val="num" w:pos="3589"/>
        </w:tabs>
        <w:ind w:left="3589" w:hanging="360"/>
      </w:pPr>
      <w:rPr>
        <w:rFonts w:ascii="Symbol" w:hAnsi="Symbol" w:hint="default"/>
      </w:rPr>
    </w:lvl>
    <w:lvl w:ilvl="4" w:tplc="04100003" w:tentative="1">
      <w:start w:val="1"/>
      <w:numFmt w:val="bullet"/>
      <w:lvlText w:val="o"/>
      <w:lvlJc w:val="left"/>
      <w:pPr>
        <w:tabs>
          <w:tab w:val="num" w:pos="4309"/>
        </w:tabs>
        <w:ind w:left="4309" w:hanging="360"/>
      </w:pPr>
      <w:rPr>
        <w:rFonts w:ascii="Courier New" w:hAnsi="Courier New" w:cs="Courier New" w:hint="default"/>
      </w:rPr>
    </w:lvl>
    <w:lvl w:ilvl="5" w:tplc="04100005" w:tentative="1">
      <w:start w:val="1"/>
      <w:numFmt w:val="bullet"/>
      <w:lvlText w:val=""/>
      <w:lvlJc w:val="left"/>
      <w:pPr>
        <w:tabs>
          <w:tab w:val="num" w:pos="5029"/>
        </w:tabs>
        <w:ind w:left="5029" w:hanging="360"/>
      </w:pPr>
      <w:rPr>
        <w:rFonts w:ascii="Wingdings" w:hAnsi="Wingdings" w:hint="default"/>
      </w:rPr>
    </w:lvl>
    <w:lvl w:ilvl="6" w:tplc="04100001" w:tentative="1">
      <w:start w:val="1"/>
      <w:numFmt w:val="bullet"/>
      <w:lvlText w:val=""/>
      <w:lvlJc w:val="left"/>
      <w:pPr>
        <w:tabs>
          <w:tab w:val="num" w:pos="5749"/>
        </w:tabs>
        <w:ind w:left="5749" w:hanging="360"/>
      </w:pPr>
      <w:rPr>
        <w:rFonts w:ascii="Symbol" w:hAnsi="Symbol" w:hint="default"/>
      </w:rPr>
    </w:lvl>
    <w:lvl w:ilvl="7" w:tplc="04100003" w:tentative="1">
      <w:start w:val="1"/>
      <w:numFmt w:val="bullet"/>
      <w:lvlText w:val="o"/>
      <w:lvlJc w:val="left"/>
      <w:pPr>
        <w:tabs>
          <w:tab w:val="num" w:pos="6469"/>
        </w:tabs>
        <w:ind w:left="6469" w:hanging="360"/>
      </w:pPr>
      <w:rPr>
        <w:rFonts w:ascii="Courier New" w:hAnsi="Courier New" w:cs="Courier New" w:hint="default"/>
      </w:rPr>
    </w:lvl>
    <w:lvl w:ilvl="8" w:tplc="04100005" w:tentative="1">
      <w:start w:val="1"/>
      <w:numFmt w:val="bullet"/>
      <w:lvlText w:val=""/>
      <w:lvlJc w:val="left"/>
      <w:pPr>
        <w:tabs>
          <w:tab w:val="num" w:pos="7189"/>
        </w:tabs>
        <w:ind w:left="7189" w:hanging="360"/>
      </w:pPr>
      <w:rPr>
        <w:rFonts w:ascii="Wingdings" w:hAnsi="Wingdings" w:hint="default"/>
      </w:rPr>
    </w:lvl>
  </w:abstractNum>
  <w:abstractNum w:abstractNumId="10" w15:restartNumberingAfterBreak="0">
    <w:nsid w:val="56250464"/>
    <w:multiLevelType w:val="hybridMultilevel"/>
    <w:tmpl w:val="7CECD114"/>
    <w:lvl w:ilvl="0" w:tplc="FAD2CEB2">
      <w:numFmt w:val="bullet"/>
      <w:lvlText w:val="-"/>
      <w:lvlJc w:val="left"/>
      <w:pPr>
        <w:tabs>
          <w:tab w:val="num" w:pos="720"/>
        </w:tabs>
        <w:ind w:left="720" w:hanging="360"/>
      </w:pPr>
      <w:rPr>
        <w:rFonts w:ascii="Arial" w:eastAsia="Times New Roman" w:hAnsi="Arial" w:cs="Aria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39D550D"/>
    <w:multiLevelType w:val="multilevel"/>
    <w:tmpl w:val="2E921CF0"/>
    <w:lvl w:ilvl="0">
      <w:start w:val="1"/>
      <w:numFmt w:val="bullet"/>
      <w:lvlText w:val=""/>
      <w:lvlJc w:val="left"/>
      <w:pPr>
        <w:tabs>
          <w:tab w:val="num" w:pos="1069"/>
        </w:tabs>
        <w:ind w:left="1069" w:hanging="360"/>
      </w:pPr>
      <w:rPr>
        <w:rFonts w:ascii="Symbol" w:hAnsi="Symbol" w:hint="default"/>
        <w:sz w:val="24"/>
      </w:rPr>
    </w:lvl>
    <w:lvl w:ilvl="1">
      <w:start w:val="1"/>
      <w:numFmt w:val="bullet"/>
      <w:lvlText w:val=""/>
      <w:lvlJc w:val="left"/>
      <w:pPr>
        <w:tabs>
          <w:tab w:val="num" w:pos="2149"/>
        </w:tabs>
        <w:ind w:left="2149" w:hanging="360"/>
      </w:pPr>
      <w:rPr>
        <w:rFonts w:ascii="Wingdings" w:hAnsi="Wingdings" w:hint="default"/>
        <w:sz w:val="24"/>
      </w:rPr>
    </w:lvl>
    <w:lvl w:ilvl="2">
      <w:start w:val="1"/>
      <w:numFmt w:val="bullet"/>
      <w:lvlText w:val=""/>
      <w:lvlJc w:val="left"/>
      <w:pPr>
        <w:tabs>
          <w:tab w:val="num" w:pos="2869"/>
        </w:tabs>
        <w:ind w:left="2869" w:hanging="360"/>
      </w:pPr>
      <w:rPr>
        <w:rFonts w:ascii="Wingdings" w:hAnsi="Wingdings" w:hint="default"/>
      </w:rPr>
    </w:lvl>
    <w:lvl w:ilvl="3">
      <w:start w:val="1"/>
      <w:numFmt w:val="bullet"/>
      <w:lvlText w:val=""/>
      <w:lvlJc w:val="left"/>
      <w:pPr>
        <w:tabs>
          <w:tab w:val="num" w:pos="3589"/>
        </w:tabs>
        <w:ind w:left="3589" w:hanging="360"/>
      </w:pPr>
      <w:rPr>
        <w:rFonts w:ascii="Symbol" w:hAnsi="Symbol" w:hint="default"/>
      </w:rPr>
    </w:lvl>
    <w:lvl w:ilvl="4">
      <w:start w:val="1"/>
      <w:numFmt w:val="bullet"/>
      <w:lvlText w:val="o"/>
      <w:lvlJc w:val="left"/>
      <w:pPr>
        <w:tabs>
          <w:tab w:val="num" w:pos="4309"/>
        </w:tabs>
        <w:ind w:left="4309" w:hanging="360"/>
      </w:pPr>
      <w:rPr>
        <w:rFonts w:ascii="Courier New" w:hAnsi="Courier New" w:cs="Courier New" w:hint="default"/>
      </w:rPr>
    </w:lvl>
    <w:lvl w:ilvl="5">
      <w:start w:val="1"/>
      <w:numFmt w:val="bullet"/>
      <w:lvlText w:val=""/>
      <w:lvlJc w:val="left"/>
      <w:pPr>
        <w:tabs>
          <w:tab w:val="num" w:pos="5029"/>
        </w:tabs>
        <w:ind w:left="5029" w:hanging="360"/>
      </w:pPr>
      <w:rPr>
        <w:rFonts w:ascii="Wingdings" w:hAnsi="Wingdings" w:hint="default"/>
      </w:rPr>
    </w:lvl>
    <w:lvl w:ilvl="6">
      <w:start w:val="1"/>
      <w:numFmt w:val="bullet"/>
      <w:lvlText w:val=""/>
      <w:lvlJc w:val="left"/>
      <w:pPr>
        <w:tabs>
          <w:tab w:val="num" w:pos="5749"/>
        </w:tabs>
        <w:ind w:left="5749" w:hanging="360"/>
      </w:pPr>
      <w:rPr>
        <w:rFonts w:ascii="Symbol" w:hAnsi="Symbol" w:hint="default"/>
      </w:rPr>
    </w:lvl>
    <w:lvl w:ilvl="7">
      <w:start w:val="1"/>
      <w:numFmt w:val="bullet"/>
      <w:lvlText w:val="o"/>
      <w:lvlJc w:val="left"/>
      <w:pPr>
        <w:tabs>
          <w:tab w:val="num" w:pos="6469"/>
        </w:tabs>
        <w:ind w:left="6469" w:hanging="360"/>
      </w:pPr>
      <w:rPr>
        <w:rFonts w:ascii="Courier New" w:hAnsi="Courier New" w:cs="Courier New" w:hint="default"/>
      </w:rPr>
    </w:lvl>
    <w:lvl w:ilvl="8">
      <w:start w:val="1"/>
      <w:numFmt w:val="bullet"/>
      <w:lvlText w:val=""/>
      <w:lvlJc w:val="left"/>
      <w:pPr>
        <w:tabs>
          <w:tab w:val="num" w:pos="7189"/>
        </w:tabs>
        <w:ind w:left="7189" w:hanging="360"/>
      </w:pPr>
      <w:rPr>
        <w:rFonts w:ascii="Wingdings" w:hAnsi="Wingdings" w:hint="default"/>
      </w:rPr>
    </w:lvl>
  </w:abstractNum>
  <w:abstractNum w:abstractNumId="12" w15:restartNumberingAfterBreak="0">
    <w:nsid w:val="6C96002C"/>
    <w:multiLevelType w:val="hybridMultilevel"/>
    <w:tmpl w:val="50EE29E6"/>
    <w:lvl w:ilvl="0" w:tplc="FAD2CEB2">
      <w:numFmt w:val="bullet"/>
      <w:lvlText w:val="-"/>
      <w:lvlJc w:val="left"/>
      <w:pPr>
        <w:tabs>
          <w:tab w:val="num" w:pos="720"/>
        </w:tabs>
        <w:ind w:left="720" w:hanging="360"/>
      </w:pPr>
      <w:rPr>
        <w:rFonts w:ascii="Arial" w:eastAsia="Times New Roman" w:hAnsi="Arial" w:cs="Aria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2C004BB"/>
    <w:multiLevelType w:val="hybridMultilevel"/>
    <w:tmpl w:val="52389050"/>
    <w:lvl w:ilvl="0" w:tplc="D2EC35C6">
      <w:start w:val="1"/>
      <w:numFmt w:val="bullet"/>
      <w:lvlText w:val=""/>
      <w:lvlJc w:val="left"/>
      <w:pPr>
        <w:tabs>
          <w:tab w:val="num" w:pos="1069"/>
        </w:tabs>
        <w:ind w:left="1069" w:hanging="360"/>
      </w:pPr>
      <w:rPr>
        <w:rFonts w:ascii="Wingdings" w:hAnsi="Wingdings" w:hint="default"/>
        <w:sz w:val="24"/>
      </w:rPr>
    </w:lvl>
    <w:lvl w:ilvl="1" w:tplc="04100003" w:tentative="1">
      <w:start w:val="1"/>
      <w:numFmt w:val="bullet"/>
      <w:lvlText w:val="o"/>
      <w:lvlJc w:val="left"/>
      <w:pPr>
        <w:tabs>
          <w:tab w:val="num" w:pos="2149"/>
        </w:tabs>
        <w:ind w:left="2149" w:hanging="360"/>
      </w:pPr>
      <w:rPr>
        <w:rFonts w:ascii="Courier New" w:hAnsi="Courier New" w:cs="Courier New" w:hint="default"/>
      </w:rPr>
    </w:lvl>
    <w:lvl w:ilvl="2" w:tplc="04100005" w:tentative="1">
      <w:start w:val="1"/>
      <w:numFmt w:val="bullet"/>
      <w:lvlText w:val=""/>
      <w:lvlJc w:val="left"/>
      <w:pPr>
        <w:tabs>
          <w:tab w:val="num" w:pos="2869"/>
        </w:tabs>
        <w:ind w:left="2869" w:hanging="360"/>
      </w:pPr>
      <w:rPr>
        <w:rFonts w:ascii="Wingdings" w:hAnsi="Wingdings" w:hint="default"/>
      </w:rPr>
    </w:lvl>
    <w:lvl w:ilvl="3" w:tplc="04100001" w:tentative="1">
      <w:start w:val="1"/>
      <w:numFmt w:val="bullet"/>
      <w:lvlText w:val=""/>
      <w:lvlJc w:val="left"/>
      <w:pPr>
        <w:tabs>
          <w:tab w:val="num" w:pos="3589"/>
        </w:tabs>
        <w:ind w:left="3589" w:hanging="360"/>
      </w:pPr>
      <w:rPr>
        <w:rFonts w:ascii="Symbol" w:hAnsi="Symbol" w:hint="default"/>
      </w:rPr>
    </w:lvl>
    <w:lvl w:ilvl="4" w:tplc="04100003" w:tentative="1">
      <w:start w:val="1"/>
      <w:numFmt w:val="bullet"/>
      <w:lvlText w:val="o"/>
      <w:lvlJc w:val="left"/>
      <w:pPr>
        <w:tabs>
          <w:tab w:val="num" w:pos="4309"/>
        </w:tabs>
        <w:ind w:left="4309" w:hanging="360"/>
      </w:pPr>
      <w:rPr>
        <w:rFonts w:ascii="Courier New" w:hAnsi="Courier New" w:cs="Courier New" w:hint="default"/>
      </w:rPr>
    </w:lvl>
    <w:lvl w:ilvl="5" w:tplc="04100005" w:tentative="1">
      <w:start w:val="1"/>
      <w:numFmt w:val="bullet"/>
      <w:lvlText w:val=""/>
      <w:lvlJc w:val="left"/>
      <w:pPr>
        <w:tabs>
          <w:tab w:val="num" w:pos="5029"/>
        </w:tabs>
        <w:ind w:left="5029" w:hanging="360"/>
      </w:pPr>
      <w:rPr>
        <w:rFonts w:ascii="Wingdings" w:hAnsi="Wingdings" w:hint="default"/>
      </w:rPr>
    </w:lvl>
    <w:lvl w:ilvl="6" w:tplc="04100001" w:tentative="1">
      <w:start w:val="1"/>
      <w:numFmt w:val="bullet"/>
      <w:lvlText w:val=""/>
      <w:lvlJc w:val="left"/>
      <w:pPr>
        <w:tabs>
          <w:tab w:val="num" w:pos="5749"/>
        </w:tabs>
        <w:ind w:left="5749" w:hanging="360"/>
      </w:pPr>
      <w:rPr>
        <w:rFonts w:ascii="Symbol" w:hAnsi="Symbol" w:hint="default"/>
      </w:rPr>
    </w:lvl>
    <w:lvl w:ilvl="7" w:tplc="04100003" w:tentative="1">
      <w:start w:val="1"/>
      <w:numFmt w:val="bullet"/>
      <w:lvlText w:val="o"/>
      <w:lvlJc w:val="left"/>
      <w:pPr>
        <w:tabs>
          <w:tab w:val="num" w:pos="6469"/>
        </w:tabs>
        <w:ind w:left="6469" w:hanging="360"/>
      </w:pPr>
      <w:rPr>
        <w:rFonts w:ascii="Courier New" w:hAnsi="Courier New" w:cs="Courier New" w:hint="default"/>
      </w:rPr>
    </w:lvl>
    <w:lvl w:ilvl="8" w:tplc="04100005" w:tentative="1">
      <w:start w:val="1"/>
      <w:numFmt w:val="bullet"/>
      <w:lvlText w:val=""/>
      <w:lvlJc w:val="left"/>
      <w:pPr>
        <w:tabs>
          <w:tab w:val="num" w:pos="7189"/>
        </w:tabs>
        <w:ind w:left="7189" w:hanging="360"/>
      </w:pPr>
      <w:rPr>
        <w:rFonts w:ascii="Wingdings" w:hAnsi="Wingdings" w:hint="default"/>
      </w:rPr>
    </w:lvl>
  </w:abstractNum>
  <w:abstractNum w:abstractNumId="14">
    <w:nsid w:val="020AE3EC"/>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nsid w:val="00740D86"/>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202741456">
    <w:abstractNumId w:val="6"/>
  </w:num>
  <w:num w:numId="2" w16cid:durableId="1563902836">
    <w:abstractNumId w:val="6"/>
  </w:num>
  <w:num w:numId="3" w16cid:durableId="163785370">
    <w:abstractNumId w:val="13"/>
  </w:num>
  <w:num w:numId="4" w16cid:durableId="80493415">
    <w:abstractNumId w:val="2"/>
  </w:num>
  <w:num w:numId="5" w16cid:durableId="605965793">
    <w:abstractNumId w:val="1"/>
  </w:num>
  <w:num w:numId="6" w16cid:durableId="2081976530">
    <w:abstractNumId w:val="0"/>
  </w:num>
  <w:num w:numId="7" w16cid:durableId="1771929195">
    <w:abstractNumId w:val="5"/>
  </w:num>
  <w:num w:numId="8" w16cid:durableId="801776440">
    <w:abstractNumId w:val="7"/>
  </w:num>
  <w:num w:numId="9" w16cid:durableId="1193375016">
    <w:abstractNumId w:val="12"/>
  </w:num>
  <w:num w:numId="10" w16cid:durableId="1581056505">
    <w:abstractNumId w:val="10"/>
  </w:num>
  <w:num w:numId="11" w16cid:durableId="1509246635">
    <w:abstractNumId w:val="4"/>
  </w:num>
  <w:num w:numId="12" w16cid:durableId="1523741915">
    <w:abstractNumId w:val="4"/>
    <w:lvlOverride w:ilvl="0">
      <w:lvl w:ilvl="0">
        <w:start w:val="1"/>
        <w:numFmt w:val="decimal"/>
        <w:lvlText w:val="%1."/>
        <w:legacy w:legacy="1" w:legacySpace="0" w:legacyIndent="283"/>
        <w:lvlJc w:val="left"/>
        <w:pPr>
          <w:ind w:left="283" w:hanging="283"/>
        </w:pPr>
      </w:lvl>
    </w:lvlOverride>
  </w:num>
  <w:num w:numId="13" w16cid:durableId="1291936074">
    <w:abstractNumId w:val="4"/>
    <w:lvlOverride w:ilvl="0">
      <w:lvl w:ilvl="0">
        <w:start w:val="1"/>
        <w:numFmt w:val="decimal"/>
        <w:lvlText w:val="%1."/>
        <w:legacy w:legacy="1" w:legacySpace="0" w:legacyIndent="283"/>
        <w:lvlJc w:val="left"/>
        <w:pPr>
          <w:ind w:left="283" w:hanging="283"/>
        </w:pPr>
      </w:lvl>
    </w:lvlOverride>
  </w:num>
  <w:num w:numId="14" w16cid:durableId="679311381">
    <w:abstractNumId w:val="9"/>
  </w:num>
  <w:num w:numId="15" w16cid:durableId="2144229455">
    <w:abstractNumId w:val="11"/>
  </w:num>
  <w:num w:numId="16" w16cid:durableId="589319004">
    <w:abstractNumId w:val="3"/>
  </w:num>
  <w:num w:numId="1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5"/>
  </w:num>
  <w:num w:numId="20">
    <w:abstractNumId w:val="15"/>
  </w:num>
  <w:num w:numId="2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5"/>
  </w:num>
  <w:num w:numId="23">
    <w:abstractNumId w:val="15"/>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5"/>
  </w:num>
  <w:num w:numId="27">
    <w:abstractNumId w:val="15"/>
  </w:num>
  <w:num w:numId="17" w16cid:durableId="10058643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56"/>
  <w:mirrorMargin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283"/>
  <w:evenAndOddHeaders/>
  <w:noPunctuationKerning/>
  <w:characterSpacingControl w:val="doNotCompress"/>
  <w:hdrShapeDefaults>
    <o:shapedefaults v:ext="edit" spidmax="2050"/>
  </w:hdrShapeDefaults>
  <w:footnotePr>
    <w:footnote w:id="-1"/>
    <w:footnote w:id="0"/>
    <w:footnote w:id="1"/>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5"/>
    <w:compatSetting w:name="allowHyphenationAtTrackBottom" w:uri="http://schemas.microsoft.com/office/word" w:val="1"/>
    <w:compatSetting w:name="useWord2013TrackBottomHyphenation" w:uri="http://schemas.microsoft.com/office/word" w:val="1"/>
  </w:compat>
  <w:rsids>
    <w:rsidRoot w:val="0025213E"/>
    <w:rsid w:val="00007661"/>
    <w:rsid w:val="00015026"/>
    <w:rsid w:val="00017517"/>
    <w:rsid w:val="00055770"/>
    <w:rsid w:val="0007562C"/>
    <w:rsid w:val="00075AFB"/>
    <w:rsid w:val="000854D0"/>
    <w:rsid w:val="000A1D9C"/>
    <w:rsid w:val="000A5ED7"/>
    <w:rsid w:val="000B14E3"/>
    <w:rsid w:val="000D30CE"/>
    <w:rsid w:val="000D42DF"/>
    <w:rsid w:val="000E38B3"/>
    <w:rsid w:val="000F2968"/>
    <w:rsid w:val="00106BA0"/>
    <w:rsid w:val="00123364"/>
    <w:rsid w:val="001479DE"/>
    <w:rsid w:val="00157B12"/>
    <w:rsid w:val="00160BFC"/>
    <w:rsid w:val="00164E8B"/>
    <w:rsid w:val="00167100"/>
    <w:rsid w:val="00167879"/>
    <w:rsid w:val="001733A0"/>
    <w:rsid w:val="0017690D"/>
    <w:rsid w:val="001823A2"/>
    <w:rsid w:val="001A1959"/>
    <w:rsid w:val="001B0213"/>
    <w:rsid w:val="001C45B7"/>
    <w:rsid w:val="001D7ED4"/>
    <w:rsid w:val="001E38CE"/>
    <w:rsid w:val="001E6735"/>
    <w:rsid w:val="001F2C19"/>
    <w:rsid w:val="00202106"/>
    <w:rsid w:val="00210902"/>
    <w:rsid w:val="00210BAB"/>
    <w:rsid w:val="00216A30"/>
    <w:rsid w:val="00242CFA"/>
    <w:rsid w:val="002440EE"/>
    <w:rsid w:val="0025213E"/>
    <w:rsid w:val="00256274"/>
    <w:rsid w:val="00260774"/>
    <w:rsid w:val="0026115B"/>
    <w:rsid w:val="0027116B"/>
    <w:rsid w:val="00293BF1"/>
    <w:rsid w:val="002967AE"/>
    <w:rsid w:val="002A271F"/>
    <w:rsid w:val="002A2A2C"/>
    <w:rsid w:val="002A3DBF"/>
    <w:rsid w:val="002F449E"/>
    <w:rsid w:val="002F5B06"/>
    <w:rsid w:val="002F6DDC"/>
    <w:rsid w:val="00304C37"/>
    <w:rsid w:val="0033326D"/>
    <w:rsid w:val="003364EC"/>
    <w:rsid w:val="00337D11"/>
    <w:rsid w:val="00346059"/>
    <w:rsid w:val="0034646F"/>
    <w:rsid w:val="00351C5B"/>
    <w:rsid w:val="00361DE6"/>
    <w:rsid w:val="00370908"/>
    <w:rsid w:val="0037218A"/>
    <w:rsid w:val="00380EDB"/>
    <w:rsid w:val="00390BF7"/>
    <w:rsid w:val="00391E3C"/>
    <w:rsid w:val="003C6123"/>
    <w:rsid w:val="003D7A69"/>
    <w:rsid w:val="003E0166"/>
    <w:rsid w:val="003F39E8"/>
    <w:rsid w:val="003F477A"/>
    <w:rsid w:val="0040095B"/>
    <w:rsid w:val="00405B1C"/>
    <w:rsid w:val="00407907"/>
    <w:rsid w:val="00432B90"/>
    <w:rsid w:val="00444F4E"/>
    <w:rsid w:val="00466B2D"/>
    <w:rsid w:val="004711F7"/>
    <w:rsid w:val="004A2A42"/>
    <w:rsid w:val="004A3BC6"/>
    <w:rsid w:val="004A5E9F"/>
    <w:rsid w:val="004B19FE"/>
    <w:rsid w:val="004D6413"/>
    <w:rsid w:val="004E4BD8"/>
    <w:rsid w:val="004F12C8"/>
    <w:rsid w:val="004F784C"/>
    <w:rsid w:val="0050658F"/>
    <w:rsid w:val="00517F85"/>
    <w:rsid w:val="0053670B"/>
    <w:rsid w:val="00544A0F"/>
    <w:rsid w:val="00547B30"/>
    <w:rsid w:val="005547A4"/>
    <w:rsid w:val="00556EFE"/>
    <w:rsid w:val="00597CC7"/>
    <w:rsid w:val="005A7ACB"/>
    <w:rsid w:val="005C038E"/>
    <w:rsid w:val="005C0926"/>
    <w:rsid w:val="005C0C2C"/>
    <w:rsid w:val="005D0F00"/>
    <w:rsid w:val="005F2B8C"/>
    <w:rsid w:val="005F6985"/>
    <w:rsid w:val="00603DF2"/>
    <w:rsid w:val="00605BCD"/>
    <w:rsid w:val="006152AF"/>
    <w:rsid w:val="006309FF"/>
    <w:rsid w:val="00634C45"/>
    <w:rsid w:val="00664FC9"/>
    <w:rsid w:val="006666C0"/>
    <w:rsid w:val="00692828"/>
    <w:rsid w:val="006A066D"/>
    <w:rsid w:val="006A391B"/>
    <w:rsid w:val="006C011A"/>
    <w:rsid w:val="006C23E4"/>
    <w:rsid w:val="006C368C"/>
    <w:rsid w:val="006C7CE3"/>
    <w:rsid w:val="006E2A5E"/>
    <w:rsid w:val="006E45F6"/>
    <w:rsid w:val="006F0878"/>
    <w:rsid w:val="007036C3"/>
    <w:rsid w:val="00711B93"/>
    <w:rsid w:val="00714915"/>
    <w:rsid w:val="00723EAA"/>
    <w:rsid w:val="0073021F"/>
    <w:rsid w:val="00731755"/>
    <w:rsid w:val="007328AD"/>
    <w:rsid w:val="00732C53"/>
    <w:rsid w:val="007432D8"/>
    <w:rsid w:val="00745442"/>
    <w:rsid w:val="0074698A"/>
    <w:rsid w:val="00764359"/>
    <w:rsid w:val="00764658"/>
    <w:rsid w:val="00765913"/>
    <w:rsid w:val="00777730"/>
    <w:rsid w:val="00786C76"/>
    <w:rsid w:val="007872AF"/>
    <w:rsid w:val="00790C43"/>
    <w:rsid w:val="00797C32"/>
    <w:rsid w:val="007C4767"/>
    <w:rsid w:val="007E2845"/>
    <w:rsid w:val="007E6E43"/>
    <w:rsid w:val="007F3CA6"/>
    <w:rsid w:val="007F7064"/>
    <w:rsid w:val="00801686"/>
    <w:rsid w:val="008063A2"/>
    <w:rsid w:val="00813E4A"/>
    <w:rsid w:val="00826D1B"/>
    <w:rsid w:val="00832DBE"/>
    <w:rsid w:val="00870DFC"/>
    <w:rsid w:val="00873685"/>
    <w:rsid w:val="008A5768"/>
    <w:rsid w:val="008B346C"/>
    <w:rsid w:val="008C36F8"/>
    <w:rsid w:val="008C5325"/>
    <w:rsid w:val="008C67A9"/>
    <w:rsid w:val="008D5C3E"/>
    <w:rsid w:val="008D5E27"/>
    <w:rsid w:val="008D780A"/>
    <w:rsid w:val="008E6BBC"/>
    <w:rsid w:val="00917A6D"/>
    <w:rsid w:val="00920B2A"/>
    <w:rsid w:val="00933114"/>
    <w:rsid w:val="0093556B"/>
    <w:rsid w:val="009360B6"/>
    <w:rsid w:val="00937E89"/>
    <w:rsid w:val="0094527C"/>
    <w:rsid w:val="00947A3D"/>
    <w:rsid w:val="00952953"/>
    <w:rsid w:val="00952AB6"/>
    <w:rsid w:val="009544E1"/>
    <w:rsid w:val="009801C5"/>
    <w:rsid w:val="00984A3E"/>
    <w:rsid w:val="00991E41"/>
    <w:rsid w:val="00994716"/>
    <w:rsid w:val="00994D9D"/>
    <w:rsid w:val="009B6EF6"/>
    <w:rsid w:val="009C1536"/>
    <w:rsid w:val="009D408B"/>
    <w:rsid w:val="009E5C82"/>
    <w:rsid w:val="009F00E9"/>
    <w:rsid w:val="009F1CEC"/>
    <w:rsid w:val="009F779B"/>
    <w:rsid w:val="00A01520"/>
    <w:rsid w:val="00A1166C"/>
    <w:rsid w:val="00A45C16"/>
    <w:rsid w:val="00A5132A"/>
    <w:rsid w:val="00A67493"/>
    <w:rsid w:val="00A839F0"/>
    <w:rsid w:val="00A93668"/>
    <w:rsid w:val="00A959D3"/>
    <w:rsid w:val="00A965ED"/>
    <w:rsid w:val="00A97C8E"/>
    <w:rsid w:val="00AA2C27"/>
    <w:rsid w:val="00AC6EC1"/>
    <w:rsid w:val="00AE3B1D"/>
    <w:rsid w:val="00B02DC6"/>
    <w:rsid w:val="00B077A9"/>
    <w:rsid w:val="00B1445E"/>
    <w:rsid w:val="00B3713E"/>
    <w:rsid w:val="00B41EDC"/>
    <w:rsid w:val="00B425A1"/>
    <w:rsid w:val="00B556D0"/>
    <w:rsid w:val="00B56AB1"/>
    <w:rsid w:val="00B71CAC"/>
    <w:rsid w:val="00B81BE3"/>
    <w:rsid w:val="00B86E78"/>
    <w:rsid w:val="00B968CF"/>
    <w:rsid w:val="00BB4517"/>
    <w:rsid w:val="00BB7322"/>
    <w:rsid w:val="00BC6E0B"/>
    <w:rsid w:val="00BD6E6D"/>
    <w:rsid w:val="00C05760"/>
    <w:rsid w:val="00C15DF3"/>
    <w:rsid w:val="00C25272"/>
    <w:rsid w:val="00C31E4F"/>
    <w:rsid w:val="00C33B65"/>
    <w:rsid w:val="00C54CE2"/>
    <w:rsid w:val="00C717B6"/>
    <w:rsid w:val="00C80AC3"/>
    <w:rsid w:val="00CA1363"/>
    <w:rsid w:val="00CB6D1E"/>
    <w:rsid w:val="00CF265F"/>
    <w:rsid w:val="00CF3D1A"/>
    <w:rsid w:val="00D04497"/>
    <w:rsid w:val="00D050FB"/>
    <w:rsid w:val="00D07C3D"/>
    <w:rsid w:val="00D17C3E"/>
    <w:rsid w:val="00D27B17"/>
    <w:rsid w:val="00D511A3"/>
    <w:rsid w:val="00D572F6"/>
    <w:rsid w:val="00D64CFA"/>
    <w:rsid w:val="00DC4BEC"/>
    <w:rsid w:val="00DE33B4"/>
    <w:rsid w:val="00E0782F"/>
    <w:rsid w:val="00E07EC5"/>
    <w:rsid w:val="00E15E52"/>
    <w:rsid w:val="00E25B0D"/>
    <w:rsid w:val="00E267CE"/>
    <w:rsid w:val="00E37CE0"/>
    <w:rsid w:val="00E5086D"/>
    <w:rsid w:val="00E53BD9"/>
    <w:rsid w:val="00E5680B"/>
    <w:rsid w:val="00E61A7C"/>
    <w:rsid w:val="00E622D0"/>
    <w:rsid w:val="00E66776"/>
    <w:rsid w:val="00E81477"/>
    <w:rsid w:val="00EA05F9"/>
    <w:rsid w:val="00EA3CE0"/>
    <w:rsid w:val="00EE554D"/>
    <w:rsid w:val="00EF58DF"/>
    <w:rsid w:val="00F072BE"/>
    <w:rsid w:val="00F129B2"/>
    <w:rsid w:val="00F14856"/>
    <w:rsid w:val="00F30A6D"/>
    <w:rsid w:val="00F60FAE"/>
    <w:rsid w:val="00F77125"/>
    <w:rsid w:val="00F81790"/>
    <w:rsid w:val="00F9600D"/>
    <w:rsid w:val="00FA1B36"/>
    <w:rsid w:val="00FD43DC"/>
    <w:rsid w:val="00FE6751"/>
    <w:rsid w:val="00FF210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0B1FDE"/>
  <w15:chartTrackingRefBased/>
  <w15:docId w15:val="{94598F74-CFAA-4574-B35A-7A780C251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CL" w:eastAsia="es-MX"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8DF"/>
    <w:pPr>
      <w:spacing w:before="120" w:after="120"/>
      <w:jc w:val="both"/>
    </w:pPr>
    <w:rPr>
      <w:sz w:val="22"/>
      <w:lang w:val="it-IT" w:eastAsia="it-IT"/>
    </w:rPr>
  </w:style>
  <w:style w:type="paragraph" w:styleId="Ttulo1">
    <w:name w:val="heading 1"/>
    <w:basedOn w:val="Normal"/>
    <w:next w:val="Normal"/>
    <w:qFormat/>
    <w:rsid w:val="00A97C8E"/>
    <w:pPr>
      <w:keepNext/>
      <w:spacing w:after="0"/>
      <w:contextualSpacing/>
      <w:jc w:val="left"/>
      <w:outlineLvl w:val="0"/>
    </w:pPr>
    <w:rPr>
      <w:rFonts w:cs="Arial"/>
      <w:b/>
      <w:bCs/>
      <w:caps/>
      <w:color w:val="008B7B"/>
      <w:kern w:val="32"/>
      <w:sz w:val="40"/>
      <w:szCs w:val="32"/>
    </w:rPr>
  </w:style>
  <w:style w:type="paragraph" w:styleId="Ttulo2">
    <w:name w:val="heading 2"/>
    <w:basedOn w:val="Normal"/>
    <w:next w:val="Normal"/>
    <w:qFormat/>
    <w:rsid w:val="00A97C8E"/>
    <w:pPr>
      <w:keepNext/>
      <w:spacing w:after="0"/>
      <w:contextualSpacing/>
      <w:jc w:val="left"/>
      <w:outlineLvl w:val="1"/>
    </w:pPr>
    <w:rPr>
      <w:rFonts w:cs="Arial"/>
      <w:b/>
      <w:bCs/>
      <w:iCs/>
      <w:caps/>
      <w:color w:val="008B7B"/>
      <w:sz w:val="32"/>
      <w:szCs w:val="28"/>
    </w:rPr>
  </w:style>
  <w:style w:type="paragraph" w:styleId="Ttulo3">
    <w:name w:val="heading 3"/>
    <w:basedOn w:val="Normal"/>
    <w:next w:val="Normal"/>
    <w:qFormat/>
    <w:rsid w:val="00A97C8E"/>
    <w:pPr>
      <w:keepNext/>
      <w:spacing w:after="0"/>
      <w:jc w:val="left"/>
      <w:outlineLvl w:val="2"/>
    </w:pPr>
    <w:rPr>
      <w:rFonts w:cs="Arial"/>
      <w:b/>
      <w:bCs/>
      <w:caps/>
      <w:color w:val="008B7B"/>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basedOn w:val="Normal"/>
    <w:semiHidden/>
    <w:rsid w:val="005C0C2C"/>
    <w:pPr>
      <w:tabs>
        <w:tab w:val="left" w:pos="284"/>
      </w:tabs>
      <w:spacing w:before="0"/>
      <w:ind w:left="284" w:hanging="284"/>
    </w:pPr>
    <w:rPr>
      <w:sz w:val="16"/>
      <w:szCs w:val="16"/>
    </w:rPr>
  </w:style>
  <w:style w:type="character" w:styleId="Refdenotaalpie">
    <w:name w:val="footnote reference"/>
    <w:semiHidden/>
    <w:rsid w:val="005C0C2C"/>
    <w:rPr>
      <w:rFonts w:ascii="Arial" w:hAnsi="Arial"/>
      <w:vertAlign w:val="superscript"/>
    </w:rPr>
  </w:style>
  <w:style w:type="paragraph" w:styleId="Encabezado">
    <w:name w:val="header"/>
    <w:basedOn w:val="Normal"/>
    <w:rsid w:val="00D050FB"/>
    <w:pPr>
      <w:pBdr>
        <w:bottom w:val="single" w:sz="4" w:space="1" w:color="auto"/>
      </w:pBdr>
      <w:tabs>
        <w:tab w:val="center" w:pos="4819"/>
        <w:tab w:val="right" w:pos="9638"/>
      </w:tabs>
      <w:spacing w:before="100" w:beforeAutospacing="1" w:after="100" w:afterAutospacing="1"/>
      <w:jc w:val="right"/>
    </w:pPr>
    <w:rPr>
      <w:i/>
      <w:sz w:val="16"/>
      <w:szCs w:val="16"/>
    </w:rPr>
  </w:style>
  <w:style w:type="paragraph" w:styleId="Piedepgina">
    <w:name w:val="footer"/>
    <w:basedOn w:val="Encabezado"/>
    <w:link w:val="PiedepginaCar"/>
    <w:uiPriority w:val="99"/>
    <w:rsid w:val="005C0C2C"/>
    <w:pPr>
      <w:pBdr>
        <w:top w:val="single" w:sz="4" w:space="1" w:color="auto"/>
        <w:bottom w:val="none" w:sz="0" w:space="0" w:color="auto"/>
      </w:pBdr>
    </w:pPr>
    <w:rPr>
      <w:i w:val="0"/>
    </w:rPr>
  </w:style>
  <w:style w:type="character" w:styleId="Nmerodepgina">
    <w:name w:val="page number"/>
    <w:rsid w:val="00B71CAC"/>
    <w:rPr>
      <w:rFonts w:ascii="Calibri" w:hAnsi="Calibri"/>
      <w:b/>
      <w:color w:val="auto"/>
      <w:sz w:val="18"/>
    </w:rPr>
  </w:style>
  <w:style w:type="paragraph" w:customStyle="1" w:styleId="Tabella">
    <w:name w:val="Tabella"/>
    <w:basedOn w:val="Normal"/>
    <w:rsid w:val="00167879"/>
    <w:pPr>
      <w:keepLines/>
      <w:spacing w:before="80" w:after="80"/>
    </w:pPr>
    <w:rPr>
      <w:sz w:val="18"/>
      <w:szCs w:val="18"/>
    </w:rPr>
  </w:style>
  <w:style w:type="paragraph" w:customStyle="1" w:styleId="Bibligrafia">
    <w:name w:val="Bibligrafia"/>
    <w:basedOn w:val="Textoindependiente"/>
    <w:rsid w:val="00160BFC"/>
    <w:pPr>
      <w:ind w:left="680" w:hanging="680"/>
    </w:pPr>
  </w:style>
  <w:style w:type="paragraph" w:styleId="Textoindependiente">
    <w:name w:val="Body Text"/>
    <w:basedOn w:val="Normal"/>
    <w:rsid w:val="00160BFC"/>
  </w:style>
  <w:style w:type="paragraph" w:styleId="Lista">
    <w:name w:val="List"/>
    <w:basedOn w:val="Textoindependiente"/>
    <w:next w:val="Textoindependiente"/>
    <w:rsid w:val="0027116B"/>
    <w:pPr>
      <w:numPr>
        <w:numId w:val="2"/>
      </w:numPr>
      <w:spacing w:after="0"/>
    </w:pPr>
  </w:style>
  <w:style w:type="paragraph" w:styleId="Descripcin">
    <w:name w:val="caption"/>
    <w:basedOn w:val="Normal"/>
    <w:next w:val="Normal"/>
    <w:qFormat/>
    <w:rsid w:val="003E0166"/>
    <w:pPr>
      <w:spacing w:before="60"/>
      <w:jc w:val="center"/>
    </w:pPr>
    <w:rPr>
      <w:rFonts w:ascii="Trebuchet MS" w:hAnsi="Trebuchet MS"/>
      <w:b/>
      <w:bCs/>
      <w:sz w:val="18"/>
      <w:szCs w:val="18"/>
    </w:rPr>
  </w:style>
  <w:style w:type="table" w:styleId="Tablaconcuadrcula">
    <w:name w:val="Table Grid"/>
    <w:basedOn w:val="Tablanormal"/>
    <w:rsid w:val="00EF58DF"/>
    <w:pPr>
      <w:spacing w:before="240" w:after="240"/>
      <w:ind w:firstLine="709"/>
      <w:jc w:val="both"/>
    </w:pPr>
    <w:tblPr>
      <w:tblBorders>
        <w:top w:val="single" w:sz="4" w:space="0" w:color="00897B"/>
        <w:left w:val="single" w:sz="4" w:space="0" w:color="00897B"/>
        <w:bottom w:val="single" w:sz="4" w:space="0" w:color="00897B"/>
        <w:right w:val="single" w:sz="4" w:space="0" w:color="00897B"/>
        <w:insideH w:val="single" w:sz="4" w:space="0" w:color="00897B"/>
        <w:insideV w:val="single" w:sz="4" w:space="0" w:color="00897B"/>
      </w:tblBorders>
    </w:tblPr>
  </w:style>
  <w:style w:type="paragraph" w:customStyle="1" w:styleId="Figura">
    <w:name w:val="Figura"/>
    <w:basedOn w:val="Normal"/>
    <w:rsid w:val="00EA05F9"/>
    <w:pPr>
      <w:jc w:val="center"/>
    </w:pPr>
  </w:style>
  <w:style w:type="paragraph" w:styleId="TDC1">
    <w:name w:val="toc 1"/>
    <w:basedOn w:val="Normal"/>
    <w:next w:val="Normal"/>
    <w:autoRedefine/>
    <w:semiHidden/>
    <w:rsid w:val="00B3713E"/>
  </w:style>
  <w:style w:type="paragraph" w:styleId="TDC2">
    <w:name w:val="toc 2"/>
    <w:basedOn w:val="Normal"/>
    <w:next w:val="Normal"/>
    <w:autoRedefine/>
    <w:semiHidden/>
    <w:rsid w:val="00B3713E"/>
    <w:pPr>
      <w:ind w:left="240"/>
    </w:pPr>
  </w:style>
  <w:style w:type="paragraph" w:styleId="TDC3">
    <w:name w:val="toc 3"/>
    <w:basedOn w:val="Normal"/>
    <w:next w:val="Normal"/>
    <w:autoRedefine/>
    <w:semiHidden/>
    <w:rsid w:val="00B3713E"/>
    <w:pPr>
      <w:ind w:left="480"/>
    </w:pPr>
  </w:style>
  <w:style w:type="character" w:styleId="Hipervnculo">
    <w:name w:val="Hyperlink"/>
    <w:rsid w:val="00B3713E"/>
  </w:style>
  <w:style w:type="paragraph" w:styleId="Mapadeldocumento">
    <w:name w:val="Document Map"/>
    <w:basedOn w:val="Normal"/>
    <w:semiHidden/>
    <w:rsid w:val="006152AF"/>
    <w:pPr>
      <w:shd w:val="clear" w:color="auto" w:fill="000080"/>
    </w:pPr>
    <w:rPr>
      <w:rFonts w:ascii="Tahoma" w:hAnsi="Tahoma" w:cs="Tahoma"/>
    </w:rPr>
  </w:style>
  <w:style w:type="character" w:styleId="Refdecomentario">
    <w:name w:val="annotation reference"/>
    <w:semiHidden/>
    <w:rsid w:val="002967AE"/>
    <w:rPr>
      <w:sz w:val="16"/>
      <w:szCs w:val="16"/>
    </w:rPr>
  </w:style>
  <w:style w:type="paragraph" w:styleId="Textocomentario">
    <w:name w:val="annotation text"/>
    <w:basedOn w:val="Normal"/>
    <w:semiHidden/>
    <w:rsid w:val="002967AE"/>
    <w:rPr>
      <w:sz w:val="20"/>
    </w:rPr>
  </w:style>
  <w:style w:type="paragraph" w:styleId="Asuntodelcomentario">
    <w:name w:val="annotation subject"/>
    <w:basedOn w:val="Textocomentario"/>
    <w:next w:val="Textocomentario"/>
    <w:semiHidden/>
    <w:rsid w:val="002967AE"/>
    <w:rPr>
      <w:b/>
      <w:bCs/>
    </w:rPr>
  </w:style>
  <w:style w:type="paragraph" w:styleId="Textodeglobo">
    <w:name w:val="Balloon Text"/>
    <w:basedOn w:val="Normal"/>
    <w:semiHidden/>
    <w:rsid w:val="002967AE"/>
    <w:rPr>
      <w:rFonts w:ascii="Tahoma" w:hAnsi="Tahoma" w:cs="Tahoma"/>
      <w:sz w:val="16"/>
      <w:szCs w:val="16"/>
    </w:rPr>
  </w:style>
  <w:style w:type="character" w:customStyle="1" w:styleId="PiedepginaCar">
    <w:name w:val="Pie de página Car"/>
    <w:link w:val="Piedepgina"/>
    <w:uiPriority w:val="99"/>
    <w:rsid w:val="00242CFA"/>
    <w:rPr>
      <w:sz w:val="16"/>
      <w:szCs w:val="16"/>
    </w:rPr>
  </w:style>
  <w:style w:styleId="ImageCaption" w:type="paragraph">
    <w:name w:val="Image Caption"/>
    <w:basedOn w:val="Normal"/>
    <w:next w:val="Normal"/>
    <w:qFormat/>
    <w:pPr>
      <w:spacing w:after="60" w:before="200"/>
      <w:jc w:val="left"/>
    </w:pPr>
    <w:rPr>
      <w:rFonts w:ascii="Calibri" w:hAnsi="Calibri"/>
      <w:b/>
      <w:bCs/>
      <w:color w:val="404040"/>
      <w:sz w:val="19"/>
      <w:szCs w:val="19"/>
    </w:rPr>
  </w:style>
  <w:style w:styleId="Table" w:type="table">
    <w:name w:val="Table"/>
    <w:basedOn w:val="Tablaconcuadrcula"/>
    <w:tblPr>
      <w:tblBorders>
        <w:top w:color="00897B" w:space="0" w:sz="4" w:val="single"/>
        <w:left w:color="00897B" w:space="0" w:sz="4" w:val="single"/>
        <w:bottom w:color="00897B" w:space="0" w:sz="4" w:val="single"/>
        <w:right w:color="00897B" w:space="0" w:sz="4" w:val="single"/>
        <w:insideH w:color="00897B" w:space="0" w:sz="4" w:val="single"/>
        <w:insideV w:color="00897B" w:space="0" w:sz="4" w:val="single"/>
      </w:tblBorders>
    </w:tblPr>
  </w:style>
  <w:style w:styleId="CaptionText" w:type="character">
    <w:name w:val="Caption Text"/>
    <w:basedOn w:val="Fuentedeprrafopredeter"/>
    <w:qFormat/>
    <w:rPr>
      <w:b w:val="0"/>
      <w:bCs w:val="0"/>
    </w:rPr>
  </w:style>
  <w:style w:styleId="FigureNote" w:type="paragraph">
    <w:name w:val="Figure Note"/>
    <w:basedOn w:val="Normal"/>
    <w:next w:val="Normal"/>
    <w:qFormat/>
    <w:pPr>
      <w:spacing w:after="120" w:before="40"/>
      <w:jc w:val="left"/>
    </w:pPr>
    <w:rPr>
      <w:rFonts w:ascii="Calibri" w:hAnsi="Calibri"/>
      <w:color w:val="595959"/>
      <w:sz w:val="18"/>
      <w:szCs w:val="18"/>
    </w:rPr>
  </w:style>
  <w:style w:styleId="Ttulo4" w:type="paragraph">
    <w:name w:val="heading 4"/>
    <w:basedOn w:val="Normal"/>
    <w:next w:val="Normal"/>
    <w:qFormat/>
    <w:rsid w:val="00A97C8E"/>
    <w:pPr>
      <w:keepNext/>
      <w:spacing w:after="0"/>
      <w:jc w:val="left"/>
      <w:outlineLvl w:val="3"/>
    </w:pPr>
    <w:rPr>
      <w:rFonts w:cs="Arial"/>
      <w:b/>
      <w:bCs/>
      <w:i/>
      <w:iCs/>
      <w:color w:val="008B7B"/>
      <w:sz w:val="22"/>
    </w:rPr>
  </w:style>
  <w:style w:customStyle="1" w:styleId="Bibliography" w:type="paragraph">
    <w:name w:val="Bibliography"/>
    <w:basedOn w:val="Textoindependiente"/>
    <w:pPr>
      <w:ind w:hanging="680" w:left="680"/>
    </w:pPr>
  </w:style>
  <w:style w:type="paragraph" w:customStyle="1" w:styleId="SourceCode">
    <w:name w:val="Source Code"/>
    <w:basedOn w:val="Normal"/>
    <w:link w:val="VerbatimChar"/>
    <w:pPr>
      <w:wordWrap w:val="off"/>
      <w:shd w:val="clear" w:fill="f1f3f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229582">
      <w:bodyDiv w:val="1"/>
      <w:marLeft w:val="0"/>
      <w:marRight w:val="0"/>
      <w:marTop w:val="0"/>
      <w:marBottom w:val="0"/>
      <w:divBdr>
        <w:top w:val="none" w:sz="0" w:space="0" w:color="auto"/>
        <w:left w:val="none" w:sz="0" w:space="0" w:color="auto"/>
        <w:bottom w:val="none" w:sz="0" w:space="0" w:color="auto"/>
        <w:right w:val="none" w:sz="0" w:space="0" w:color="auto"/>
      </w:divBdr>
    </w:div>
    <w:div w:id="1000281579">
      <w:bodyDiv w:val="1"/>
      <w:marLeft w:val="0"/>
      <w:marRight w:val="0"/>
      <w:marTop w:val="0"/>
      <w:marBottom w:val="0"/>
      <w:divBdr>
        <w:top w:val="none" w:sz="0" w:space="0" w:color="auto"/>
        <w:left w:val="none" w:sz="0" w:space="0" w:color="auto"/>
        <w:bottom w:val="none" w:sz="0" w:space="0" w:color="auto"/>
        <w:right w:val="none" w:sz="0" w:space="0" w:color="auto"/>
      </w:divBdr>
    </w:div>
    <w:div w:id="1238710193">
      <w:bodyDiv w:val="1"/>
      <w:marLeft w:val="0"/>
      <w:marRight w:val="0"/>
      <w:marTop w:val="0"/>
      <w:marBottom w:val="0"/>
      <w:divBdr>
        <w:top w:val="none" w:sz="0" w:space="0" w:color="auto"/>
        <w:left w:val="none" w:sz="0" w:space="0" w:color="auto"/>
        <w:bottom w:val="none" w:sz="0" w:space="0" w:color="auto"/>
        <w:right w:val="none" w:sz="0" w:space="0" w:color="auto"/>
      </w:divBdr>
    </w:div>
    <w:div w:id="2135520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1" Type="http://schemas.openxmlformats.org/officeDocument/2006/relationships/image" Target="media/image2.png"/><Relationship Id="rId22" Type="http://schemas.openxmlformats.org/officeDocument/2006/relationships/image" Target="media/image3.sv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image" Target="media/image12.png"/><Relationship Id="rId32" Type="http://schemas.openxmlformats.org/officeDocument/2006/relationships/image" Target="media/image13.png"/><Relationship Id="rId33" Type="http://schemas.openxmlformats.org/officeDocument/2006/relationships/image" Target="media/image14.png"/><Relationship Id="rId34" Type="http://schemas.openxmlformats.org/officeDocument/2006/relationships/image" Target="media/image15.png"/><Relationship Id="rId35" Type="http://schemas.openxmlformats.org/officeDocument/2006/relationships/image" Target="media/image16.png"/><Relationship Id="rId36" Type="http://schemas.openxmlformats.org/officeDocument/2006/relationships/image" Target="media/image17.png"/><Relationship Id="rId37" Type="http://schemas.openxmlformats.org/officeDocument/2006/relationships/image" Target="media/image18.png"/><Relationship Id="rId38" Type="http://schemas.openxmlformats.org/officeDocument/2006/relationships/image" Target="media/image19.png"/><Relationship Id="rId39" Type="http://schemas.openxmlformats.org/officeDocument/2006/relationships/image" Target="media/image20.png"/><Relationship Id="rId40" Type="http://schemas.openxmlformats.org/officeDocument/2006/relationships/image" Target="media/image21.png"/><Relationship Id="rId41" Type="http://schemas.openxmlformats.org/officeDocument/2006/relationships/image" Target="media/image22.png"/><Relationship Id="rId42" Type="http://schemas.openxmlformats.org/officeDocument/2006/relationships/image" Target="media/image23.png"/><Relationship Id="rId43" Type="http://schemas.openxmlformats.org/officeDocument/2006/relationships/image" Target="media/image24.png"/><Relationship Id="rId44" Type="http://schemas.openxmlformats.org/officeDocument/2006/relationships/image" Target="media/image25.png"/><Relationship Id="rId45" Type="http://schemas.openxmlformats.org/officeDocument/2006/relationships/image" Target="media/image26.png"/><Relationship Id="rId46" Type="http://schemas.openxmlformats.org/officeDocument/2006/relationships/hyperlink" Target="https://doi.org/10.2308/ISYS-2025-056" TargetMode="External"/><Relationship Id="rId47" Type="http://schemas.openxmlformats.org/officeDocument/2006/relationships/hyperlink" Target="https://doi.org/10.1147/JRD.2019.2942288" TargetMode="External"/><Relationship Id="rId48" Type="http://schemas.openxmlformats.org/officeDocument/2006/relationships/hyperlink" Target="https://doi.org/10.1016/j.jfineco.2023.103745" TargetMode="External"/><Relationship Id="rId49" Type="http://schemas.openxmlformats.org/officeDocument/2006/relationships/hyperlink" Target="https://doi.org/10.2139/ssrn.5133107" TargetMode="External"/><Relationship Id="rId50" Type="http://schemas.openxmlformats.org/officeDocument/2006/relationships/hyperlink" Target="https://doi.org/10.1016/j.irfa.2025.104378" TargetMode="External"/><Relationship Id="rId51" Type="http://schemas.openxmlformats.org/officeDocument/2006/relationships/hyperlink" Target="https://doi.org/10.1111/j.2517-6161.1995.tb02031.x" TargetMode="External"/><Relationship Id="rId52" Type="http://schemas.openxmlformats.org/officeDocument/2006/relationships/hyperlink" Target="https://doi.org/10.2307/2327056" TargetMode="External"/><Relationship Id="rId53" Type="http://schemas.openxmlformats.org/officeDocument/2006/relationships/hyperlink" Target="https://doi.org/10.1080/19416520.2012.684462" TargetMode="External"/><Relationship Id="rId54" Type="http://schemas.openxmlformats.org/officeDocument/2006/relationships/hyperlink" Target="https://doi.org/10.1016/0304-405X(85)90042-X" TargetMode="External"/><Relationship Id="rId55" Type="http://schemas.openxmlformats.org/officeDocument/2006/relationships/hyperlink" Target="https://doi.org/10.1093/rfs/hht060" TargetMode="External"/><Relationship Id="rId56" Type="http://schemas.openxmlformats.org/officeDocument/2006/relationships/hyperlink" Target="https://doi.org/10.1287/mnsc.2018.3249" TargetMode="External"/><Relationship Id="rId57" Type="http://schemas.openxmlformats.org/officeDocument/2006/relationships/hyperlink" Target="https://doi.org/10.18653/v1/2024.findings-acl.137" TargetMode="External"/><Relationship Id="rId58" Type="http://schemas.openxmlformats.org/officeDocument/2006/relationships/hyperlink" Target="https://doi.org/10.1016/S0304-405X(01)00066-6" TargetMode="External"/><Relationship Id="rId59" Type="http://schemas.openxmlformats.org/officeDocument/2006/relationships/hyperlink" Target="https://doi.org/10.1287/mnsc.2018.3220" TargetMode="External"/><Relationship Id="rId60" Type="http://schemas.openxmlformats.org/officeDocument/2006/relationships/hyperlink" Target="https://doi.org/10.2307/1913390" TargetMode="External"/><Relationship Id="rId61" Type="http://schemas.openxmlformats.org/officeDocument/2006/relationships/hyperlink" Target="https://doi.org/10.5465/amj.2010.0697" TargetMode="External"/><Relationship Id="rId62" Type="http://schemas.openxmlformats.org/officeDocument/2006/relationships/hyperlink" Target="https://doi.org/10.1080/00401706.1994.10485840" TargetMode="External"/><Relationship Id="rId63" Type="http://schemas.openxmlformats.org/officeDocument/2006/relationships/hyperlink" Target="https://doi.org/10.1525/cmr.2011.54.1.64" TargetMode="External"/><Relationship Id="rId64" Type="http://schemas.openxmlformats.org/officeDocument/2006/relationships/hyperlink" Target="https://doi.org/10.2307/2095101" TargetMode="External"/><Relationship Id="rId65" Type="http://schemas.openxmlformats.org/officeDocument/2006/relationships/hyperlink" Target="https://doi.org/10.2307/2490910" TargetMode="External"/><Relationship Id="rId66" Type="http://schemas.openxmlformats.org/officeDocument/2006/relationships/hyperlink" Target="https://doi.org/10.1080/01621459.1973.10481350" TargetMode="External"/><Relationship Id="rId67" Type="http://schemas.openxmlformats.org/officeDocument/2006/relationships/hyperlink" Target="https://doi.org/10.3386/w31222" TargetMode="External"/><Relationship Id="rId68" Type="http://schemas.openxmlformats.org/officeDocument/2006/relationships/hyperlink" Target="https://doi.org/10.1007/s13162-025-00323-y" TargetMode="External"/><Relationship Id="rId69" Type="http://schemas.openxmlformats.org/officeDocument/2006/relationships/hyperlink" Target="https://doi.org/10.1007/s10796-021-10186-w" TargetMode="External"/><Relationship Id="rId70" Type="http://schemas.openxmlformats.org/officeDocument/2006/relationships/hyperlink" Target="https://www.factset.com" TargetMode="External"/><Relationship Id="rId71" Type="http://schemas.openxmlformats.org/officeDocument/2006/relationships/hyperlink" Target="https://doi.org/10.2307/2491400" TargetMode="External"/><Relationship Id="rId72" Type="http://schemas.openxmlformats.org/officeDocument/2006/relationships/hyperlink" Target="https://doi.org/10.1214/aos/1013203451" TargetMode="External"/><Relationship Id="rId73" Type="http://schemas.openxmlformats.org/officeDocument/2006/relationships/hyperlink" Target="https://doi.org/10.1007/s10551-019-04326-1" TargetMode="External"/><Relationship Id="rId74" Type="http://schemas.openxmlformats.org/officeDocument/2006/relationships/hyperlink" Target="https://doi.org/10.1511/2014.111.460" TargetMode="External"/><Relationship Id="rId75" Type="http://schemas.openxmlformats.org/officeDocument/2006/relationships/hyperlink" Target="https://doi.org/10.1257/jel.20181020" TargetMode="External"/><Relationship Id="rId76" Type="http://schemas.openxmlformats.org/officeDocument/2006/relationships/hyperlink" Target="https://doi.org/10.1016/j.csda.2006.11.025" TargetMode="External"/><Relationship Id="rId77" Type="http://schemas.openxmlformats.org/officeDocument/2006/relationships/hyperlink" Target="https://doi.org/10.2308/accr-50684" TargetMode="External"/><Relationship Id="rId78" Type="http://schemas.openxmlformats.org/officeDocument/2006/relationships/hyperlink" Target="https://doi.org/10.1007/s11142-025-09916-1" TargetMode="External"/><Relationship Id="rId79" Type="http://schemas.openxmlformats.org/officeDocument/2006/relationships/hyperlink" Target="https://doi.org/10.1016/j.jfineco.2004.11.003" TargetMode="External"/><Relationship Id="rId80" Type="http://schemas.openxmlformats.org/officeDocument/2006/relationships/hyperlink" Target="https://doi.org/10.2307/2491047" TargetMode="External"/><Relationship Id="rId81" Type="http://schemas.openxmlformats.org/officeDocument/2006/relationships/hyperlink" Target="https://doi.org/10.1016/j.jfineco.2010.07.007" TargetMode="External"/><Relationship Id="rId82" Type="http://schemas.openxmlformats.org/officeDocument/2006/relationships/hyperlink" Target="https://huggingface.co/datasets/kurry/sp500_earnings_transcripts" TargetMode="External"/><Relationship Id="rId83" Type="http://schemas.openxmlformats.org/officeDocument/2006/relationships/hyperlink" Target="https://doi.org/10.1016/j.jacceco.2008.02.003" TargetMode="External"/><Relationship Id="rId84" Type="http://schemas.openxmlformats.org/officeDocument/2006/relationships/hyperlink" Target="https://doi.org/10.1111/j.1540-6261.2010.01625.x" TargetMode="External"/><Relationship Id="rId85" Type="http://schemas.openxmlformats.org/officeDocument/2006/relationships/hyperlink" Target="https://doi.org/10.1177/1086026615575332" TargetMode="External"/><Relationship Id="rId86" Type="http://schemas.openxmlformats.org/officeDocument/2006/relationships/hyperlink" Target="https://doi.org/10.1287/orsc.2015.1039" TargetMode="External"/><Relationship Id="rId87" Type="http://schemas.openxmlformats.org/officeDocument/2006/relationships/hyperlink" Target="https://doi.org/10.2308/accr-10034" TargetMode="External"/><Relationship Id="rId88" Type="http://schemas.openxmlformats.org/officeDocument/2006/relationships/hyperlink" Target="https://doi.org/10.1086/226550" TargetMode="External"/><Relationship Id="rId89" Type="http://schemas.openxmlformats.org/officeDocument/2006/relationships/hyperlink" Target="https://doi.org/10.1145/3287560.3287596" TargetMode="External"/><Relationship Id="rId90" Type="http://schemas.openxmlformats.org/officeDocument/2006/relationships/hyperlink" Target="https://doi.org/10.6028/NIST.AI.100-1" TargetMode="External"/><Relationship Id="rId91" Type="http://schemas.openxmlformats.org/officeDocument/2006/relationships/hyperlink" Target="https://huggingface.co/datasets/mrbungie/ai-disclosure-analysis" TargetMode="External"/><Relationship Id="rId92" Type="http://schemas.openxmlformats.org/officeDocument/2006/relationships/hyperlink" Target="https://huggingface.co/mrbungie/ai-disclosure-analysis" TargetMode="External"/><Relationship Id="rId93" Type="http://schemas.openxmlformats.org/officeDocument/2006/relationships/hyperlink" Target="https://github.com/mrbungie/ai_disclosure_analysis" TargetMode="External"/><Relationship Id="rId94" Type="http://schemas.openxmlformats.org/officeDocument/2006/relationships/hyperlink" Target="https://doi.org/10.2308/accr-10137" TargetMode="External"/><Relationship Id="rId95" Type="http://schemas.openxmlformats.org/officeDocument/2006/relationships/hyperlink" Target="https://doi.org/10.1007/s10551-022-05054-9" TargetMode="External"/><Relationship Id="rId96" Type="http://schemas.openxmlformats.org/officeDocument/2006/relationships/hyperlink" Target="https://doi.org/10.56227/25.1.20" TargetMode="External"/><Relationship Id="rId97" Type="http://schemas.openxmlformats.org/officeDocument/2006/relationships/hyperlink" Target="https://doi.org/10.1016/j.frl.2026.109684" TargetMode="External"/><Relationship Id="rId98" Type="http://schemas.openxmlformats.org/officeDocument/2006/relationships/hyperlink" Target="https://doi.org/10.2307/1882010" TargetMode="External"/><Relationship Id="rId99" Type="http://schemas.openxmlformats.org/officeDocument/2006/relationships/hyperlink" Target="https://doi.org/10.5465/amr.1995.9508080331" TargetMode="External"/><Relationship Id="rId100" Type="http://schemas.openxmlformats.org/officeDocument/2006/relationships/hyperlink" Target="https://doi.org/10.1016/0165-4101(83)90011-3" TargetMode="External"/><Relationship Id="rId101" Type="http://schemas.openxmlformats.org/officeDocument/2006/relationships/hyperlink" Target="https://doi.org/10.2307/239329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epic\Local%20Settings\Temporary%20Internet%20Files\OLK7E7E\Paper%20MIB%20con%20indice%20senza%20copertina.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b539923-acac-4a68-813d-22805dc086c8" xsi:nil="true"/>
    <lcf76f155ced4ddcb4097134ff3c332f xmlns="688f75fd-8c97-41b8-885e-8aea2f6a00ca">
      <Terms xmlns="http://schemas.microsoft.com/office/infopath/2007/PartnerControls"/>
    </lcf76f155ced4ddcb4097134ff3c332f>
  </documentManagement>
</p:properties>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EB496C08DAE1E4792BCB520C527A294" ma:contentTypeVersion="18" ma:contentTypeDescription="Create a new document." ma:contentTypeScope="" ma:versionID="f58bb6df52ce31facc6af1ae7599759a">
  <xsd:schema xmlns:xsd="http://www.w3.org/2001/XMLSchema" xmlns:xs="http://www.w3.org/2001/XMLSchema" xmlns:p="http://schemas.microsoft.com/office/2006/metadata/properties" xmlns:ns2="688f75fd-8c97-41b8-885e-8aea2f6a00ca" xmlns:ns3="eb539923-acac-4a68-813d-22805dc086c8" targetNamespace="http://schemas.microsoft.com/office/2006/metadata/properties" ma:root="true" ma:fieldsID="f75cb6630f7e0a71166280b4fb5f68cf" ns2:_="" ns3:_="">
    <xsd:import namespace="688f75fd-8c97-41b8-885e-8aea2f6a00ca"/>
    <xsd:import namespace="eb539923-acac-4a68-813d-22805dc086c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f75fd-8c97-41b8-885e-8aea2f6a00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4fe53e2-9071-4131-b204-139631561ac6"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539923-acac-4a68-813d-22805dc086c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c9673a8e-2d2a-48ea-a90c-98e5f973b5a9}" ma:internalName="TaxCatchAll" ma:showField="CatchAllData" ma:web="eb539923-acac-4a68-813d-22805dc086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E3C1EB-CBB7-4F60-8CFA-417199EE669D}">
  <ds:schemaRefs>
    <ds:schemaRef ds:uri="http://schemas.microsoft.com/office/2006/metadata/properties"/>
    <ds:schemaRef ds:uri="http://schemas.microsoft.com/office/infopath/2007/PartnerControls"/>
    <ds:schemaRef ds:uri="eb539923-acac-4a68-813d-22805dc086c8"/>
    <ds:schemaRef ds:uri="688f75fd-8c97-41b8-885e-8aea2f6a00ca"/>
  </ds:schemaRefs>
</ds:datastoreItem>
</file>

<file path=customXml/itemProps2.xml><?xml version="1.0" encoding="utf-8"?>
<ds:datastoreItem xmlns:ds="http://schemas.openxmlformats.org/officeDocument/2006/customXml" ds:itemID="{1D62ADE8-C734-4452-9470-0E8B4CA3F6A9}">
  <ds:schemaRefs>
    <ds:schemaRef ds:uri="http://schemas.microsoft.com/office/2006/metadata/longProperties"/>
  </ds:schemaRefs>
</ds:datastoreItem>
</file>

<file path=customXml/itemProps3.xml><?xml version="1.0" encoding="utf-8"?>
<ds:datastoreItem xmlns:ds="http://schemas.openxmlformats.org/officeDocument/2006/customXml" ds:itemID="{78ADCAA9-3277-4515-BBD5-3E9385DB0470}">
  <ds:schemaRefs>
    <ds:schemaRef ds:uri="http://schemas.microsoft.com/sharepoint/v3/contenttype/forms"/>
  </ds:schemaRefs>
</ds:datastoreItem>
</file>

<file path=customXml/itemProps4.xml><?xml version="1.0" encoding="utf-8"?>
<ds:datastoreItem xmlns:ds="http://schemas.openxmlformats.org/officeDocument/2006/customXml" ds:itemID="{57A465C2-CB92-4BE1-9FF3-8C0D07A603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f75fd-8c97-41b8-885e-8aea2f6a00ca"/>
    <ds:schemaRef ds:uri="eb539923-acac-4a68-813d-22805dc086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23F5D7D-106B-470D-A3EB-DB83EBC2F6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Settings\sepic\Local Settings\Temporary Internet Files\OLK7E7E\Paper MIB con indice senza copertina.dot</Template>
  <TotalTime>6</TotalTime>
  <Pages>1</Pages>
  <Words>26</Words>
  <Characters>173</Characters>
  <Application>Microsoft Office Word</Application>
  <DocSecurity>0</DocSecurity>
  <Lines>2</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Germán Oviedo</dc:creator>
  <cp:keywords/>
  <dc:description/>
  <cp:lastModifiedBy>OVIEDO BERENGUELA GERMAN F</cp:lastModifiedBy>
  <cp:revision>11</cp:revision>
  <cp:lastPrinted>2003-06-21T11:24:00Z</cp:lastPrinted>
  <dcterms:created xsi:type="dcterms:W3CDTF">2022-06-29T13:14:00Z</dcterms:created>
  <dcterms:modified xsi:type="dcterms:W3CDTF">2026-09-18T10:31:00Z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cturer">
    <vt:lpwstr>261;#Staff MBA </vt:lpwstr>
  </property>
  <property fmtid="{D5CDD505-2E9C-101B-9397-08002B2CF9AE}" pid="3" name="ContentType">
    <vt:lpwstr>Document</vt:lpwstr>
  </property>
  <property fmtid="{D5CDD505-2E9C-101B-9397-08002B2CF9AE}" pid="4" name="Description0">
    <vt:lpwstr>Final Thesis - TEMPLATE</vt:lpwstr>
  </property>
  <property fmtid="{D5CDD505-2E9C-101B-9397-08002B2CF9AE}" pid="5" name="Date">
    <vt:lpwstr>2012-05-25T00:00:00Z</vt:lpwstr>
  </property>
  <property fmtid="{D5CDD505-2E9C-101B-9397-08002B2CF9AE}" pid="6" name="Subject Area">
    <vt:lpwstr>26</vt:lpwstr>
  </property>
  <property fmtid="{D5CDD505-2E9C-101B-9397-08002B2CF9AE}" pid="7" name="ContentTypeId">
    <vt:lpwstr>0x0101009EB496C08DAE1E4792BCB520C527A294</vt:lpwstr>
  </property>
</Properties>
</file>