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BC37C" w14:textId="77777777" w:rsidR="00367980" w:rsidRPr="00F7607B" w:rsidRDefault="00367980" w:rsidP="0023510C">
      <w:pPr>
        <w:spacing w:after="0" w:line="240" w:lineRule="auto"/>
        <w:rPr>
          <w:rFonts w:ascii="Arial Nova Light" w:hAnsi="Arial Nova Light"/>
          <w:b/>
          <w:sz w:val="24"/>
          <w:szCs w:val="24"/>
        </w:rPr>
      </w:pPr>
      <w:r w:rsidRPr="00F7607B">
        <w:rPr>
          <w:rFonts w:ascii="Arial Nova Light" w:hAnsi="Arial Nova Light"/>
          <w:b/>
          <w:sz w:val="24"/>
          <w:szCs w:val="24"/>
        </w:rPr>
        <w:t>Force of-Infection model</w:t>
      </w:r>
    </w:p>
    <w:p w14:paraId="4BDFBE9E" w14:textId="77777777" w:rsidR="00367980" w:rsidRPr="0023510C" w:rsidRDefault="00367980" w:rsidP="00DB1292">
      <w:pPr>
        <w:spacing w:after="0" w:line="240" w:lineRule="auto"/>
        <w:jc w:val="both"/>
        <w:rPr>
          <w:rFonts w:ascii="Arial Nova Light" w:hAnsi="Arial Nova Light"/>
          <w:sz w:val="24"/>
          <w:szCs w:val="24"/>
        </w:rPr>
      </w:pPr>
    </w:p>
    <w:p w14:paraId="2C7F2102" w14:textId="38281732" w:rsidR="0023510C" w:rsidRDefault="001F6F41" w:rsidP="00DB1292">
      <w:pPr>
        <w:spacing w:after="0" w:line="240" w:lineRule="auto"/>
        <w:jc w:val="both"/>
        <w:rPr>
          <w:rFonts w:ascii="Arial Nova Light" w:hAnsi="Arial Nova Light"/>
          <w:sz w:val="24"/>
          <w:szCs w:val="24"/>
        </w:rPr>
      </w:pPr>
      <w:r w:rsidRPr="0023510C">
        <w:rPr>
          <w:rFonts w:ascii="Arial Nova Light" w:hAnsi="Arial Nova Light"/>
          <w:sz w:val="24"/>
          <w:szCs w:val="24"/>
        </w:rPr>
        <w:t xml:space="preserve">We used catalytic model to test weather or not the incidence per -susceptible population </w:t>
      </w:r>
      <w:r w:rsidR="0023510C">
        <w:rPr>
          <w:rFonts w:ascii="Arial Nova Light" w:hAnsi="Arial Nova Light"/>
          <w:sz w:val="24"/>
          <w:szCs w:val="24"/>
        </w:rPr>
        <w:t xml:space="preserve">has </w:t>
      </w:r>
      <w:r w:rsidRPr="0023510C">
        <w:rPr>
          <w:rFonts w:ascii="Arial Nova Light" w:hAnsi="Arial Nova Light"/>
          <w:sz w:val="24"/>
          <w:szCs w:val="24"/>
        </w:rPr>
        <w:t>remained constant over time</w:t>
      </w:r>
      <w:r w:rsidR="0023510C">
        <w:rPr>
          <w:rFonts w:ascii="Arial Nova Light" w:hAnsi="Arial Nova Light"/>
          <w:sz w:val="24"/>
          <w:szCs w:val="24"/>
        </w:rPr>
        <w:t xml:space="preserve"> or has recently been introduced. </w:t>
      </w:r>
    </w:p>
    <w:p w14:paraId="4B8A910E" w14:textId="77777777" w:rsidR="0023510C" w:rsidRDefault="0023510C" w:rsidP="00DB1292">
      <w:pPr>
        <w:spacing w:after="0" w:line="240" w:lineRule="auto"/>
        <w:jc w:val="both"/>
        <w:rPr>
          <w:rFonts w:ascii="Arial Nova Light" w:hAnsi="Arial Nova Light"/>
          <w:sz w:val="24"/>
          <w:szCs w:val="24"/>
        </w:rPr>
      </w:pPr>
    </w:p>
    <w:p w14:paraId="0B7366AE" w14:textId="1318165E" w:rsidR="0023510C" w:rsidRDefault="0023510C" w:rsidP="00DB1292">
      <w:pPr>
        <w:spacing w:after="0" w:line="240" w:lineRule="auto"/>
        <w:jc w:val="both"/>
        <w:rPr>
          <w:rFonts w:ascii="Arial Nova Light" w:hAnsi="Arial Nova Light"/>
          <w:sz w:val="24"/>
          <w:szCs w:val="24"/>
        </w:rPr>
      </w:pPr>
      <w:r w:rsidRPr="004F46B4">
        <w:rPr>
          <w:rFonts w:ascii="Arial Nova Light" w:hAnsi="Arial Nova Light"/>
          <w:sz w:val="24"/>
          <w:szCs w:val="24"/>
        </w:rPr>
        <w:t>For a constant FOI</w:t>
      </w:r>
      <w:r w:rsidR="00F7607B">
        <w:rPr>
          <w:rFonts w:ascii="Arial Nova Light" w:hAnsi="Arial Nova Light"/>
          <w:sz w:val="24"/>
          <w:szCs w:val="24"/>
        </w:rPr>
        <w:t xml:space="preserve"> (</w:t>
      </w:r>
      <m:oMath>
        <m:r>
          <w:rPr>
            <w:rFonts w:ascii="Cambria Math" w:hAnsi="Cambria Math"/>
            <w:sz w:val="24"/>
            <w:szCs w:val="24"/>
          </w:rPr>
          <m:t>λ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4F46B4">
        <w:rPr>
          <w:rFonts w:ascii="Arial Nova Light" w:hAnsi="Arial Nova Light"/>
          <w:sz w:val="24"/>
          <w:szCs w:val="24"/>
        </w:rPr>
        <w:t xml:space="preserve">, we can express the </w:t>
      </w:r>
      <w:r>
        <w:rPr>
          <w:rFonts w:ascii="Arial Nova Light" w:hAnsi="Arial Nova Light"/>
          <w:sz w:val="24"/>
          <w:szCs w:val="24"/>
        </w:rPr>
        <w:t>sero</w:t>
      </w:r>
      <w:r w:rsidRPr="004F46B4">
        <w:rPr>
          <w:rFonts w:ascii="Arial Nova Light" w:hAnsi="Arial Nova Light"/>
          <w:sz w:val="24"/>
          <w:szCs w:val="24"/>
        </w:rPr>
        <w:t>prevalence as</w:t>
      </w:r>
      <w:r w:rsidR="00F7607B">
        <w:rPr>
          <w:rFonts w:ascii="Arial Nova Light" w:hAnsi="Arial Nova Light"/>
          <w:sz w:val="24"/>
          <w:szCs w:val="24"/>
        </w:rPr>
        <w:t xml:space="preserve"> for age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F7607B">
        <w:rPr>
          <w:rFonts w:ascii="Arial Nova Light" w:eastAsiaTheme="minorEastAsia" w:hAnsi="Arial Nova Light"/>
          <w:sz w:val="24"/>
          <w:szCs w:val="24"/>
        </w:rPr>
        <w:t xml:space="preserve"> in the year of the serosurveys (</w:t>
      </w:r>
      <w:r w:rsidR="00F7607B" w:rsidRPr="00F7607B">
        <w:rPr>
          <w:rFonts w:ascii="Arial Nova Light" w:eastAsiaTheme="minorEastAsia" w:hAnsi="Arial Nova Light"/>
          <w:sz w:val="24"/>
          <w:szCs w:val="24"/>
        </w:rPr>
        <w:t>τ</w:t>
      </w:r>
      <w:r w:rsidR="00F7607B">
        <w:rPr>
          <w:rFonts w:ascii="Arial Nova Light" w:eastAsiaTheme="minorEastAsia" w:hAnsi="Arial Nova Light"/>
          <w:sz w:val="24"/>
          <w:szCs w:val="24"/>
        </w:rPr>
        <w:t>) as</w:t>
      </w:r>
      <w:r w:rsidRPr="004F46B4">
        <w:rPr>
          <w:rFonts w:ascii="Arial Nova Light" w:hAnsi="Arial Nova Light"/>
          <w:sz w:val="24"/>
          <w:szCs w:val="24"/>
        </w:rPr>
        <w:t>:</w:t>
      </w:r>
    </w:p>
    <w:p w14:paraId="66035E7A" w14:textId="79C9CD34" w:rsidR="0023510C" w:rsidRPr="0023510C" w:rsidRDefault="0023510C" w:rsidP="00DB1292">
      <w:pPr>
        <w:spacing w:after="0" w:line="240" w:lineRule="auto"/>
        <w:jc w:val="both"/>
        <w:rPr>
          <w:rFonts w:ascii="Arial Nova Light" w:eastAsiaTheme="minorEastAsia" w:hAnsi="Arial Nova Light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P(a,τ)= 1-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exp</m:t>
          </m:r>
          <m:r>
            <w:rPr>
              <w:rFonts w:ascii="Cambria Math" w:hAnsi="Cambria Math"/>
              <w:sz w:val="24"/>
              <w:szCs w:val="24"/>
            </w:rPr>
            <m:t>⁡(-λa)</m:t>
          </m:r>
        </m:oMath>
      </m:oMathPara>
    </w:p>
    <w:p w14:paraId="4DD22A3E" w14:textId="77777777" w:rsidR="0023510C" w:rsidRPr="004F46B4" w:rsidRDefault="0023510C" w:rsidP="00DB1292">
      <w:pPr>
        <w:spacing w:after="0" w:line="240" w:lineRule="auto"/>
        <w:jc w:val="both"/>
        <w:rPr>
          <w:rFonts w:ascii="Arial Nova Light" w:hAnsi="Arial Nova Light"/>
          <w:sz w:val="24"/>
          <w:szCs w:val="24"/>
        </w:rPr>
      </w:pPr>
    </w:p>
    <w:p w14:paraId="5FC8097B" w14:textId="2471E00B" w:rsidR="0023510C" w:rsidRPr="0023510C" w:rsidRDefault="0023510C" w:rsidP="00DB1292">
      <w:pPr>
        <w:spacing w:after="0" w:line="240" w:lineRule="auto"/>
        <w:jc w:val="both"/>
        <w:rPr>
          <w:rFonts w:ascii="Arial Nova Light" w:hAnsi="Arial Nova Light"/>
          <w:sz w:val="24"/>
          <w:szCs w:val="24"/>
        </w:rPr>
      </w:pPr>
      <w:r w:rsidRPr="0023510C">
        <w:rPr>
          <w:rFonts w:ascii="Arial Nova Light" w:hAnsi="Arial Nova Light"/>
          <w:sz w:val="24"/>
          <w:szCs w:val="24"/>
        </w:rPr>
        <w:t>For a s</w:t>
      </w:r>
      <w:r w:rsidRPr="0023510C">
        <w:rPr>
          <w:rFonts w:ascii="Arial Nova Light" w:hAnsi="Arial Nova Light"/>
          <w:sz w:val="24"/>
          <w:szCs w:val="24"/>
        </w:rPr>
        <w:t xml:space="preserve">tepwise non-constant </w:t>
      </w:r>
      <w:r>
        <w:rPr>
          <w:rFonts w:ascii="Arial Nova Light" w:hAnsi="Arial Nova Light"/>
          <w:sz w:val="24"/>
          <w:szCs w:val="24"/>
        </w:rPr>
        <w:t>FOI</w:t>
      </w:r>
      <w:r w:rsidRPr="0023510C">
        <w:rPr>
          <w:rFonts w:ascii="Arial Nova Light" w:hAnsi="Arial Nova Light"/>
          <w:sz w:val="24"/>
          <w:szCs w:val="24"/>
        </w:rPr>
        <w:t xml:space="preserve">, we can express the </w:t>
      </w:r>
      <w:r>
        <w:rPr>
          <w:rFonts w:ascii="Arial Nova Light" w:hAnsi="Arial Nova Light"/>
          <w:sz w:val="24"/>
          <w:szCs w:val="24"/>
        </w:rPr>
        <w:t>sero</w:t>
      </w:r>
      <w:r w:rsidRPr="0023510C">
        <w:rPr>
          <w:rFonts w:ascii="Arial Nova Light" w:hAnsi="Arial Nova Light"/>
          <w:sz w:val="24"/>
          <w:szCs w:val="24"/>
        </w:rPr>
        <w:t xml:space="preserve">prevalence </w:t>
      </w:r>
      <w:r w:rsidR="00F7607B" w:rsidRPr="00F7607B">
        <w:rPr>
          <w:rFonts w:ascii="Arial Nova Light" w:hAnsi="Arial Nova Light"/>
          <w:sz w:val="24"/>
          <w:szCs w:val="24"/>
        </w:rPr>
        <w:t xml:space="preserve">for age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="00F7607B" w:rsidRPr="00F7607B">
        <w:rPr>
          <w:rFonts w:ascii="Arial Nova Light" w:hAnsi="Arial Nova Light"/>
          <w:sz w:val="24"/>
          <w:szCs w:val="24"/>
        </w:rPr>
        <w:t xml:space="preserve"> in the year of the serosurveys (τ) as:</w:t>
      </w:r>
    </w:p>
    <w:p w14:paraId="02785FD7" w14:textId="4EFCBF1D" w:rsidR="0023510C" w:rsidRPr="0023510C" w:rsidRDefault="0023510C" w:rsidP="00DB1292">
      <w:pPr>
        <w:spacing w:after="0" w:line="240" w:lineRule="auto"/>
        <w:jc w:val="both"/>
        <w:rPr>
          <w:rFonts w:ascii="Arial Nova Light" w:hAnsi="Arial Nova Light"/>
          <w:b/>
          <w:sz w:val="24"/>
          <w:szCs w:val="24"/>
          <w:u w:val="single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P(a,τ)= </m:t>
          </m:r>
          <m:r>
            <w:rPr>
              <w:rFonts w:ascii="Cambria Math" w:hAnsi="Cambria Math"/>
              <w:sz w:val="24"/>
              <w:szCs w:val="24"/>
            </w:rPr>
            <m:t xml:space="preserve">1-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1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2 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-a</m:t>
                          </m:r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 xml:space="preserve">  </m:t>
          </m:r>
        </m:oMath>
      </m:oMathPara>
    </w:p>
    <w:p w14:paraId="2A5F92E6" w14:textId="311E455C" w:rsidR="0023510C" w:rsidRDefault="0023510C" w:rsidP="00DB1292">
      <w:pPr>
        <w:jc w:val="both"/>
      </w:pPr>
    </w:p>
    <w:p w14:paraId="26D10724" w14:textId="3498CEE6" w:rsidR="00F7607B" w:rsidRDefault="00F7607B" w:rsidP="00DB1292">
      <w:pPr>
        <w:spacing w:after="0" w:line="240" w:lineRule="auto"/>
        <w:jc w:val="both"/>
        <w:rPr>
          <w:rFonts w:ascii="Arial Nova Light" w:eastAsiaTheme="minorEastAsia" w:hAnsi="Arial Nova Light"/>
          <w:iCs/>
          <w:sz w:val="24"/>
          <w:szCs w:val="24"/>
        </w:rPr>
      </w:pPr>
      <w:r w:rsidRPr="004F46B4">
        <w:rPr>
          <w:rFonts w:ascii="Arial Nova Light" w:hAnsi="Arial Nova Light"/>
          <w:sz w:val="24"/>
          <w:szCs w:val="24"/>
        </w:rPr>
        <w:t>Where,</w:t>
      </w:r>
      <w:r>
        <w:rPr>
          <w:rFonts w:ascii="Arial Nova Light" w:hAnsi="Arial Nova Light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 </m:t>
        </m:r>
      </m:oMath>
      <w:r>
        <w:rPr>
          <w:rFonts w:ascii="Arial Nova Light" w:eastAsiaTheme="minorEastAsia" w:hAnsi="Arial Nova Light"/>
          <w:sz w:val="24"/>
          <w:szCs w:val="24"/>
        </w:rPr>
        <w:t>is the FOI experienced from the year of the serosurveys 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) </m:t>
        </m:r>
      </m:oMath>
      <w:r>
        <w:rPr>
          <w:rFonts w:ascii="Arial Nova Light" w:eastAsiaTheme="minorEastAsia" w:hAnsi="Arial Nova Light"/>
          <w:sz w:val="24"/>
          <w:szCs w:val="24"/>
        </w:rPr>
        <w:t xml:space="preserve">until </w:t>
      </w:r>
      <w:r w:rsidR="00142D03">
        <w:rPr>
          <w:rFonts w:ascii="Arial Nova Light" w:eastAsiaTheme="minorEastAsia" w:hAnsi="Arial Nova Light"/>
          <w:sz w:val="24"/>
          <w:szCs w:val="24"/>
        </w:rPr>
        <w:t xml:space="preserve">the year of </w:t>
      </w:r>
      <w:r w:rsidR="004C4CA1">
        <w:rPr>
          <w:rFonts w:ascii="Arial Nova Light" w:eastAsiaTheme="minorEastAsia" w:hAnsi="Arial Nova Light"/>
          <w:sz w:val="24"/>
          <w:szCs w:val="24"/>
        </w:rPr>
        <w:t>in</w:t>
      </w:r>
      <w:r w:rsidR="00142D03">
        <w:rPr>
          <w:rFonts w:ascii="Arial Nova Light" w:eastAsiaTheme="minorEastAsia" w:hAnsi="Arial Nova Light"/>
          <w:sz w:val="24"/>
          <w:szCs w:val="24"/>
        </w:rPr>
        <w:t xml:space="preserve">troduction of the virus </w:t>
      </w:r>
      <w:r>
        <w:rPr>
          <w:rFonts w:ascii="Arial Nova Light" w:eastAsiaTheme="minorEastAsia" w:hAnsi="Arial Nova Light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4C4CA1">
        <w:rPr>
          <w:rFonts w:ascii="Arial Nova Light" w:eastAsiaTheme="minorEastAsia" w:hAnsi="Arial Nova Light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2 </m:t>
            </m:r>
          </m:sub>
        </m:sSub>
      </m:oMath>
      <w:r w:rsidR="004C4CA1">
        <w:rPr>
          <w:rFonts w:ascii="Arial Nova Light" w:eastAsiaTheme="minorEastAsia" w:hAnsi="Arial Nova Light"/>
          <w:sz w:val="24"/>
          <w:szCs w:val="24"/>
        </w:rPr>
        <w:t xml:space="preserve">represents the FOI experienced from that point until the year of birth </w:t>
      </w:r>
      <m:oMath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-a</m:t>
            </m:r>
          </m:e>
        </m:d>
      </m:oMath>
      <w:r w:rsidR="004C4CA1">
        <w:rPr>
          <w:rFonts w:ascii="Arial Nova Light" w:eastAsiaTheme="minorEastAsia" w:hAnsi="Arial Nova Light"/>
          <w:iCs/>
          <w:sz w:val="24"/>
          <w:szCs w:val="24"/>
        </w:rPr>
        <w:t>.</w:t>
      </w:r>
    </w:p>
    <w:p w14:paraId="04EBBE51" w14:textId="187D11A9" w:rsidR="004C4CA1" w:rsidRDefault="004C4CA1" w:rsidP="00DB1292">
      <w:pPr>
        <w:spacing w:after="0" w:line="240" w:lineRule="auto"/>
        <w:jc w:val="both"/>
        <w:rPr>
          <w:rFonts w:ascii="Arial Nova Light" w:eastAsiaTheme="minorEastAsia" w:hAnsi="Arial Nova Light"/>
          <w:iCs/>
          <w:sz w:val="24"/>
          <w:szCs w:val="24"/>
        </w:rPr>
      </w:pPr>
    </w:p>
    <w:p w14:paraId="111B416F" w14:textId="15BC869F" w:rsidR="00FB6644" w:rsidRDefault="0011772B">
      <w:pPr>
        <w:rPr>
          <w:rFonts w:ascii="Arial Nova Light" w:eastAsiaTheme="minorEastAsia" w:hAnsi="Arial Nova Light"/>
          <w:iCs/>
          <w:sz w:val="24"/>
          <w:szCs w:val="24"/>
        </w:rPr>
      </w:pPr>
      <w:r>
        <w:rPr>
          <w:rFonts w:ascii="Arial Nova Light" w:eastAsiaTheme="minorEastAsia" w:hAnsi="Arial Nova Light"/>
          <w:iCs/>
          <w:sz w:val="24"/>
          <w:szCs w:val="24"/>
        </w:rPr>
        <w:t xml:space="preserve">Models were fitted to </w:t>
      </w:r>
      <w:proofErr w:type="spellStart"/>
      <w:r>
        <w:rPr>
          <w:rFonts w:ascii="Arial Nova Light" w:eastAsiaTheme="minorEastAsia" w:hAnsi="Arial Nova Light"/>
          <w:iCs/>
          <w:sz w:val="24"/>
          <w:szCs w:val="24"/>
        </w:rPr>
        <w:t>sero</w:t>
      </w:r>
      <w:proofErr w:type="spellEnd"/>
      <w:r>
        <w:rPr>
          <w:rFonts w:ascii="Arial Nova Light" w:eastAsiaTheme="minorEastAsia" w:hAnsi="Arial Nova Light"/>
          <w:iCs/>
          <w:sz w:val="24"/>
          <w:szCs w:val="24"/>
        </w:rPr>
        <w:t>-prevalence data for the three viruses (UNA, MAAV and VEEE) using MCMC and metropolis hasting algorithm, with 50,000 iterations. Best model was chosen according to lowest Deviance Criterion (DIC).</w:t>
      </w:r>
      <w:r w:rsidR="00FB6644">
        <w:rPr>
          <w:rFonts w:ascii="Arial Nova Light" w:eastAsiaTheme="minorEastAsia" w:hAnsi="Arial Nova Light"/>
          <w:iCs/>
          <w:sz w:val="24"/>
          <w:szCs w:val="24"/>
        </w:rPr>
        <w:br w:type="page"/>
      </w:r>
    </w:p>
    <w:p w14:paraId="172F75EF" w14:textId="77777777" w:rsidR="00C01F9C" w:rsidRDefault="00C01F9C" w:rsidP="00DB1292">
      <w:pPr>
        <w:spacing w:after="0" w:line="240" w:lineRule="auto"/>
        <w:jc w:val="both"/>
        <w:rPr>
          <w:rFonts w:ascii="Arial Nova Light" w:eastAsiaTheme="minorEastAsia" w:hAnsi="Arial Nova Light"/>
          <w:iCs/>
          <w:sz w:val="24"/>
          <w:szCs w:val="24"/>
        </w:rPr>
      </w:pPr>
    </w:p>
    <w:p w14:paraId="5FA5C82C" w14:textId="1FBE2C6A" w:rsidR="00C01F9C" w:rsidRPr="00761753" w:rsidRDefault="00C01F9C" w:rsidP="00DB1292">
      <w:pPr>
        <w:spacing w:after="0" w:line="240" w:lineRule="auto"/>
        <w:jc w:val="both"/>
        <w:rPr>
          <w:rFonts w:ascii="Arial Nova Light" w:eastAsiaTheme="minorEastAsia" w:hAnsi="Arial Nova Light"/>
          <w:b/>
          <w:iCs/>
          <w:sz w:val="24"/>
          <w:szCs w:val="24"/>
        </w:rPr>
      </w:pPr>
      <w:r w:rsidRPr="00761753">
        <w:rPr>
          <w:rFonts w:ascii="Arial Nova Light" w:eastAsiaTheme="minorEastAsia" w:hAnsi="Arial Nova Light"/>
          <w:b/>
          <w:iCs/>
          <w:sz w:val="24"/>
          <w:szCs w:val="24"/>
        </w:rPr>
        <w:t>Results</w:t>
      </w:r>
    </w:p>
    <w:p w14:paraId="5DBAAE01" w14:textId="5DB251D9" w:rsidR="00C01F9C" w:rsidRDefault="00C01F9C" w:rsidP="00DB1292">
      <w:pPr>
        <w:spacing w:after="0" w:line="240" w:lineRule="auto"/>
        <w:jc w:val="both"/>
        <w:rPr>
          <w:rFonts w:ascii="Arial Nova Light" w:eastAsiaTheme="minorEastAsia" w:hAnsi="Arial Nova Light"/>
          <w:iCs/>
          <w:sz w:val="24"/>
          <w:szCs w:val="24"/>
        </w:rPr>
      </w:pPr>
    </w:p>
    <w:p w14:paraId="1CFAEAD8" w14:textId="77777777" w:rsidR="00C01F9C" w:rsidRDefault="00C01F9C" w:rsidP="00DB1292">
      <w:pPr>
        <w:spacing w:after="0" w:line="240" w:lineRule="auto"/>
        <w:jc w:val="both"/>
        <w:rPr>
          <w:rFonts w:ascii="Arial Nova Light" w:eastAsiaTheme="minorEastAsia" w:hAnsi="Arial Nova Light"/>
          <w:iCs/>
          <w:sz w:val="24"/>
          <w:szCs w:val="24"/>
        </w:rPr>
      </w:pPr>
    </w:p>
    <w:p w14:paraId="4D1DE9AC" w14:textId="62E68B92" w:rsidR="004C4CA1" w:rsidRDefault="006B2FD2" w:rsidP="00DB1292">
      <w:pPr>
        <w:spacing w:after="0" w:line="240" w:lineRule="auto"/>
        <w:jc w:val="both"/>
        <w:rPr>
          <w:rFonts w:ascii="Arial Nova Light" w:eastAsiaTheme="minorEastAsia" w:hAnsi="Arial Nova Light"/>
          <w:iCs/>
          <w:sz w:val="24"/>
          <w:szCs w:val="24"/>
        </w:rPr>
      </w:pPr>
      <w:r>
        <w:rPr>
          <w:rFonts w:ascii="Arial Nova Light" w:eastAsiaTheme="minorEastAsia" w:hAnsi="Arial Nova Light"/>
          <w:iCs/>
          <w:noProof/>
          <w:sz w:val="24"/>
          <w:szCs w:val="24"/>
        </w:rPr>
        <w:drawing>
          <wp:inline distT="0" distB="0" distL="0" distR="0" wp14:anchorId="724BBF4D" wp14:editId="07BB7791">
            <wp:extent cx="5648443" cy="386969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296" cy="3871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1883A6" w14:textId="6B6391D6" w:rsidR="00C81E2A" w:rsidRDefault="00C81E2A" w:rsidP="00DB1292">
      <w:pPr>
        <w:spacing w:after="0" w:line="240" w:lineRule="auto"/>
        <w:jc w:val="both"/>
        <w:rPr>
          <w:rFonts w:ascii="Arial Nova Light" w:eastAsiaTheme="minorEastAsia" w:hAnsi="Arial Nova Light"/>
          <w:iCs/>
          <w:sz w:val="24"/>
          <w:szCs w:val="24"/>
        </w:rPr>
      </w:pPr>
      <w:r w:rsidRPr="00C81E2A">
        <w:rPr>
          <w:rFonts w:ascii="Arial Nova Light" w:eastAsiaTheme="minorEastAsia" w:hAnsi="Arial Nova Light"/>
          <w:iCs/>
          <w:sz w:val="24"/>
          <w:szCs w:val="24"/>
        </w:rPr>
        <w:t>Figure 1. Pink shaded areas represent the model 1 (Constant Force-of-Infection), green shaded areas represent model 2 (stepwise non- constant FOI).</w:t>
      </w:r>
      <w:r>
        <w:rPr>
          <w:rFonts w:ascii="Arial Nova Light" w:eastAsiaTheme="minorEastAsia" w:hAnsi="Arial Nova Light"/>
          <w:iCs/>
          <w:sz w:val="24"/>
          <w:szCs w:val="24"/>
        </w:rPr>
        <w:t xml:space="preserve"> </w:t>
      </w:r>
      <w:r w:rsidR="00322085">
        <w:rPr>
          <w:rFonts w:ascii="Arial Nova Light" w:eastAsiaTheme="minorEastAsia" w:hAnsi="Arial Nova Light"/>
          <w:iCs/>
          <w:sz w:val="24"/>
          <w:szCs w:val="24"/>
        </w:rPr>
        <w:t xml:space="preserve"> A, B and C correspond to the estimated Force-of-Infection and C, D, E to the fitted </w:t>
      </w:r>
      <w:proofErr w:type="spellStart"/>
      <w:r w:rsidR="00322085">
        <w:rPr>
          <w:rFonts w:ascii="Arial Nova Light" w:eastAsiaTheme="minorEastAsia" w:hAnsi="Arial Nova Light"/>
          <w:iCs/>
          <w:sz w:val="24"/>
          <w:szCs w:val="24"/>
        </w:rPr>
        <w:t>sero</w:t>
      </w:r>
      <w:proofErr w:type="spellEnd"/>
      <w:r w:rsidR="00322085">
        <w:rPr>
          <w:rFonts w:ascii="Arial Nova Light" w:eastAsiaTheme="minorEastAsia" w:hAnsi="Arial Nova Light"/>
          <w:iCs/>
          <w:sz w:val="24"/>
          <w:szCs w:val="24"/>
        </w:rPr>
        <w:t xml:space="preserve">-prevalence models. Black dots and error bars represent the observed data. </w:t>
      </w:r>
    </w:p>
    <w:p w14:paraId="2E39BD9E" w14:textId="4381A599" w:rsidR="00761753" w:rsidRDefault="00761753" w:rsidP="005A7023">
      <w:pPr>
        <w:spacing w:after="0" w:line="240" w:lineRule="auto"/>
        <w:jc w:val="center"/>
        <w:rPr>
          <w:rFonts w:ascii="Arial Nova Light" w:eastAsiaTheme="minorEastAsia" w:hAnsi="Arial Nova Light"/>
          <w:iCs/>
          <w:sz w:val="24"/>
          <w:szCs w:val="24"/>
        </w:rPr>
      </w:pPr>
      <w:bookmarkStart w:id="0" w:name="_GoBack"/>
      <w:bookmarkEnd w:id="0"/>
    </w:p>
    <w:p w14:paraId="2E37E95C" w14:textId="4B440946" w:rsidR="00C81E2A" w:rsidRDefault="00C81E2A">
      <w:pPr>
        <w:rPr>
          <w:rFonts w:ascii="Arial Nova Light" w:eastAsiaTheme="minorEastAsia" w:hAnsi="Arial Nova Light"/>
          <w:iCs/>
          <w:sz w:val="24"/>
          <w:szCs w:val="24"/>
        </w:rPr>
      </w:pPr>
    </w:p>
    <w:p w14:paraId="0C249215" w14:textId="344C8419" w:rsidR="006C68F2" w:rsidRDefault="006C68F2">
      <w:pPr>
        <w:rPr>
          <w:rFonts w:ascii="Arial Nova Light" w:eastAsiaTheme="minorEastAsia" w:hAnsi="Arial Nova Light"/>
          <w:iCs/>
          <w:sz w:val="24"/>
          <w:szCs w:val="24"/>
        </w:rPr>
      </w:pPr>
      <w:r>
        <w:rPr>
          <w:rFonts w:ascii="Arial Nova Light" w:eastAsiaTheme="minorEastAsia" w:hAnsi="Arial Nova Light"/>
          <w:iCs/>
          <w:sz w:val="24"/>
          <w:szCs w:val="24"/>
        </w:rPr>
        <w:t xml:space="preserve">Table 1. Deviance Information Criterion </w:t>
      </w:r>
    </w:p>
    <w:tbl>
      <w:tblPr>
        <w:tblStyle w:val="TableGrid"/>
        <w:tblW w:w="9707" w:type="dxa"/>
        <w:tblLook w:val="04A0" w:firstRow="1" w:lastRow="0" w:firstColumn="1" w:lastColumn="0" w:noHBand="0" w:noVBand="1"/>
      </w:tblPr>
      <w:tblGrid>
        <w:gridCol w:w="2945"/>
        <w:gridCol w:w="2254"/>
        <w:gridCol w:w="2254"/>
        <w:gridCol w:w="2254"/>
      </w:tblGrid>
      <w:tr w:rsidR="006C68F2" w14:paraId="3779A235" w14:textId="77777777" w:rsidTr="006C68F2">
        <w:tc>
          <w:tcPr>
            <w:tcW w:w="2945" w:type="dxa"/>
          </w:tcPr>
          <w:p w14:paraId="58F647BB" w14:textId="399FD4B0" w:rsidR="006C68F2" w:rsidRDefault="006C68F2" w:rsidP="006C68F2">
            <w:pPr>
              <w:rPr>
                <w:rFonts w:ascii="Arial Nova Light" w:eastAsiaTheme="minorEastAsia" w:hAnsi="Arial Nova Light"/>
                <w:iCs/>
                <w:sz w:val="24"/>
                <w:szCs w:val="24"/>
              </w:rPr>
            </w:pPr>
            <w:r>
              <w:rPr>
                <w:rFonts w:ascii="Arial Nova Light" w:eastAsiaTheme="minorEastAsia" w:hAnsi="Arial Nova Light"/>
                <w:iCs/>
                <w:sz w:val="24"/>
                <w:szCs w:val="24"/>
              </w:rPr>
              <w:t>model</w:t>
            </w:r>
          </w:p>
        </w:tc>
        <w:tc>
          <w:tcPr>
            <w:tcW w:w="2254" w:type="dxa"/>
          </w:tcPr>
          <w:p w14:paraId="7B2ABCD4" w14:textId="767C22D8" w:rsidR="006C68F2" w:rsidRDefault="006C68F2" w:rsidP="006C68F2">
            <w:pPr>
              <w:rPr>
                <w:rFonts w:ascii="Arial Nova Light" w:eastAsiaTheme="minorEastAsia" w:hAnsi="Arial Nova Light"/>
                <w:iCs/>
                <w:sz w:val="24"/>
                <w:szCs w:val="24"/>
              </w:rPr>
            </w:pPr>
            <w:r>
              <w:rPr>
                <w:rFonts w:ascii="Arial Nova Light" w:eastAsiaTheme="minorEastAsia" w:hAnsi="Arial Nova Light"/>
                <w:iCs/>
                <w:sz w:val="24"/>
                <w:szCs w:val="24"/>
              </w:rPr>
              <w:t>UNA</w:t>
            </w:r>
          </w:p>
        </w:tc>
        <w:tc>
          <w:tcPr>
            <w:tcW w:w="2254" w:type="dxa"/>
          </w:tcPr>
          <w:p w14:paraId="319B006F" w14:textId="6D7D4985" w:rsidR="006C68F2" w:rsidRDefault="006C68F2" w:rsidP="006C68F2">
            <w:pPr>
              <w:rPr>
                <w:rFonts w:ascii="Arial Nova Light" w:eastAsiaTheme="minorEastAsia" w:hAnsi="Arial Nova Light"/>
                <w:iCs/>
                <w:sz w:val="24"/>
                <w:szCs w:val="24"/>
              </w:rPr>
            </w:pPr>
            <w:r>
              <w:rPr>
                <w:rFonts w:ascii="Arial Nova Light" w:eastAsiaTheme="minorEastAsia" w:hAnsi="Arial Nova Light"/>
                <w:iCs/>
                <w:sz w:val="24"/>
                <w:szCs w:val="24"/>
              </w:rPr>
              <w:t>MADV</w:t>
            </w:r>
          </w:p>
        </w:tc>
        <w:tc>
          <w:tcPr>
            <w:tcW w:w="2254" w:type="dxa"/>
          </w:tcPr>
          <w:p w14:paraId="226C8010" w14:textId="23A955C8" w:rsidR="006C68F2" w:rsidRDefault="006C68F2" w:rsidP="006C68F2">
            <w:pPr>
              <w:rPr>
                <w:rFonts w:ascii="Arial Nova Light" w:eastAsiaTheme="minorEastAsia" w:hAnsi="Arial Nova Light"/>
                <w:iCs/>
                <w:sz w:val="24"/>
                <w:szCs w:val="24"/>
              </w:rPr>
            </w:pPr>
            <w:r>
              <w:rPr>
                <w:rFonts w:ascii="Arial Nova Light" w:eastAsiaTheme="minorEastAsia" w:hAnsi="Arial Nova Light"/>
                <w:iCs/>
                <w:sz w:val="24"/>
                <w:szCs w:val="24"/>
              </w:rPr>
              <w:t>VEEN</w:t>
            </w:r>
          </w:p>
        </w:tc>
      </w:tr>
      <w:tr w:rsidR="0090793A" w14:paraId="27565061" w14:textId="77777777" w:rsidTr="006C68F2">
        <w:tc>
          <w:tcPr>
            <w:tcW w:w="2945" w:type="dxa"/>
          </w:tcPr>
          <w:p w14:paraId="50508E2A" w14:textId="46EF1C4B" w:rsidR="0090793A" w:rsidRPr="006C68F2" w:rsidRDefault="006B2FD2" w:rsidP="0090793A">
            <w:pPr>
              <w:pStyle w:val="ListParagraph"/>
              <w:numPr>
                <w:ilvl w:val="0"/>
                <w:numId w:val="1"/>
              </w:numPr>
              <w:rPr>
                <w:rFonts w:ascii="Arial Nova Light" w:eastAsiaTheme="minorEastAsia" w:hAnsi="Arial Nova Light"/>
                <w:iCs/>
                <w:sz w:val="24"/>
                <w:szCs w:val="24"/>
              </w:rPr>
            </w:pPr>
            <w:r w:rsidRPr="006C68F2">
              <w:rPr>
                <w:rFonts w:ascii="Arial Nova Light" w:eastAsiaTheme="minorEastAsia" w:hAnsi="Arial Nova Light"/>
                <w:iCs/>
                <w:sz w:val="24"/>
                <w:szCs w:val="24"/>
              </w:rPr>
              <w:t>Constant</w:t>
            </w:r>
            <w:r w:rsidR="0090793A" w:rsidRPr="006C68F2">
              <w:rPr>
                <w:rFonts w:ascii="Arial Nova Light" w:eastAsiaTheme="minorEastAsia" w:hAnsi="Arial Nova Light"/>
                <w:iCs/>
                <w:sz w:val="24"/>
                <w:szCs w:val="24"/>
              </w:rPr>
              <w:t xml:space="preserve"> FOI</w:t>
            </w:r>
          </w:p>
        </w:tc>
        <w:tc>
          <w:tcPr>
            <w:tcW w:w="2254" w:type="dxa"/>
          </w:tcPr>
          <w:p w14:paraId="3D6AC2F7" w14:textId="767710B4" w:rsidR="0090793A" w:rsidRPr="006B2FD2" w:rsidRDefault="006B2FD2" w:rsidP="0090793A">
            <w:pPr>
              <w:rPr>
                <w:rFonts w:ascii="Arial Nova Light" w:eastAsiaTheme="minorEastAsia" w:hAnsi="Arial Nova Light"/>
                <w:b/>
                <w:iCs/>
                <w:sz w:val="24"/>
                <w:szCs w:val="24"/>
              </w:rPr>
            </w:pPr>
            <w:r w:rsidRPr="006B2FD2">
              <w:rPr>
                <w:rFonts w:ascii="Arial Nova Light" w:eastAsiaTheme="minorEastAsia" w:hAnsi="Arial Nova Light"/>
                <w:b/>
                <w:iCs/>
                <w:sz w:val="24"/>
                <w:szCs w:val="24"/>
              </w:rPr>
              <w:t>21.56</w:t>
            </w:r>
          </w:p>
        </w:tc>
        <w:tc>
          <w:tcPr>
            <w:tcW w:w="2254" w:type="dxa"/>
          </w:tcPr>
          <w:p w14:paraId="43C6522D" w14:textId="4A307DA0" w:rsidR="0090793A" w:rsidRDefault="0090793A" w:rsidP="0090793A">
            <w:pPr>
              <w:rPr>
                <w:rFonts w:ascii="Arial Nova Light" w:eastAsiaTheme="minorEastAsia" w:hAnsi="Arial Nova Light"/>
                <w:iCs/>
                <w:sz w:val="24"/>
                <w:szCs w:val="24"/>
              </w:rPr>
            </w:pPr>
            <w:r w:rsidRPr="0090793A">
              <w:rPr>
                <w:rFonts w:ascii="Arial Nova Light" w:eastAsiaTheme="minorEastAsia" w:hAnsi="Arial Nova Light"/>
                <w:iCs/>
                <w:sz w:val="24"/>
                <w:szCs w:val="24"/>
              </w:rPr>
              <w:t>30.23</w:t>
            </w:r>
          </w:p>
        </w:tc>
        <w:tc>
          <w:tcPr>
            <w:tcW w:w="2254" w:type="dxa"/>
          </w:tcPr>
          <w:p w14:paraId="2A4B5706" w14:textId="2C82AC82" w:rsidR="0090793A" w:rsidRDefault="006B2FD2" w:rsidP="0090793A">
            <w:pPr>
              <w:rPr>
                <w:rFonts w:ascii="Arial Nova Light" w:eastAsiaTheme="minorEastAsia" w:hAnsi="Arial Nova Light"/>
                <w:iCs/>
                <w:sz w:val="24"/>
                <w:szCs w:val="24"/>
              </w:rPr>
            </w:pPr>
            <w:r w:rsidRPr="006B2FD2">
              <w:rPr>
                <w:rFonts w:ascii="Arial Nova Light" w:eastAsiaTheme="minorEastAsia" w:hAnsi="Arial Nova Light"/>
                <w:iCs/>
                <w:sz w:val="24"/>
                <w:szCs w:val="24"/>
              </w:rPr>
              <w:t>35.85</w:t>
            </w:r>
          </w:p>
        </w:tc>
      </w:tr>
      <w:tr w:rsidR="0090793A" w14:paraId="2CD2C7FF" w14:textId="77777777" w:rsidTr="006C68F2">
        <w:tc>
          <w:tcPr>
            <w:tcW w:w="2945" w:type="dxa"/>
          </w:tcPr>
          <w:p w14:paraId="355672DA" w14:textId="7C67D9A1" w:rsidR="0090793A" w:rsidRPr="006C68F2" w:rsidRDefault="0090793A" w:rsidP="0090793A">
            <w:pPr>
              <w:pStyle w:val="ListParagraph"/>
              <w:numPr>
                <w:ilvl w:val="0"/>
                <w:numId w:val="1"/>
              </w:numPr>
              <w:rPr>
                <w:rFonts w:ascii="Arial Nova Light" w:eastAsiaTheme="minorEastAsia" w:hAnsi="Arial Nova Light"/>
                <w:iCs/>
                <w:sz w:val="24"/>
                <w:szCs w:val="24"/>
              </w:rPr>
            </w:pPr>
            <w:r w:rsidRPr="006C68F2">
              <w:rPr>
                <w:rFonts w:ascii="Arial Nova Light" w:eastAsiaTheme="minorEastAsia" w:hAnsi="Arial Nova Light"/>
                <w:iCs/>
                <w:sz w:val="24"/>
                <w:szCs w:val="24"/>
              </w:rPr>
              <w:t>Non-Constant FOI</w:t>
            </w:r>
          </w:p>
        </w:tc>
        <w:tc>
          <w:tcPr>
            <w:tcW w:w="2254" w:type="dxa"/>
          </w:tcPr>
          <w:p w14:paraId="5080F853" w14:textId="53067DE2" w:rsidR="0090793A" w:rsidRPr="006B2FD2" w:rsidRDefault="006B2FD2" w:rsidP="0090793A">
            <w:pPr>
              <w:rPr>
                <w:rFonts w:ascii="Arial Nova Light" w:eastAsiaTheme="minorEastAsia" w:hAnsi="Arial Nova Light"/>
                <w:iCs/>
                <w:sz w:val="24"/>
                <w:szCs w:val="24"/>
              </w:rPr>
            </w:pPr>
            <w:r w:rsidRPr="006B2FD2">
              <w:rPr>
                <w:rFonts w:ascii="Arial Nova Light" w:eastAsiaTheme="minorEastAsia" w:hAnsi="Arial Nova Light"/>
                <w:iCs/>
                <w:sz w:val="24"/>
                <w:szCs w:val="24"/>
              </w:rPr>
              <w:t>23.15</w:t>
            </w:r>
          </w:p>
        </w:tc>
        <w:tc>
          <w:tcPr>
            <w:tcW w:w="2254" w:type="dxa"/>
          </w:tcPr>
          <w:p w14:paraId="7EC36DE7" w14:textId="4150364C" w:rsidR="0090793A" w:rsidRPr="006B2FD2" w:rsidRDefault="0090793A" w:rsidP="0090793A">
            <w:pPr>
              <w:rPr>
                <w:rFonts w:ascii="Arial Nova Light" w:eastAsiaTheme="minorEastAsia" w:hAnsi="Arial Nova Light"/>
                <w:b/>
                <w:iCs/>
                <w:sz w:val="24"/>
                <w:szCs w:val="24"/>
              </w:rPr>
            </w:pPr>
            <w:r w:rsidRPr="006B2FD2">
              <w:rPr>
                <w:rFonts w:ascii="Arial Nova Light" w:eastAsiaTheme="minorEastAsia" w:hAnsi="Arial Nova Light"/>
                <w:b/>
                <w:iCs/>
                <w:sz w:val="24"/>
                <w:szCs w:val="24"/>
              </w:rPr>
              <w:t>26.49</w:t>
            </w:r>
          </w:p>
        </w:tc>
        <w:tc>
          <w:tcPr>
            <w:tcW w:w="2254" w:type="dxa"/>
          </w:tcPr>
          <w:p w14:paraId="2A5C2A62" w14:textId="6A4F5B9F" w:rsidR="0090793A" w:rsidRPr="006B2FD2" w:rsidRDefault="006B2FD2" w:rsidP="0090793A">
            <w:pPr>
              <w:rPr>
                <w:rFonts w:ascii="Arial Nova Light" w:eastAsiaTheme="minorEastAsia" w:hAnsi="Arial Nova Light"/>
                <w:b/>
                <w:iCs/>
                <w:sz w:val="24"/>
                <w:szCs w:val="24"/>
              </w:rPr>
            </w:pPr>
            <w:r w:rsidRPr="006B2FD2">
              <w:rPr>
                <w:rFonts w:ascii="Arial Nova Light" w:eastAsiaTheme="minorEastAsia" w:hAnsi="Arial Nova Light"/>
                <w:b/>
                <w:iCs/>
                <w:sz w:val="24"/>
                <w:szCs w:val="24"/>
              </w:rPr>
              <w:t>28.54</w:t>
            </w:r>
          </w:p>
        </w:tc>
      </w:tr>
    </w:tbl>
    <w:p w14:paraId="6E65B28E" w14:textId="4E7FEB1E" w:rsidR="006B2FD2" w:rsidRDefault="006B2FD2" w:rsidP="006B2FD2">
      <w:pPr>
        <w:spacing w:after="0" w:line="240" w:lineRule="auto"/>
        <w:rPr>
          <w:rFonts w:ascii="Arial Nova Light" w:eastAsiaTheme="minorEastAsia" w:hAnsi="Arial Nova Light"/>
          <w:iCs/>
          <w:sz w:val="24"/>
          <w:szCs w:val="24"/>
        </w:rPr>
      </w:pPr>
    </w:p>
    <w:p w14:paraId="1C6BCFB8" w14:textId="6F0C75F2" w:rsidR="006B2FD2" w:rsidRDefault="006B2FD2" w:rsidP="006B2FD2">
      <w:pPr>
        <w:spacing w:after="0" w:line="240" w:lineRule="auto"/>
        <w:rPr>
          <w:rFonts w:ascii="Arial Nova Light" w:eastAsiaTheme="minorEastAsia" w:hAnsi="Arial Nova Light"/>
          <w:iCs/>
          <w:sz w:val="24"/>
          <w:szCs w:val="24"/>
        </w:rPr>
      </w:pPr>
    </w:p>
    <w:p w14:paraId="4C15B648" w14:textId="21743C37" w:rsidR="006B2FD2" w:rsidRPr="006B2FD2" w:rsidRDefault="006B2FD2" w:rsidP="006B2FD2">
      <w:pPr>
        <w:spacing w:after="0" w:line="240" w:lineRule="auto"/>
        <w:rPr>
          <w:rFonts w:ascii="Arial Nova Light" w:eastAsiaTheme="minorEastAsia" w:hAnsi="Arial Nova Light"/>
          <w:b/>
          <w:iCs/>
          <w:sz w:val="24"/>
          <w:szCs w:val="24"/>
        </w:rPr>
      </w:pPr>
      <w:r w:rsidRPr="006B2FD2">
        <w:rPr>
          <w:rFonts w:ascii="Arial Nova Light" w:eastAsiaTheme="minorEastAsia" w:hAnsi="Arial Nova Light"/>
          <w:b/>
          <w:iCs/>
          <w:sz w:val="24"/>
          <w:szCs w:val="24"/>
        </w:rPr>
        <w:t>Conclusions</w:t>
      </w:r>
    </w:p>
    <w:p w14:paraId="4EF547FE" w14:textId="0336D4EA" w:rsidR="006B2FD2" w:rsidRDefault="006B2FD2" w:rsidP="006B2FD2">
      <w:pPr>
        <w:spacing w:after="0" w:line="240" w:lineRule="auto"/>
        <w:rPr>
          <w:rFonts w:ascii="Arial Nova Light" w:eastAsiaTheme="minorEastAsia" w:hAnsi="Arial Nova Light"/>
          <w:iCs/>
          <w:sz w:val="24"/>
          <w:szCs w:val="24"/>
        </w:rPr>
      </w:pPr>
    </w:p>
    <w:p w14:paraId="6992BAB2" w14:textId="191B9FEA" w:rsidR="006B2FD2" w:rsidRDefault="006B2FD2" w:rsidP="006B2FD2">
      <w:pPr>
        <w:spacing w:after="0" w:line="240" w:lineRule="auto"/>
        <w:rPr>
          <w:rFonts w:ascii="Arial Nova Light" w:eastAsiaTheme="minorEastAsia" w:hAnsi="Arial Nova Light"/>
          <w:iCs/>
          <w:sz w:val="24"/>
          <w:szCs w:val="24"/>
        </w:rPr>
      </w:pPr>
      <w:r>
        <w:rPr>
          <w:rFonts w:ascii="Arial Nova Light" w:eastAsiaTheme="minorEastAsia" w:hAnsi="Arial Nova Light"/>
          <w:iCs/>
          <w:sz w:val="24"/>
          <w:szCs w:val="24"/>
        </w:rPr>
        <w:t xml:space="preserve">For all three virus there is no evidence of a single epidemic. In the three cases, the predicted exposure period goes back decades, suggesting some degree of endemicity. For both MADV, VEEN the non-constant FOI model predicts an increase in the FOI in the last decade, probably corresponding to an outbreak. </w:t>
      </w:r>
    </w:p>
    <w:sectPr w:rsidR="006B2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8949A2"/>
    <w:multiLevelType w:val="hybridMultilevel"/>
    <w:tmpl w:val="77FA11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80"/>
    <w:rsid w:val="0011772B"/>
    <w:rsid w:val="00142D03"/>
    <w:rsid w:val="001F6F41"/>
    <w:rsid w:val="0023510C"/>
    <w:rsid w:val="002C4AEB"/>
    <w:rsid w:val="00322085"/>
    <w:rsid w:val="00367980"/>
    <w:rsid w:val="004C4CA1"/>
    <w:rsid w:val="005A7023"/>
    <w:rsid w:val="006B2FD2"/>
    <w:rsid w:val="006C68F2"/>
    <w:rsid w:val="00761753"/>
    <w:rsid w:val="007816E7"/>
    <w:rsid w:val="0090793A"/>
    <w:rsid w:val="00957252"/>
    <w:rsid w:val="00A60159"/>
    <w:rsid w:val="00BE6F7F"/>
    <w:rsid w:val="00C01F9C"/>
    <w:rsid w:val="00C81E2A"/>
    <w:rsid w:val="00D1508F"/>
    <w:rsid w:val="00D15C82"/>
    <w:rsid w:val="00DA67B0"/>
    <w:rsid w:val="00DB1292"/>
    <w:rsid w:val="00F7607B"/>
    <w:rsid w:val="00FB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3433"/>
  <w15:chartTrackingRefBased/>
  <w15:docId w15:val="{E9A3A5F1-A023-416F-B235-C6CAE2BA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6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7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Zulma Cucunuba</dc:creator>
  <cp:keywords/>
  <dc:description/>
  <cp:lastModifiedBy>Zulma Cucunuba</cp:lastModifiedBy>
  <cp:revision>14</cp:revision>
  <dcterms:created xsi:type="dcterms:W3CDTF">2018-12-17T14:58:00Z</dcterms:created>
  <dcterms:modified xsi:type="dcterms:W3CDTF">2018-12-17T20:16:00Z</dcterms:modified>
</cp:coreProperties>
</file>