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1BF3766D" w14:textId="0779693F" w:rsidR="00C15C95" w:rsidRDefault="009D0109" w:rsidP="00BF71C8">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http://sxwjw.shaanxi.gov.cn/art/2020/2/29/art_9_68432.html</w:t>
        </w:r>
      </w:hyperlink>
    </w:p>
    <w:p w14:paraId="556E48CA" w14:textId="77777777" w:rsidR="009D0109" w:rsidRDefault="009D0109" w:rsidP="00BF71C8">
      <w:pPr>
        <w:pStyle w:val="Heading1"/>
        <w:wordWrap w:val="0"/>
        <w:spacing w:before="375" w:beforeAutospacing="0" w:after="0" w:afterAutospacing="0" w:line="870" w:lineRule="atLeast"/>
        <w:jc w:val="center"/>
        <w:textAlignment w:val="top"/>
      </w:pP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2C5FD5" w14:paraId="4CB63C2C" w14:textId="77777777" w:rsidTr="002C5FD5">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2E8202E8" w14:textId="77777777" w:rsidR="002C5FD5" w:rsidRDefault="002C5FD5" w:rsidP="002C5FD5">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A total of 207 cases of no new new pneumonia in Shaanxi were cured and discharged</w:t>
                  </w:r>
                </w:p>
              </w:tc>
            </w:tr>
            <w:tr w:rsidR="002C5FD5" w:rsidRPr="002C5FD5" w14:paraId="7819D9BB" w14:textId="77777777" w:rsidTr="002C5FD5">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2C5FD5" w:rsidRPr="002C5FD5" w14:paraId="71ACEC5E"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62F3F2D" w14:textId="77777777" w:rsidR="002C5FD5" w:rsidRDefault="002C5FD5" w:rsidP="002C5FD5">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5D9756FF" w14:textId="77777777" w:rsidR="002C5FD5" w:rsidRDefault="002C5FD5" w:rsidP="002C5FD5">
                        <w:pPr>
                          <w:jc w:val="center"/>
                          <w:rPr>
                            <w:color w:val="000000"/>
                            <w:sz w:val="23"/>
                            <w:szCs w:val="23"/>
                          </w:rPr>
                        </w:pPr>
                        <w:r>
                          <w:rPr>
                            <w:color w:val="000000"/>
                            <w:sz w:val="23"/>
                            <w:szCs w:val="23"/>
                            <w:bdr w:val="none" w:sz="0" w:space="0" w:color="auto" w:frame="1"/>
                          </w:rPr>
                          <w:t>Release time: 2020-03-01 08:26</w:t>
                        </w:r>
                      </w:p>
                    </w:tc>
                    <w:tc>
                      <w:tcPr>
                        <w:tcW w:w="0" w:type="auto"/>
                        <w:tcBorders>
                          <w:top w:val="nil"/>
                          <w:left w:val="nil"/>
                          <w:bottom w:val="nil"/>
                          <w:right w:val="nil"/>
                        </w:tcBorders>
                        <w:shd w:val="clear" w:color="auto" w:fill="auto"/>
                        <w:vAlign w:val="center"/>
                        <w:hideMark/>
                      </w:tcPr>
                      <w:p w14:paraId="11F15094" w14:textId="77777777" w:rsidR="002C5FD5" w:rsidRPr="002C5FD5" w:rsidRDefault="002C5FD5" w:rsidP="002C5FD5">
                        <w:pPr>
                          <w:jc w:val="center"/>
                          <w:rPr>
                            <w:color w:val="000000"/>
                            <w:sz w:val="23"/>
                            <w:szCs w:val="23"/>
                            <w:lang w:val="fr-FR"/>
                          </w:rPr>
                        </w:pPr>
                        <w:r w:rsidRPr="002C5FD5">
                          <w:rPr>
                            <w:color w:val="000000"/>
                            <w:sz w:val="23"/>
                            <w:szCs w:val="23"/>
                            <w:bdr w:val="none" w:sz="0" w:space="0" w:color="auto" w:frame="1"/>
                            <w:lang w:val="fr-FR"/>
                          </w:rPr>
                          <w:t xml:space="preserve">Font: </w:t>
                        </w:r>
                        <w:r>
                          <w:rPr>
                            <w:rFonts w:ascii="SimSun" w:eastAsia="SimSun" w:hAnsi="SimSun" w:cs="SimSun" w:hint="eastAsia"/>
                            <w:color w:val="000000"/>
                            <w:sz w:val="23"/>
                            <w:szCs w:val="23"/>
                            <w:bdr w:val="none" w:sz="0" w:space="0" w:color="auto" w:frame="1"/>
                          </w:rPr>
                          <w:t>【</w:t>
                        </w:r>
                        <w:hyperlink r:id="rId7" w:history="1">
                          <w:r w:rsidRPr="002C5FD5">
                            <w:rPr>
                              <w:rStyle w:val="Hyperlink"/>
                              <w:color w:val="333333"/>
                              <w:sz w:val="23"/>
                              <w:szCs w:val="23"/>
                              <w:bdr w:val="none" w:sz="0" w:space="0" w:color="auto" w:frame="1"/>
                              <w:lang w:val="fr-FR"/>
                            </w:rPr>
                            <w:t>Tai </w:t>
                          </w:r>
                        </w:hyperlink>
                        <w:hyperlink r:id="rId8" w:history="1">
                          <w:r w:rsidRPr="002C5FD5">
                            <w:rPr>
                              <w:rStyle w:val="Hyperlink"/>
                              <w:color w:val="333333"/>
                              <w:sz w:val="23"/>
                              <w:szCs w:val="23"/>
                              <w:bdr w:val="none" w:sz="0" w:space="0" w:color="auto" w:frame="1"/>
                              <w:lang w:val="fr-FR"/>
                            </w:rPr>
                            <w:t>Zhong </w:t>
                          </w:r>
                        </w:hyperlink>
                        <w:hyperlink r:id="rId9" w:history="1">
                          <w:r w:rsidRPr="002C5FD5">
                            <w:rPr>
                              <w:rStyle w:val="Hyperlink"/>
                              <w:color w:val="333333"/>
                              <w:sz w:val="23"/>
                              <w:szCs w:val="23"/>
                              <w:bdr w:val="none" w:sz="0" w:space="0" w:color="auto" w:frame="1"/>
                              <w:lang w:val="fr-FR"/>
                            </w:rPr>
                            <w:t>small</w:t>
                          </w:r>
                        </w:hyperlink>
                        <w:r w:rsidRPr="002C5FD5">
                          <w:rPr>
                            <w:color w:val="000000"/>
                            <w:sz w:val="23"/>
                            <w:szCs w:val="23"/>
                            <w:bdr w:val="none" w:sz="0" w:space="0" w:color="auto" w:frame="1"/>
                            <w:lang w:val="fr-FR"/>
                          </w:rPr>
                          <w:t> ]</w:t>
                        </w:r>
                      </w:p>
                    </w:tc>
                  </w:tr>
                </w:tbl>
                <w:p w14:paraId="11F4D19B" w14:textId="77777777" w:rsidR="002C5FD5" w:rsidRPr="002C5FD5" w:rsidRDefault="002C5FD5" w:rsidP="002C5FD5">
                  <w:pPr>
                    <w:rPr>
                      <w:rFonts w:ascii="Microsoft YaHei" w:eastAsia="Microsoft YaHei" w:hAnsi="Microsoft YaHei"/>
                      <w:color w:val="333333"/>
                      <w:sz w:val="23"/>
                      <w:szCs w:val="23"/>
                      <w:lang w:val="fr-FR"/>
                    </w:rPr>
                  </w:pPr>
                </w:p>
              </w:tc>
            </w:tr>
            <w:tr w:rsidR="002C5FD5" w14:paraId="51FD7478" w14:textId="77777777" w:rsidTr="002C5FD5">
              <w:trPr>
                <w:jc w:val="center"/>
              </w:trPr>
              <w:tc>
                <w:tcPr>
                  <w:tcW w:w="0" w:type="auto"/>
                  <w:tcBorders>
                    <w:top w:val="nil"/>
                    <w:left w:val="nil"/>
                    <w:bottom w:val="nil"/>
                    <w:right w:val="nil"/>
                  </w:tcBorders>
                  <w:shd w:val="clear" w:color="auto" w:fill="FFFFFF"/>
                  <w:vAlign w:val="center"/>
                  <w:hideMark/>
                </w:tcPr>
                <w:p w14:paraId="12C2E481" w14:textId="77777777" w:rsidR="002C5FD5" w:rsidRDefault="002C5FD5" w:rsidP="002C5FD5">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From 8:00 on February 29, 2020 to 8:00 on March 1, there were no new confirmed cases of new coronary pneumonia in Shaanxi, and 0 new suspected cases.</w:t>
                  </w:r>
                </w:p>
                <w:p w14:paraId="59C4EF38" w14:textId="77777777" w:rsidR="002C5FD5" w:rsidRDefault="002C5FD5" w:rsidP="002C5FD5">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As of 8:00 on March 1, Shaanxi has reported a total of 245 confirmed cases of new coronary pneumonia (207 cases were cured and discharged, 1 died), including 116 imported cases, 114 close contacts, and 15 cases with no history of clear contact. Among the cumulative confirmed cases, 120 cases were from Xi'an, 13 from Baoji, 17 from Xianyang, 8 from Tongchuan, 15 from Weinan, 8 from Yan'an, 3 from Yulin, 26 from Hanzhong, and 26 from Ankang. There were 7 cases in Shangluo city, 1 case in Yangling demonstration area, and 1 case in Hancheng.</w:t>
                  </w:r>
                </w:p>
                <w:p w14:paraId="731A26AF" w14:textId="77777777" w:rsidR="002C5FD5" w:rsidRDefault="002C5FD5" w:rsidP="002C5FD5">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There are 0 suspected cases in the province. There are 7 new close contacts in the province, with a total of 18933 people, all </w:t>
                  </w:r>
                  <w:r>
                    <w:rPr>
                      <w:rFonts w:ascii="SimSun" w:eastAsia="SimSun" w:hAnsi="SimSun" w:hint="eastAsia"/>
                      <w:color w:val="3D3D3D"/>
                      <w:sz w:val="23"/>
                      <w:szCs w:val="23"/>
                      <w:bdr w:val="none" w:sz="0" w:space="0" w:color="auto" w:frame="1"/>
                    </w:rPr>
                    <w:lastRenderedPageBreak/>
                    <w:t>concentrated in medical observation. 587 new close contacts were added, and 17,548 close contacts were released.</w:t>
                  </w:r>
                </w:p>
                <w:p w14:paraId="4D4B04A1" w14:textId="77777777" w:rsidR="002C5FD5" w:rsidRDefault="002C5FD5" w:rsidP="002C5FD5">
                  <w:pPr>
                    <w:pStyle w:val="NormalWeb"/>
                    <w:spacing w:before="0" w:beforeAutospacing="0" w:after="0" w:afterAutospacing="0" w:line="390" w:lineRule="atLeast"/>
                    <w:rPr>
                      <w:rFonts w:ascii="SimSun" w:eastAsia="SimSun" w:hAnsi="SimSun" w:hint="eastAsia"/>
                      <w:color w:val="3D3D3D"/>
                      <w:sz w:val="23"/>
                      <w:szCs w:val="23"/>
                    </w:rPr>
                  </w:pPr>
                </w:p>
              </w:tc>
            </w:tr>
          </w:tbl>
          <w:p w14:paraId="63DA3719" w14:textId="77777777" w:rsidR="009D0109" w:rsidRDefault="009D0109" w:rsidP="009D0109">
            <w:pPr>
              <w:spacing w:line="495" w:lineRule="atLeast"/>
              <w:jc w:val="center"/>
              <w:rPr>
                <w:rFonts w:ascii="Microsoft YaHei" w:eastAsia="Microsoft YaHei" w:hAnsi="Microsoft YaHei"/>
                <w:b/>
                <w:bCs/>
                <w:color w:val="333333"/>
                <w:sz w:val="36"/>
                <w:szCs w:val="36"/>
              </w:rPr>
            </w:pP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54AA08DD" w14:textId="77777777" w:rsidTr="002C5FD5">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76AFE325" w14:textId="77777777" w:rsidR="002C5FD5" w:rsidRDefault="002C5FD5" w:rsidP="002C5FD5">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陕西无新增新冠肺炎 累计207例治愈出院</w:t>
                  </w:r>
                </w:p>
              </w:tc>
            </w:tr>
            <w:tr w:rsidR="002C5FD5" w14:paraId="66D32D11" w14:textId="77777777" w:rsidTr="002C5FD5">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2C5FD5" w14:paraId="720F4E6F"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A22DB08" w14:textId="77777777" w:rsidR="002C5FD5" w:rsidRDefault="002C5FD5" w:rsidP="002C5FD5">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6398617" w14:textId="77777777" w:rsidR="002C5FD5" w:rsidRDefault="002C5FD5" w:rsidP="002C5FD5">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2020-03-01 08:26</w:t>
                        </w:r>
                      </w:p>
                    </w:tc>
                    <w:tc>
                      <w:tcPr>
                        <w:tcW w:w="0" w:type="auto"/>
                        <w:tcBorders>
                          <w:top w:val="nil"/>
                          <w:left w:val="nil"/>
                          <w:bottom w:val="nil"/>
                          <w:right w:val="nil"/>
                        </w:tcBorders>
                        <w:shd w:val="clear" w:color="auto" w:fill="auto"/>
                        <w:vAlign w:val="center"/>
                        <w:hideMark/>
                      </w:tcPr>
                      <w:p w14:paraId="27DA056F" w14:textId="77777777" w:rsidR="002C5FD5" w:rsidRDefault="002C5FD5" w:rsidP="002C5FD5">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2"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5040F3BB" w14:textId="77777777" w:rsidR="002C5FD5" w:rsidRDefault="002C5FD5" w:rsidP="002C5FD5">
                  <w:pPr>
                    <w:rPr>
                      <w:rFonts w:ascii="Microsoft YaHei" w:eastAsia="Microsoft YaHei" w:hAnsi="Microsoft YaHei"/>
                      <w:color w:val="333333"/>
                      <w:sz w:val="23"/>
                      <w:szCs w:val="23"/>
                    </w:rPr>
                  </w:pPr>
                </w:p>
              </w:tc>
            </w:tr>
            <w:tr w:rsidR="002C5FD5" w14:paraId="7FD74B57" w14:textId="77777777" w:rsidTr="002C5FD5">
              <w:trPr>
                <w:jc w:val="center"/>
              </w:trPr>
              <w:tc>
                <w:tcPr>
                  <w:tcW w:w="0" w:type="auto"/>
                  <w:tcBorders>
                    <w:top w:val="nil"/>
                    <w:left w:val="nil"/>
                    <w:bottom w:val="nil"/>
                    <w:right w:val="nil"/>
                  </w:tcBorders>
                  <w:shd w:val="clear" w:color="auto" w:fill="FFFFFF"/>
                  <w:vAlign w:val="center"/>
                  <w:hideMark/>
                </w:tcPr>
                <w:p w14:paraId="4E74C0BD" w14:textId="77777777" w:rsidR="002C5FD5" w:rsidRDefault="002C5FD5" w:rsidP="002C5FD5">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2020年2月29日8时至3月1日8时，陕西无新增新冠肺炎确诊病例，新增疑似病例0例。</w:t>
                  </w:r>
                </w:p>
                <w:p w14:paraId="7012EB26" w14:textId="77777777" w:rsidR="002C5FD5" w:rsidRDefault="002C5FD5" w:rsidP="002C5FD5">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3月1日8时，陕西累计报告新冠肺炎确诊病例245例（207例治愈出院，1例死亡），其中输入性病例116例，密切接触者114例，无明确接触史病例15例。累计确诊病例中，西安市120例、宝鸡市13例、咸阳市17例、铜川市8例、渭南市15例、延安市8例、榆林市3例、汉中市26例、安康市26例、商洛市7例、杨凌示范区1例，韩城市1例。</w:t>
                  </w:r>
                </w:p>
                <w:p w14:paraId="20D3FE80" w14:textId="77777777" w:rsidR="002C5FD5" w:rsidRDefault="002C5FD5" w:rsidP="002C5FD5">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全省现有疑似病例0例。全省新增密切接触者7人，累计18933人，均集中医学观察。新增解除密切接触者587人，累计解除密切接触者17548人。</w:t>
                  </w: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doZoom(16)" TargetMode="External"/><Relationship Id="rId12" Type="http://schemas.openxmlformats.org/officeDocument/2006/relationships/hyperlink" Target="javascript:doZoom(12)"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xwjw.shaanxi.gov.cn/art/2020/2/29/art_9_68432.html" TargetMode="External"/><Relationship Id="rId11" Type="http://schemas.openxmlformats.org/officeDocument/2006/relationships/hyperlink" Target="javascript:doZoom(14)" TargetMode="Externa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hyperlink" Target="javascript:doZoom(16)" TargetMode="External"/><Relationship Id="rId4" Type="http://schemas.openxmlformats.org/officeDocument/2006/relationships/footnotes" Target="footnotes.xml"/><Relationship Id="rId9" Type="http://schemas.openxmlformats.org/officeDocument/2006/relationships/hyperlink" Target="javascript:doZoom(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B452C26-ED35-4B07-8989-359E49E655C7}"/>
</file>

<file path=customXml/itemProps2.xml><?xml version="1.0" encoding="utf-8"?>
<ds:datastoreItem xmlns:ds="http://schemas.openxmlformats.org/officeDocument/2006/customXml" ds:itemID="{C9627668-5AF0-475F-9FD5-19C9B4EFF081}"/>
</file>

<file path=customXml/itemProps3.xml><?xml version="1.0" encoding="utf-8"?>
<ds:datastoreItem xmlns:ds="http://schemas.openxmlformats.org/officeDocument/2006/customXml" ds:itemID="{D8B95397-B568-4738-8100-1ACB95692CE2}"/>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2020-05-10T12:17:00Z</dcterms:created>
  <dcterms:modified xsi:type="dcterms:W3CDTF">2020-05-10T12:17:00Z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