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Quantifying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Linfa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sarbecoviruses: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factors influencing this. Limitations especially for containment and fast moving contexts – monoclonals and other broad-spectrum MCMs worth considering. Not considered here, but currently under development (point to Linfa’s work, Panoplia labs etc). </w:t>
      </w:r>
    </w:p>
    <w:p w14:paraId="2733450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tradeoff and the BPSV enabling more open societies for the same disease burden impact. </w:t>
      </w:r>
    </w:p>
    <w:p w14:paraId="3DD1182D" w14:textId="5F5A33E4" w:rsidR="002D2F07"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4EB4FDBF" w14:textId="6D536C02" w:rsidR="00BA128C" w:rsidRDefault="00BA128C"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Something about equity</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9B17A6"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10A4FD9"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44E8D2C" w14:textId="77777777" w:rsidR="00BA128C" w:rsidRDefault="00BA128C">
      <w:pPr>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br w:type="page"/>
      </w:r>
    </w:p>
    <w:p w14:paraId="0C90C73F" w14:textId="77777777" w:rsidR="00BA128C" w:rsidRDefault="00BA128C" w:rsidP="00BA128C">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4A828763" w14:textId="77777777" w:rsidR="00BA128C" w:rsidRDefault="00BA128C"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393CD9A6" w:rsidR="0095255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Whilst our work highlights utility of a stockpiled BPSV across scenarios spanning a diverse array of pathogen properties, BPSV characteristics and use-cases, it also highlights critical factors shaping the impact of the BPSV</w:t>
      </w:r>
      <w:r w:rsidR="00BA128C">
        <w:rPr>
          <w:rFonts w:ascii="Roboto" w:eastAsia="Times New Roman" w:hAnsi="Roboto" w:cs="Times New Roman"/>
          <w:color w:val="031D39"/>
          <w:spacing w:val="3"/>
          <w:kern w:val="0"/>
          <w:sz w:val="20"/>
          <w:szCs w:val="20"/>
          <w:lang w:eastAsia="en-GB"/>
          <w14:ligatures w14:val="none"/>
        </w:rPr>
        <w:t>.</w:t>
      </w:r>
      <w:r w:rsidR="00D70EA8">
        <w:rPr>
          <w:rFonts w:ascii="Roboto" w:eastAsia="Times New Roman" w:hAnsi="Roboto" w:cs="Times New Roman"/>
          <w:color w:val="031D39"/>
          <w:spacing w:val="3"/>
          <w:kern w:val="0"/>
          <w:sz w:val="20"/>
          <w:szCs w:val="20"/>
          <w:lang w:eastAsia="en-GB"/>
          <w14:ligatures w14:val="none"/>
        </w:rPr>
        <w:t xml:space="preserve"> </w:t>
      </w:r>
      <w:r w:rsidR="003B56F5">
        <w:rPr>
          <w:rFonts w:ascii="Roboto" w:eastAsia="Times New Roman" w:hAnsi="Roboto" w:cs="Times New Roman"/>
          <w:b/>
          <w:bCs/>
          <w:i/>
          <w:iCs/>
          <w:color w:val="031D39"/>
          <w:spacing w:val="3"/>
          <w:kern w:val="0"/>
          <w:sz w:val="20"/>
          <w:szCs w:val="20"/>
          <w:lang w:eastAsia="en-GB"/>
          <w14:ligatures w14:val="none"/>
        </w:rPr>
        <w:t>(impact depends on timely vaccination relative to widespread community transmission – that’s driven by two things; how soon you detect the pathogen; and how rapidly you can get jabs into arms).</w:t>
      </w:r>
      <w:r w:rsidR="003B56F5">
        <w:rPr>
          <w:rFonts w:ascii="Roboto" w:eastAsia="Times New Roman" w:hAnsi="Roboto" w:cs="Times New Roman"/>
          <w:b/>
          <w:bCs/>
          <w:i/>
          <w:iCs/>
          <w:color w:val="031D39"/>
          <w:spacing w:val="3"/>
          <w:kern w:val="0"/>
          <w:sz w:val="20"/>
          <w:szCs w:val="20"/>
          <w:lang w:eastAsia="en-GB"/>
          <w14:ligatures w14:val="none"/>
        </w:rPr>
        <w:t xml:space="preserve"> </w:t>
      </w:r>
      <w:r w:rsidR="00331C9A">
        <w:rPr>
          <w:rFonts w:ascii="Roboto" w:eastAsia="Times New Roman" w:hAnsi="Roboto" w:cs="Times New Roman"/>
          <w:b/>
          <w:bCs/>
          <w:i/>
          <w:iCs/>
          <w:color w:val="031D39"/>
          <w:spacing w:val="3"/>
          <w:kern w:val="0"/>
          <w:sz w:val="20"/>
          <w:szCs w:val="20"/>
          <w:lang w:eastAsia="en-GB"/>
          <w14:ligatures w14:val="none"/>
        </w:rPr>
        <w:t xml:space="preserve">BPSV impact does not occur in a vacuum then, but is fundamentally driven by health systems strength (around surveillance and response capabilities). </w:t>
      </w:r>
      <w:r w:rsidR="003B56F5">
        <w:rPr>
          <w:rFonts w:ascii="Roboto" w:eastAsia="Times New Roman" w:hAnsi="Roboto" w:cs="Times New Roman"/>
          <w:b/>
          <w:bCs/>
          <w:i/>
          <w:iCs/>
          <w:color w:val="031D39"/>
          <w:spacing w:val="3"/>
          <w:kern w:val="0"/>
          <w:sz w:val="20"/>
          <w:szCs w:val="20"/>
          <w:lang w:eastAsia="en-GB"/>
          <w14:ligatures w14:val="none"/>
        </w:rPr>
        <w:t>Our results highlight additional gains that come with making stockpiles big enough to cover more people (especially those high risk) but this will have to be accompanied by appropriate sensitisation to ensure robust up-take. And lots of health system strengthening to ensure everywhere has the ability to rapidly vaccinate everyone, given that that’s a critical determinant of BPSV impact</w:t>
      </w:r>
      <w:r w:rsidR="003B56F5">
        <w:rPr>
          <w:rFonts w:ascii="Roboto" w:eastAsia="Times New Roman" w:hAnsi="Roboto" w:cs="Times New Roman"/>
          <w:b/>
          <w:bCs/>
          <w:i/>
          <w:iCs/>
          <w:color w:val="031D39"/>
          <w:spacing w:val="3"/>
          <w:kern w:val="0"/>
          <w:sz w:val="20"/>
          <w:szCs w:val="20"/>
          <w:lang w:eastAsia="en-GB"/>
          <w14:ligatures w14:val="none"/>
        </w:rPr>
        <w:t xml:space="preserve">. </w:t>
      </w:r>
      <w:r w:rsidR="003B56F5">
        <w:rPr>
          <w:rFonts w:ascii="Roboto" w:eastAsia="Times New Roman" w:hAnsi="Roboto" w:cs="Times New Roman"/>
          <w:b/>
          <w:bCs/>
          <w:i/>
          <w:iCs/>
          <w:color w:val="031D39"/>
          <w:spacing w:val="3"/>
          <w:kern w:val="0"/>
          <w:sz w:val="20"/>
          <w:szCs w:val="20"/>
          <w:lang w:eastAsia="en-GB"/>
          <w14:ligatures w14:val="none"/>
        </w:rPr>
        <w:t>[also need to add stuff on vaccination campaign logistics and rates of vaccination</w:t>
      </w:r>
      <w:r w:rsidR="00331C9A">
        <w:rPr>
          <w:rFonts w:ascii="Roboto" w:eastAsia="Times New Roman" w:hAnsi="Roboto" w:cs="Times New Roman"/>
          <w:b/>
          <w:bCs/>
          <w:i/>
          <w:iCs/>
          <w:color w:val="031D39"/>
          <w:spacing w:val="3"/>
          <w:kern w:val="0"/>
          <w:sz w:val="20"/>
          <w:szCs w:val="20"/>
          <w:lang w:eastAsia="en-GB"/>
          <w14:ligatures w14:val="none"/>
        </w:rPr>
        <w:t xml:space="preserve">. </w:t>
      </w:r>
      <w:r w:rsidR="000E4ADF">
        <w:rPr>
          <w:rFonts w:ascii="Roboto" w:eastAsia="Times New Roman" w:hAnsi="Roboto" w:cs="Times New Roman"/>
          <w:b/>
          <w:bCs/>
          <w:i/>
          <w:iCs/>
          <w:color w:val="031D39"/>
          <w:spacing w:val="3"/>
          <w:kern w:val="0"/>
          <w:sz w:val="20"/>
          <w:szCs w:val="20"/>
          <w:lang w:eastAsia="en-GB"/>
          <w14:ligatures w14:val="none"/>
        </w:rPr>
        <w:t xml:space="preserve"> </w:t>
      </w:r>
      <w:r w:rsidR="00920DEF">
        <w:rPr>
          <w:rFonts w:ascii="Roboto" w:eastAsia="Times New Roman" w:hAnsi="Roboto" w:cs="Times New Roman"/>
          <w:color w:val="031D39"/>
          <w:spacing w:val="3"/>
          <w:kern w:val="0"/>
          <w:sz w:val="20"/>
          <w:szCs w:val="20"/>
          <w:lang w:eastAsia="en-GB"/>
          <w14:ligatures w14:val="none"/>
        </w:rPr>
        <w:t>Specifically, that significant investments into public-health surveillance capabilities to enable more timely detection of novel pathogen outbreaks will 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192DFE" w:rsidRPr="00192DFE">
        <w:rPr>
          <w:rFonts w:ascii="Roboto" w:eastAsia="Times New Roman" w:hAnsi="Roboto" w:cs="Times New Roman"/>
          <w:i/>
          <w:noProof/>
          <w:color w:val="031D39"/>
          <w:spacing w:val="3"/>
          <w:kern w:val="0"/>
          <w:sz w:val="20"/>
          <w:szCs w:val="20"/>
          <w:lang w:eastAsia="en-GB"/>
          <w14:ligatures w14:val="none"/>
        </w:rPr>
        <w:t>(40)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350AF5" w:rsidRPr="00350AF5">
        <w:rPr>
          <w:rFonts w:ascii="Roboto" w:eastAsia="Times New Roman" w:hAnsi="Roboto" w:cs="Times New Roman"/>
          <w:i/>
          <w:noProof/>
          <w:color w:val="031D39"/>
          <w:spacing w:val="3"/>
          <w:kern w:val="0"/>
          <w:sz w:val="20"/>
          <w:szCs w:val="20"/>
          <w:lang w:eastAsia="en-GB"/>
          <w14:ligatures w14:val="none"/>
        </w:rPr>
        <w:t>(41)</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350AF5" w:rsidRPr="00350AF5">
        <w:rPr>
          <w:rFonts w:ascii="Roboto" w:eastAsia="Times New Roman" w:hAnsi="Roboto" w:cs="Times New Roman"/>
          <w:i/>
          <w:noProof/>
          <w:color w:val="031D39"/>
          <w:spacing w:val="3"/>
          <w:kern w:val="0"/>
          <w:sz w:val="20"/>
          <w:szCs w:val="20"/>
          <w:lang w:eastAsia="en-GB"/>
          <w14:ligatures w14:val="none"/>
        </w:rPr>
        <w:t>(42)</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350AF5" w:rsidRPr="00350AF5">
        <w:rPr>
          <w:rFonts w:ascii="Roboto" w:eastAsia="Times New Roman" w:hAnsi="Roboto" w:cs="Times New Roman"/>
          <w:i/>
          <w:noProof/>
          <w:color w:val="031D39"/>
          <w:spacing w:val="3"/>
          <w:kern w:val="0"/>
          <w:sz w:val="20"/>
          <w:szCs w:val="20"/>
          <w:lang w:eastAsia="en-GB"/>
          <w14:ligatures w14:val="none"/>
        </w:rPr>
        <w:t>(43)</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350AF5" w:rsidRPr="00350AF5">
        <w:rPr>
          <w:rFonts w:ascii="Roboto" w:eastAsia="Times New Roman" w:hAnsi="Roboto" w:cs="Times New Roman"/>
          <w:i/>
          <w:noProof/>
          <w:color w:val="031D39"/>
          <w:spacing w:val="3"/>
          <w:kern w:val="0"/>
          <w:sz w:val="20"/>
          <w:szCs w:val="20"/>
          <w:lang w:eastAsia="en-GB"/>
          <w14:ligatures w14:val="none"/>
        </w:rPr>
        <w:t>(44)</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4"/>
      <w:r w:rsidR="0061249C">
        <w:rPr>
          <w:rFonts w:ascii="Roboto" w:eastAsia="Times New Roman" w:hAnsi="Roboto" w:cs="Times New Roman"/>
          <w:color w:val="031D39"/>
          <w:spacing w:val="3"/>
          <w:kern w:val="0"/>
          <w:sz w:val="20"/>
          <w:szCs w:val="20"/>
          <w:lang w:eastAsia="en-GB"/>
          <w14:ligatures w14:val="none"/>
        </w:rPr>
        <w:t xml:space="preserve">effective </w:t>
      </w:r>
      <w:commentRangeEnd w:id="14"/>
      <w:r w:rsidR="0061249C">
        <w:rPr>
          <w:rStyle w:val="CommentReference"/>
        </w:rPr>
        <w:commentReference w:id="14"/>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(45)</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(46)</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(47)</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(48)</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(49)</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560E85">
        <w:rPr>
          <w:rFonts w:ascii="Roboto" w:eastAsia="Times New Roman" w:hAnsi="Roboto" w:cs="Times New Roman"/>
          <w:b/>
          <w:bCs/>
          <w:i/>
          <w:iCs/>
          <w:color w:val="031D39"/>
          <w:spacing w:val="3"/>
          <w:kern w:val="0"/>
          <w:sz w:val="20"/>
          <w:szCs w:val="20"/>
          <w:lang w:eastAsia="en-GB"/>
          <w14:ligatures w14:val="none"/>
        </w:rPr>
        <w:t xml:space="preserve">[couple of sentences on WHO </w:t>
      </w:r>
      <w:r w:rsidR="00846DE8">
        <w:rPr>
          <w:rFonts w:ascii="Roboto" w:eastAsia="Times New Roman" w:hAnsi="Roboto" w:cs="Times New Roman"/>
          <w:b/>
          <w:bCs/>
          <w:i/>
          <w:iCs/>
          <w:color w:val="031D39"/>
          <w:spacing w:val="3"/>
          <w:kern w:val="0"/>
          <w:sz w:val="20"/>
          <w:szCs w:val="20"/>
          <w:lang w:eastAsia="en-GB"/>
          <w14:ligatures w14:val="none"/>
        </w:rPr>
        <w:t>surveillance reports</w:t>
      </w:r>
      <w:r w:rsidR="00560E85" w:rsidRPr="00560E85">
        <w:rPr>
          <w:rFonts w:ascii="Roboto" w:eastAsia="Times New Roman" w:hAnsi="Roboto" w:cs="Times New Roman"/>
          <w:b/>
          <w:bCs/>
          <w:i/>
          <w:iCs/>
          <w:color w:val="031D39"/>
          <w:spacing w:val="3"/>
          <w:kern w:val="0"/>
          <w:sz w:val="20"/>
          <w:szCs w:val="20"/>
          <w:lang w:eastAsia="en-GB"/>
          <w14:ligatures w14:val="none"/>
        </w:rPr>
        <w:t>, couple of finishing sentences</w:t>
      </w:r>
      <w:r w:rsidR="00CC5378">
        <w:rPr>
          <w:rFonts w:ascii="Roboto" w:eastAsia="Times New Roman" w:hAnsi="Roboto" w:cs="Times New Roman"/>
          <w:b/>
          <w:bCs/>
          <w:i/>
          <w:iCs/>
          <w:color w:val="031D39"/>
          <w:spacing w:val="3"/>
          <w:kern w:val="0"/>
          <w:sz w:val="20"/>
          <w:szCs w:val="20"/>
          <w:lang w:eastAsia="en-GB"/>
          <w14:ligatures w14:val="none"/>
        </w:rPr>
        <w:t xml:space="preserve"> etc</w:t>
      </w:r>
      <w:r w:rsidR="00560E85" w:rsidRPr="00560E85">
        <w:rPr>
          <w:rFonts w:ascii="Roboto" w:eastAsia="Times New Roman" w:hAnsi="Roboto" w:cs="Times New Roman"/>
          <w:b/>
          <w:bCs/>
          <w:i/>
          <w:iCs/>
          <w:color w:val="031D39"/>
          <w:spacing w:val="3"/>
          <w:kern w:val="0"/>
          <w:sz w:val="20"/>
          <w:szCs w:val="20"/>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0F05BD74"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(26, 50)</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(51)</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(52)</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 xml:space="preserve">estimates of BPSV efficacy against infection (35% efficacy against infection and 75% efficacy against severe disease) that are significantly lower than the estimates of efficacy achieved by initial </w:t>
      </w:r>
      <w:r w:rsidR="0015781F">
        <w:rPr>
          <w:rFonts w:ascii="Roboto" w:eastAsia="Times New Roman" w:hAnsi="Roboto" w:cs="Times New Roman"/>
          <w:color w:val="031D39"/>
          <w:spacing w:val="3"/>
          <w:kern w:val="0"/>
          <w:sz w:val="20"/>
          <w:szCs w:val="20"/>
          <w:lang w:eastAsia="en-GB"/>
          <w14:ligatures w14:val="none"/>
        </w:rPr>
        <w:lastRenderedPageBreak/>
        <w:t>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(53)</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(54)</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A5E6572"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5"/>
      <w:r>
        <w:rPr>
          <w:rFonts w:ascii="Roboto" w:eastAsia="Times New Roman" w:hAnsi="Roboto" w:cs="Times New Roman"/>
          <w:color w:val="031D39"/>
          <w:spacing w:val="3"/>
          <w:kern w:val="0"/>
          <w:sz w:val="20"/>
          <w:szCs w:val="20"/>
          <w:lang w:eastAsia="en-GB"/>
          <w14:ligatures w14:val="none"/>
        </w:rPr>
        <w:t xml:space="preserve">Another </w:t>
      </w:r>
      <w:commentRangeEnd w:id="15"/>
      <w:r w:rsidR="00E17E68">
        <w:rPr>
          <w:rStyle w:val="CommentReference"/>
        </w:rPr>
        <w:commentReference w:id="15"/>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6"/>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(55)</w:t>
      </w:r>
      <w:r w:rsidR="00E17E68">
        <w:rPr>
          <w:rFonts w:ascii="Roboto" w:eastAsia="Times New Roman" w:hAnsi="Roboto" w:cs="Times New Roman"/>
          <w:color w:val="031D39"/>
          <w:spacing w:val="3"/>
          <w:kern w:val="0"/>
          <w:sz w:val="20"/>
          <w:szCs w:val="20"/>
          <w:lang w:eastAsia="en-GB"/>
          <w14:ligatures w14:val="none"/>
        </w:rPr>
        <w:fldChar w:fldCharType="end"/>
      </w:r>
      <w:commentRangeEnd w:id="16"/>
      <w:r w:rsidR="00E17E68">
        <w:rPr>
          <w:rStyle w:val="CommentReference"/>
        </w:rPr>
        <w:commentReference w:id="16"/>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(56)</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61249C" w:rsidRPr="0061249C">
        <w:rPr>
          <w:rFonts w:ascii="Roboto" w:eastAsia="Times New Roman" w:hAnsi="Roboto" w:cs="Times New Roman"/>
          <w:i/>
          <w:noProof/>
          <w:color w:val="031D39"/>
          <w:spacing w:val="3"/>
          <w:kern w:val="0"/>
          <w:sz w:val="20"/>
          <w:szCs w:val="20"/>
          <w:lang w:eastAsia="en-GB"/>
          <w14:ligatures w14:val="none"/>
        </w:rPr>
        <w:t>(57)</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5C22764C"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 stockpile and utilisation of BPSVs to facilitate rapid access to protection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avert significant disease burden and enabl</w:t>
      </w:r>
      <w:r w:rsidR="00FD0D5D">
        <w:rPr>
          <w:rFonts w:ascii="Roboto" w:eastAsia="Times New Roman" w:hAnsi="Roboto" w:cs="Times New Roman"/>
          <w:color w:val="031D39"/>
          <w:spacing w:val="3"/>
          <w:kern w:val="0"/>
          <w:sz w:val="20"/>
          <w:szCs w:val="20"/>
          <w:lang w:eastAsia="en-GB"/>
          <w14:ligatures w14:val="none"/>
        </w:rPr>
        <w:t xml:space="preserve">e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gains through enabling less stringent NPIs to be </w:t>
      </w:r>
      <w:r w:rsidR="004B173F">
        <w:rPr>
          <w:rFonts w:ascii="Roboto" w:eastAsia="Times New Roman" w:hAnsi="Roboto" w:cs="Times New Roman"/>
          <w:color w:val="031D39"/>
          <w:spacing w:val="3"/>
          <w:kern w:val="0"/>
          <w:sz w:val="20"/>
          <w:szCs w:val="20"/>
          <w:lang w:eastAsia="en-GB"/>
          <w14:ligatures w14:val="none"/>
        </w:rPr>
        <w:t xml:space="preserve">imposed.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2025B5CE"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0C136DCA" w14:textId="5561B33B"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7"/>
      <w:commentRangeStart w:id="18"/>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7"/>
      <w:r w:rsidR="00E87156">
        <w:rPr>
          <w:rStyle w:val="CommentReference"/>
        </w:rPr>
        <w:commentReference w:id="17"/>
      </w:r>
      <w:commentRangeEnd w:id="18"/>
      <w:r w:rsidR="006857E3">
        <w:rPr>
          <w:rStyle w:val="CommentReference"/>
        </w:rPr>
        <w:commentReference w:id="18"/>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A5A78">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0"/>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0"/>
      <w:r w:rsidR="00824431">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sidR="00206D9F">
        <w:rPr>
          <w:rStyle w:val="CommentReference"/>
        </w:rPr>
        <w:commentReference w:id="21"/>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Pr>
          <w:rStyle w:val="CommentReference"/>
        </w:rPr>
        <w:commentReference w:id="22"/>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sidR="003B71B1">
        <w:rPr>
          <w:rStyle w:val="CommentReference"/>
        </w:rPr>
        <w:commentReference w:id="23"/>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4"/>
      <w:commentRangeStart w:id="25"/>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4"/>
      <w:r w:rsidRPr="00BC5BF6">
        <w:rPr>
          <w:rStyle w:val="CommentReference"/>
          <w:rFonts w:ascii="Roboto" w:hAnsi="Roboto"/>
          <w:sz w:val="20"/>
          <w:szCs w:val="20"/>
        </w:rPr>
        <w:commentReference w:id="24"/>
      </w:r>
      <w:commentRangeEnd w:id="25"/>
      <w:r w:rsidRPr="00BC5BF6">
        <w:rPr>
          <w:rStyle w:val="CommentReference"/>
          <w:rFonts w:ascii="Roboto" w:hAnsi="Roboto"/>
          <w:sz w:val="20"/>
          <w:szCs w:val="20"/>
        </w:rPr>
        <w:commentReference w:id="25"/>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6"/>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6"/>
      <w:r w:rsidR="006D33A3" w:rsidRPr="006E213B">
        <w:rPr>
          <w:rStyle w:val="CommentReference"/>
          <w:rFonts w:ascii="Roboto" w:hAnsi="Roboto"/>
          <w:sz w:val="20"/>
          <w:szCs w:val="20"/>
        </w:rPr>
        <w:commentReference w:id="26"/>
      </w:r>
      <w:commentRangeStart w:id="27"/>
      <w:r w:rsidRPr="006E213B">
        <w:rPr>
          <w:rFonts w:ascii="Roboto" w:eastAsia="Times New Roman" w:hAnsi="Roboto" w:cs="Times New Roman"/>
          <w:b/>
          <w:bCs/>
          <w:color w:val="031D39"/>
          <w:spacing w:val="3"/>
          <w:kern w:val="0"/>
          <w:sz w:val="20"/>
          <w:szCs w:val="20"/>
          <w:lang w:eastAsia="en-GB"/>
          <w14:ligatures w14:val="none"/>
        </w:rPr>
        <w:t>6</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8"/>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5A6907E0" w14:textId="06158574" w:rsidR="0061249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61249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61249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61249C" w:rsidRPr="0061249C">
        <w:rPr>
          <w:rFonts w:ascii="Roboto" w:eastAsia="Times New Roman" w:hAnsi="Roboto" w:cs="Times New Roman"/>
          <w:bCs/>
          <w:i/>
          <w:noProof/>
          <w:color w:val="031D39"/>
          <w:spacing w:val="3"/>
          <w:kern w:val="0"/>
          <w:sz w:val="18"/>
          <w:szCs w:val="18"/>
          <w:lang w:eastAsia="en-GB"/>
          <w14:ligatures w14:val="none"/>
        </w:rPr>
        <w:t>Lancet Infect. Dis.</w:t>
      </w:r>
      <w:r w:rsidR="0061249C">
        <w:rPr>
          <w:rFonts w:ascii="Roboto" w:eastAsia="Times New Roman" w:hAnsi="Roboto" w:cs="Times New Roman"/>
          <w:bCs/>
          <w:noProof/>
          <w:color w:val="031D39"/>
          <w:spacing w:val="3"/>
          <w:kern w:val="0"/>
          <w:sz w:val="18"/>
          <w:szCs w:val="18"/>
          <w:lang w:eastAsia="en-GB"/>
          <w14:ligatures w14:val="none"/>
        </w:rPr>
        <w:t xml:space="preserve"> </w:t>
      </w:r>
      <w:r w:rsidR="0061249C" w:rsidRPr="0061249C">
        <w:rPr>
          <w:rFonts w:ascii="Roboto" w:eastAsia="Times New Roman" w:hAnsi="Roboto" w:cs="Times New Roman"/>
          <w:b/>
          <w:bCs/>
          <w:noProof/>
          <w:color w:val="031D39"/>
          <w:spacing w:val="3"/>
          <w:kern w:val="0"/>
          <w:sz w:val="18"/>
          <w:szCs w:val="18"/>
          <w:lang w:eastAsia="en-GB"/>
          <w14:ligatures w14:val="none"/>
        </w:rPr>
        <w:t>22</w:t>
      </w:r>
      <w:r w:rsidR="0061249C">
        <w:rPr>
          <w:rFonts w:ascii="Roboto" w:eastAsia="Times New Roman" w:hAnsi="Roboto" w:cs="Times New Roman"/>
          <w:bCs/>
          <w:noProof/>
          <w:color w:val="031D39"/>
          <w:spacing w:val="3"/>
          <w:kern w:val="0"/>
          <w:sz w:val="18"/>
          <w:szCs w:val="18"/>
          <w:lang w:eastAsia="en-GB"/>
          <w14:ligatures w14:val="none"/>
        </w:rPr>
        <w:t>, 1293–1302 (2022).</w:t>
      </w:r>
    </w:p>
    <w:p w14:paraId="425B162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61249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7BE60F0"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61249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5118319B"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61249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99EDCFC"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61249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4CFC1FAF"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61249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C539C73"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61249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647544EF"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61249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2750EDDF"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61249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592CDFE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61249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D32D893"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61249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515A8C2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61249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746EF33"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61249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1310DD8"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61249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71A847AE"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61249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341F031F"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61249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D5BF613"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61249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B9D4E6D"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61249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6F49E837"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61249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0193478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61249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5C7AC03D"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61249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0E05ADF6"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61249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6AC8B33C"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61249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422F9426"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61249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5F0754F1"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61249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02E7AFA8"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61249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960755B"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61249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77B3D396"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61249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1FAB4D2A"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61249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6A3F3F77"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61249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5F74BBAA"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61249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79B4ADBF"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61249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4CB00AAD"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61249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2C5EBBB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61249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372AAAA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61249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1B28BA1"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61249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274FCE0D"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61249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571D2D68"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61249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7E1FDB17"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61249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104A73F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A. X. Han, A. Toporowski, J. A. Sacks, M. D. Perkins, S. Briand, M. van Kerkhove, E. Hannay, S. Carmona, B. Rodriguez, E. Parker, B. E. Nichols, C. A. Russell, SARS-CoV-2 diagnostic testing rates determine the sensitivity of genomic surveillance programs. </w:t>
      </w:r>
      <w:r w:rsidRPr="0061249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734816A0"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J. Hasell, E. Mathieu, D. Beltekian, B. Macdonald, C. Giattino, E. Ortiz-Ospina, M. Roser, H. Ritchie, A cross-country database of COVID-19 testing. </w:t>
      </w:r>
      <w:r w:rsidRPr="0061249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7541ED02"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42. M. Craven, A. Sabow, L. Van der Veken, M. Wilson, Not the last pandemic: Investing now to reimagine public-health systems (2020) (available at https://www.mckinsey.com/industries/public-sector/our-insights/not-the-last-pandemic-investing-now-to-reimagine-public-health-systems#/).</w:t>
      </w:r>
    </w:p>
    <w:p w14:paraId="1CD8D93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E. &amp;. I. Pour Demain, </w:t>
      </w:r>
      <w:r w:rsidRPr="0061249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11334EB1"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61249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0B74AC8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L. de Vries, M. Koopmans, A. Morton, P. van Baal, The economics of improving global infectious disease surveillance. </w:t>
      </w:r>
      <w:r w:rsidRPr="0061249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5C8FC5E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Y. Kim, G. Fournié, R. Métras, D. Song, C. A. Donnelly, D. U. Pfeiffer, P. Nouvellet, Lessons for cross-species viral transmission surveillance from highly pathogenic avian influenza Korean cat shelter outbreaks. </w:t>
      </w:r>
      <w:r w:rsidRPr="0061249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2DB2B235"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S. V. Kuchipudi, C. Tan, L. van Dorp, M. Lichtveld, B. Pickering, J. Bowman, S. Mubareka, F. Balloux, Coordinated surveillance is essential to monitor and mitigate the evolutionary impacts of SARS-CoV-2 spillover and circulation in animal hosts. </w:t>
      </w:r>
      <w:r w:rsidRPr="0061249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25275A82"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S. Musunuri, J. B. Sandbrink, J. T. Monrad, M. J. Palmer, G. D. Koblentz, Rapid proliferation of pandemic research: Implications for dual-use risks. </w:t>
      </w:r>
      <w:r w:rsidRPr="0061249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57030F0C"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E. C. Holmes, A. Rambaut, K. G. Andersen, Pandemics: spend on surveillance, not prediction. </w:t>
      </w:r>
      <w:r w:rsidRPr="0061249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73EC0E53"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61249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7741A72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A. W. D. Edridge, J. Kaczorowska, A. C. R. Hoste, M. Bakker, M. Klein, K. Loens, M. F. Jebbink, A. Matser, C. M. Kinsella, P. Rueda, M. Ieven, H. Goossens, M. Prins, P. Sastre, M. Deijs, L. van der Hoek, Seasonal coronavirus protective immunity is short-lasting. </w:t>
      </w:r>
      <w:r w:rsidRPr="0061249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49C6414C"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J. Z. Jia, C. W. Tan, S. M. S. Cheng, H. Gu, A. Y. Y. Yeoh, C. K. P. Mok, Y. Wang, J. Zhao, N. H. L. Leung, B. J. Cowling, L. L. M. Poon, D. S. C. Hui, L. Wang, M. Peiris, S. A. Valkenburg, Priming conditions shape breadth of neutralizing antibody responses to sarbecoviruses. </w:t>
      </w:r>
      <w:r w:rsidRPr="0061249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1EB10A0"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61249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6DE1F8B9"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61249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2690FE84"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55. R. A. Lobe-Costonis, thesis, Yale University (2022).</w:t>
      </w:r>
    </w:p>
    <w:p w14:paraId="6ED4464A" w14:textId="77777777" w:rsidR="0061249C" w:rsidRDefault="0061249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A. M. Utami, F. Rendrayani, Q. A. Khoiry, D. Noviyanti, A. A. Suwantika, M. J. Postma, N. Zakiyah, Economic evaluation of COVID-19 vaccination: A systematic review. </w:t>
      </w:r>
      <w:r w:rsidRPr="0061249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61249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6CBC7832" w:rsidR="0095377D" w:rsidRPr="00607864" w:rsidRDefault="0061249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57.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61249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Wellcome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Wellcome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SecureBio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The modelling framework, along with all relevant data and code required to reproduce the analyses presented here are freely available in Github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8T15:33:00Z" w:initials="CW">
    <w:p w14:paraId="02AD753B" w14:textId="77777777" w:rsidR="0061249C" w:rsidRDefault="0061249C" w:rsidP="0061249C">
      <w:pPr>
        <w:pStyle w:val="CommentText"/>
      </w:pPr>
      <w:r>
        <w:rPr>
          <w:rStyle w:val="CommentReference"/>
        </w:rPr>
        <w:annotationRef/>
      </w:r>
      <w:r>
        <w:t>Find some refs from the DCP4 WHO work.</w:t>
      </w:r>
    </w:p>
  </w:comment>
  <w:comment w:id="15"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6"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7"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8"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9"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0"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1"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2"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3"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4"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5"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6"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7"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8"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02AD753B"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7BB4CA04" w16cex:dateUtc="2023-12-28T15:33: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02AD753B" w16cid:durableId="7BB4CA04"/>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8"/>
  </w:num>
  <w:num w:numId="5" w16cid:durableId="1277832737">
    <w:abstractNumId w:val="3"/>
  </w:num>
  <w:num w:numId="6" w16cid:durableId="1192569721">
    <w:abstractNumId w:val="7"/>
  </w:num>
  <w:num w:numId="7" w16cid:durableId="1909074975">
    <w:abstractNumId w:val="1"/>
  </w:num>
  <w:num w:numId="8" w16cid:durableId="17512383">
    <w:abstractNumId w:val="4"/>
  </w:num>
  <w:num w:numId="9" w16cid:durableId="95872616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21DB1"/>
    <w:rsid w:val="00031ACD"/>
    <w:rsid w:val="0003476D"/>
    <w:rsid w:val="00036A76"/>
    <w:rsid w:val="00044C65"/>
    <w:rsid w:val="00050BE1"/>
    <w:rsid w:val="000541B4"/>
    <w:rsid w:val="0005574D"/>
    <w:rsid w:val="0005601A"/>
    <w:rsid w:val="000627AA"/>
    <w:rsid w:val="00064A57"/>
    <w:rsid w:val="00070E74"/>
    <w:rsid w:val="000724FC"/>
    <w:rsid w:val="000728D2"/>
    <w:rsid w:val="00082A11"/>
    <w:rsid w:val="000863C4"/>
    <w:rsid w:val="0009146D"/>
    <w:rsid w:val="00093A64"/>
    <w:rsid w:val="00096174"/>
    <w:rsid w:val="000A459F"/>
    <w:rsid w:val="000B31C6"/>
    <w:rsid w:val="000B5B0D"/>
    <w:rsid w:val="000B7A8C"/>
    <w:rsid w:val="000D1E14"/>
    <w:rsid w:val="000D3441"/>
    <w:rsid w:val="000E3C68"/>
    <w:rsid w:val="000E3F2F"/>
    <w:rsid w:val="000E4ADF"/>
    <w:rsid w:val="000F0A97"/>
    <w:rsid w:val="000F19B5"/>
    <w:rsid w:val="000F1CCD"/>
    <w:rsid w:val="00102610"/>
    <w:rsid w:val="00107D46"/>
    <w:rsid w:val="0011085A"/>
    <w:rsid w:val="00116060"/>
    <w:rsid w:val="001226B4"/>
    <w:rsid w:val="00130291"/>
    <w:rsid w:val="001324D4"/>
    <w:rsid w:val="0013355F"/>
    <w:rsid w:val="001378D1"/>
    <w:rsid w:val="001410A4"/>
    <w:rsid w:val="00143E71"/>
    <w:rsid w:val="00144764"/>
    <w:rsid w:val="00153CB0"/>
    <w:rsid w:val="0015781F"/>
    <w:rsid w:val="00163AB1"/>
    <w:rsid w:val="00165489"/>
    <w:rsid w:val="001667A0"/>
    <w:rsid w:val="001719C5"/>
    <w:rsid w:val="00173F3D"/>
    <w:rsid w:val="00185E37"/>
    <w:rsid w:val="001874E6"/>
    <w:rsid w:val="00192DFE"/>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5909"/>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2F07"/>
    <w:rsid w:val="002D31F7"/>
    <w:rsid w:val="002D57E9"/>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31C9A"/>
    <w:rsid w:val="00333503"/>
    <w:rsid w:val="003366FA"/>
    <w:rsid w:val="00342DCF"/>
    <w:rsid w:val="00350AF5"/>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56F5"/>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2E6"/>
    <w:rsid w:val="004304A4"/>
    <w:rsid w:val="00431E40"/>
    <w:rsid w:val="00433820"/>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20020"/>
    <w:rsid w:val="00522B1B"/>
    <w:rsid w:val="0052433C"/>
    <w:rsid w:val="00553178"/>
    <w:rsid w:val="00560E85"/>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2623"/>
    <w:rsid w:val="005B3217"/>
    <w:rsid w:val="005B7E0A"/>
    <w:rsid w:val="005C7C83"/>
    <w:rsid w:val="005D07CD"/>
    <w:rsid w:val="005D1053"/>
    <w:rsid w:val="005E3649"/>
    <w:rsid w:val="00601304"/>
    <w:rsid w:val="00607864"/>
    <w:rsid w:val="0061249C"/>
    <w:rsid w:val="00631EC9"/>
    <w:rsid w:val="00634A2E"/>
    <w:rsid w:val="00647290"/>
    <w:rsid w:val="0065405E"/>
    <w:rsid w:val="006548E6"/>
    <w:rsid w:val="00655DD5"/>
    <w:rsid w:val="00663402"/>
    <w:rsid w:val="00673D8E"/>
    <w:rsid w:val="00674043"/>
    <w:rsid w:val="006837FF"/>
    <w:rsid w:val="006857E3"/>
    <w:rsid w:val="006A1799"/>
    <w:rsid w:val="006A2D06"/>
    <w:rsid w:val="006A4595"/>
    <w:rsid w:val="006A6F4A"/>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3028"/>
    <w:rsid w:val="00756E52"/>
    <w:rsid w:val="00760E6A"/>
    <w:rsid w:val="00761C7B"/>
    <w:rsid w:val="00765392"/>
    <w:rsid w:val="007666CC"/>
    <w:rsid w:val="007668D7"/>
    <w:rsid w:val="007770B9"/>
    <w:rsid w:val="007900CC"/>
    <w:rsid w:val="00791653"/>
    <w:rsid w:val="00796398"/>
    <w:rsid w:val="007A113C"/>
    <w:rsid w:val="007A4421"/>
    <w:rsid w:val="007A65AD"/>
    <w:rsid w:val="007A6CB1"/>
    <w:rsid w:val="007B2457"/>
    <w:rsid w:val="007B27AD"/>
    <w:rsid w:val="007B486D"/>
    <w:rsid w:val="007B77C0"/>
    <w:rsid w:val="007C1039"/>
    <w:rsid w:val="007C5479"/>
    <w:rsid w:val="007C7C8B"/>
    <w:rsid w:val="007D342D"/>
    <w:rsid w:val="007D733D"/>
    <w:rsid w:val="007E4A8F"/>
    <w:rsid w:val="007E5400"/>
    <w:rsid w:val="007F23B9"/>
    <w:rsid w:val="007F2FC7"/>
    <w:rsid w:val="00802442"/>
    <w:rsid w:val="008039E9"/>
    <w:rsid w:val="00803D88"/>
    <w:rsid w:val="00806821"/>
    <w:rsid w:val="0081270E"/>
    <w:rsid w:val="00814850"/>
    <w:rsid w:val="00822B84"/>
    <w:rsid w:val="00824431"/>
    <w:rsid w:val="00824BC4"/>
    <w:rsid w:val="00827AB6"/>
    <w:rsid w:val="00833A32"/>
    <w:rsid w:val="00835388"/>
    <w:rsid w:val="0083727F"/>
    <w:rsid w:val="00843490"/>
    <w:rsid w:val="008447AD"/>
    <w:rsid w:val="00846DE8"/>
    <w:rsid w:val="008540C5"/>
    <w:rsid w:val="00857237"/>
    <w:rsid w:val="00861F12"/>
    <w:rsid w:val="00862223"/>
    <w:rsid w:val="00862671"/>
    <w:rsid w:val="00862BC3"/>
    <w:rsid w:val="008A3E89"/>
    <w:rsid w:val="008C0145"/>
    <w:rsid w:val="008C38D4"/>
    <w:rsid w:val="008C6BA0"/>
    <w:rsid w:val="008D206F"/>
    <w:rsid w:val="008D3F9F"/>
    <w:rsid w:val="008D6A46"/>
    <w:rsid w:val="008E0F2D"/>
    <w:rsid w:val="008E4380"/>
    <w:rsid w:val="00905799"/>
    <w:rsid w:val="00906325"/>
    <w:rsid w:val="009128E3"/>
    <w:rsid w:val="00914C03"/>
    <w:rsid w:val="00915532"/>
    <w:rsid w:val="00920DEF"/>
    <w:rsid w:val="009211B2"/>
    <w:rsid w:val="009243B3"/>
    <w:rsid w:val="00927A71"/>
    <w:rsid w:val="00932CE4"/>
    <w:rsid w:val="0094242B"/>
    <w:rsid w:val="009469D0"/>
    <w:rsid w:val="00952559"/>
    <w:rsid w:val="0095377D"/>
    <w:rsid w:val="00956976"/>
    <w:rsid w:val="00962A90"/>
    <w:rsid w:val="00964698"/>
    <w:rsid w:val="00964DA9"/>
    <w:rsid w:val="00976447"/>
    <w:rsid w:val="00977E1A"/>
    <w:rsid w:val="00984AD2"/>
    <w:rsid w:val="009A19B7"/>
    <w:rsid w:val="009A5EBF"/>
    <w:rsid w:val="009A63B0"/>
    <w:rsid w:val="009B2FCD"/>
    <w:rsid w:val="009B304D"/>
    <w:rsid w:val="009C049F"/>
    <w:rsid w:val="009C1F89"/>
    <w:rsid w:val="009C22AB"/>
    <w:rsid w:val="009D59DD"/>
    <w:rsid w:val="009E2C9A"/>
    <w:rsid w:val="009F3296"/>
    <w:rsid w:val="009F3332"/>
    <w:rsid w:val="009F761B"/>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08F3"/>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F1B83"/>
    <w:rsid w:val="00BF2A5B"/>
    <w:rsid w:val="00BF700E"/>
    <w:rsid w:val="00C01C35"/>
    <w:rsid w:val="00C0598A"/>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5378"/>
    <w:rsid w:val="00CC6C91"/>
    <w:rsid w:val="00CD437E"/>
    <w:rsid w:val="00CE3F16"/>
    <w:rsid w:val="00CF00B7"/>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70EA8"/>
    <w:rsid w:val="00D72C4E"/>
    <w:rsid w:val="00D73D36"/>
    <w:rsid w:val="00D75062"/>
    <w:rsid w:val="00D75EFB"/>
    <w:rsid w:val="00D871AB"/>
    <w:rsid w:val="00D915E5"/>
    <w:rsid w:val="00D932AB"/>
    <w:rsid w:val="00D96035"/>
    <w:rsid w:val="00DA0448"/>
    <w:rsid w:val="00DA048C"/>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2AE1"/>
    <w:rsid w:val="00F6519A"/>
    <w:rsid w:val="00F71816"/>
    <w:rsid w:val="00F7577C"/>
    <w:rsid w:val="00F87477"/>
    <w:rsid w:val="00F968A9"/>
    <w:rsid w:val="00F96FF1"/>
    <w:rsid w:val="00FA3FB7"/>
    <w:rsid w:val="00FA6753"/>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10004</TotalTime>
  <Pages>22</Pages>
  <Words>43884</Words>
  <Characters>257165</Characters>
  <Application>Microsoft Office Word</Application>
  <DocSecurity>0</DocSecurity>
  <Lines>3781</Lines>
  <Paragraphs>820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568</cp:revision>
  <dcterms:created xsi:type="dcterms:W3CDTF">2023-12-20T13:24:00Z</dcterms:created>
  <dcterms:modified xsi:type="dcterms:W3CDTF">2023-12-28T15:43:00Z</dcterms:modified>
</cp:coreProperties>
</file>