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dq82i3w4ljbm" w:id="0"/>
      <w:bookmarkEnd w:id="0"/>
      <w:r w:rsidDel="00000000" w:rsidR="00000000" w:rsidRPr="00000000">
        <w:rPr>
          <w:rtl w:val="0"/>
        </w:rPr>
      </w:r>
    </w:p>
    <w:p w:rsidR="00000000" w:rsidDel="00000000" w:rsidP="00000000" w:rsidRDefault="00000000" w:rsidRPr="00000000" w14:paraId="00000002">
      <w:pPr>
        <w:spacing w:after="60" w:before="240" w:line="240" w:lineRule="auto"/>
        <w:jc w:val="center"/>
        <w:rPr>
          <w:b w:val="1"/>
          <w:bCs w:val="1"/>
          <w:sz w:val="48"/>
          <w:szCs w:val="48"/>
        </w:rPr>
      </w:pPr>
      <w:r w:rsidDel="00000000" w:rsidR="00000000" w:rsidRPr="00000000">
        <w:rPr>
          <w:b w:val="1"/>
          <w:bCs w:val="1"/>
          <w:sz w:val="48"/>
          <w:szCs w:val="48"/>
          <w:rtl w:val="0"/>
        </w:rPr>
        <w:t xml:space="preserve">SISTEMA DE GESTIÓN DE PROYECTOS DE INVESTIGACIÓN</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pu2vtilfmmr8"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xeztlifp86vf"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pStyle w:val="Title"/>
        <w:spacing w:after="60" w:before="240" w:line="240" w:lineRule="auto"/>
        <w:jc w:val="center"/>
        <w:rPr>
          <w:vertAlign w:val="baseline"/>
        </w:rPr>
      </w:pPr>
      <w:bookmarkStart w:colFirst="0" w:colLast="0" w:name="_heading=h.oq9betlfttj3" w:id="3"/>
      <w:bookmarkEnd w:id="3"/>
      <w:r w:rsidDel="00000000" w:rsidR="00000000" w:rsidRPr="00000000">
        <w:rPr>
          <w:rtl w:val="0"/>
        </w:rPr>
        <w:t xml:space="preserve">CU12-Consultar alertas de convocatorias </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w:t>
      </w:r>
      <w:r w:rsidDel="00000000" w:rsidR="00000000" w:rsidRPr="00000000">
        <w:rPr>
          <w:b w:val="1"/>
          <w:bCs w:val="1"/>
          <w:sz w:val="28"/>
          <w:szCs w:val="28"/>
          <w:vertAlign w:val="baseline"/>
          <w:rtl w:val="0"/>
        </w:rPr>
        <w:t xml:space="preserve">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color w:val="000000"/>
                <w:sz w:val="22"/>
                <w:szCs w:val="22"/>
                <w:vertAlign w:val="baseline"/>
                <w:rtl w:val="0"/>
              </w:rPr>
              <w:t xml:space="preserve">04/</w:t>
            </w:r>
            <w:r w:rsidDel="00000000" w:rsidR="00000000" w:rsidRPr="00000000">
              <w:rPr>
                <w:sz w:val="22"/>
                <w:szCs w:val="22"/>
                <w:rtl w:val="0"/>
              </w:rPr>
              <w:t xml:space="preserve">05</w:t>
            </w:r>
            <w:r w:rsidDel="00000000" w:rsidR="00000000" w:rsidRPr="00000000">
              <w:rPr>
                <w:color w:val="000000"/>
                <w:sz w:val="22"/>
                <w:szCs w:val="22"/>
                <w:vertAlign w:val="baseline"/>
                <w:rtl w:val="0"/>
              </w:rPr>
              <w:t xml:space="preserve">/20</w:t>
            </w:r>
            <w:r w:rsidDel="00000000" w:rsidR="00000000" w:rsidRPr="00000000">
              <w:rPr>
                <w:sz w:val="22"/>
                <w:szCs w:val="22"/>
                <w:rtl w:val="0"/>
              </w:rPr>
              <w:t xml:space="preserve">2</w:t>
            </w:r>
            <w:r w:rsidDel="00000000" w:rsidR="00000000" w:rsidRPr="00000000">
              <w:rPr>
                <w:color w:val="000000"/>
                <w:sz w:val="22"/>
                <w:szCs w:val="22"/>
                <w:vertAlign w:val="baseline"/>
                <w:rtl w:val="0"/>
              </w:rPr>
              <w:t xml:space="preserve">6</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sz w:val="22"/>
                <w:szCs w:val="22"/>
                <w:rtl w:val="0"/>
              </w:rPr>
              <w:t xml:space="preserve">Gabriel Poma</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sdt>
      <w:sdtPr>
        <w:id w:val="-700985906"/>
        <w:docPartObj>
          <w:docPartGallery w:val="Table of Contents"/>
          <w:docPartUnique w:val="1"/>
        </w:docPartObj>
      </w:sdtPr>
      <w:sdtContent>
        <w:p w:rsidR="00000000" w:rsidDel="00000000" w:rsidP="00000000" w:rsidRDefault="00000000" w:rsidRPr="00000000" w14:paraId="00000038">
          <w:pPr>
            <w:widowControl w:val="0"/>
            <w:tabs>
              <w:tab w:val="right" w:leader="none" w:pos="8503.511811023624"/>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x3ttm1r759">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_heading=h.7x3ttm1r759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8503.511811023624"/>
            </w:tabs>
            <w:spacing w:after="0" w:before="60" w:line="240" w:lineRule="auto"/>
            <w:ind w:left="360" w:firstLine="0"/>
            <w:jc w:val="left"/>
            <w:rPr>
              <w:color w:val="000000"/>
              <w:u w:val="none"/>
            </w:rPr>
          </w:pPr>
          <w:hyperlink w:anchor="_heading=h.agrkrypw6itk">
            <w:r w:rsidDel="00000000" w:rsidR="00000000" w:rsidRPr="00000000">
              <w:rPr>
                <w:color w:val="000000"/>
                <w:u w:val="none"/>
                <w:rtl w:val="0"/>
              </w:rPr>
              <w:t xml:space="preserve">1.1 Propósito</w:t>
              <w:tab/>
            </w:r>
          </w:hyperlink>
          <w:r w:rsidDel="00000000" w:rsidR="00000000" w:rsidRPr="00000000">
            <w:fldChar w:fldCharType="begin"/>
            <w:instrText xml:space="preserve"> PAGEREF _heading=h.agrkrypw6itk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8503.511811023624"/>
            </w:tabs>
            <w:spacing w:after="0" w:before="60" w:line="240" w:lineRule="auto"/>
            <w:ind w:left="360" w:firstLine="0"/>
            <w:jc w:val="left"/>
            <w:rPr>
              <w:color w:val="000000"/>
              <w:u w:val="none"/>
            </w:rPr>
          </w:pPr>
          <w:hyperlink w:anchor="_heading=h.nb1odtjtu5yg">
            <w:r w:rsidDel="00000000" w:rsidR="00000000" w:rsidRPr="00000000">
              <w:rPr>
                <w:color w:val="000000"/>
                <w:u w:val="none"/>
                <w:rtl w:val="0"/>
              </w:rPr>
              <w:t xml:space="preserve">1.2 Alcance</w:t>
              <w:tab/>
            </w:r>
          </w:hyperlink>
          <w:r w:rsidDel="00000000" w:rsidR="00000000" w:rsidRPr="00000000">
            <w:fldChar w:fldCharType="begin"/>
            <w:instrText xml:space="preserve"> PAGEREF _heading=h.nb1odtjtu5yg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8503.511811023624"/>
            </w:tabs>
            <w:spacing w:after="0" w:before="60" w:line="240" w:lineRule="auto"/>
            <w:ind w:left="360" w:firstLine="0"/>
            <w:jc w:val="left"/>
            <w:rPr>
              <w:color w:val="000000"/>
              <w:u w:val="none"/>
            </w:rPr>
          </w:pPr>
          <w:hyperlink w:anchor="_heading=h.rjmdzw18z72">
            <w:r w:rsidDel="00000000" w:rsidR="00000000" w:rsidRPr="00000000">
              <w:rPr>
                <w:color w:val="000000"/>
                <w:u w:val="none"/>
                <w:rtl w:val="0"/>
              </w:rPr>
              <w:t xml:space="preserve">1.3 Definiciones, siglas y abreviaciones</w:t>
              <w:tab/>
            </w:r>
          </w:hyperlink>
          <w:r w:rsidDel="00000000" w:rsidR="00000000" w:rsidRPr="00000000">
            <w:fldChar w:fldCharType="begin"/>
            <w:instrText xml:space="preserve"> PAGEREF _heading=h.rjmdzw18z72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8503.511811023624"/>
            </w:tabs>
            <w:spacing w:after="0" w:before="60" w:line="240" w:lineRule="auto"/>
            <w:ind w:left="360" w:firstLine="0"/>
            <w:jc w:val="left"/>
            <w:rPr>
              <w:color w:val="000000"/>
              <w:u w:val="none"/>
            </w:rPr>
          </w:pPr>
          <w:hyperlink w:anchor="_heading=h.yl58z8g8clje">
            <w:r w:rsidDel="00000000" w:rsidR="00000000" w:rsidRPr="00000000">
              <w:rPr>
                <w:color w:val="000000"/>
                <w:u w:val="none"/>
                <w:rtl w:val="0"/>
              </w:rPr>
              <w:t xml:space="preserve">1.4 Referencias</w:t>
              <w:tab/>
            </w:r>
          </w:hyperlink>
          <w:r w:rsidDel="00000000" w:rsidR="00000000" w:rsidRPr="00000000">
            <w:fldChar w:fldCharType="begin"/>
            <w:instrText xml:space="preserve"> PAGEREF _heading=h.yl58z8g8clje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8503.511811023624"/>
            </w:tabs>
            <w:spacing w:after="0" w:before="60" w:line="240" w:lineRule="auto"/>
            <w:ind w:left="360" w:firstLine="0"/>
            <w:jc w:val="left"/>
            <w:rPr>
              <w:color w:val="000000"/>
              <w:u w:val="none"/>
            </w:rPr>
          </w:pPr>
          <w:hyperlink w:anchor="_heading=h.yeyro6hlmw3a">
            <w:r w:rsidDel="00000000" w:rsidR="00000000" w:rsidRPr="00000000">
              <w:rPr>
                <w:color w:val="000000"/>
                <w:u w:val="none"/>
                <w:rtl w:val="0"/>
              </w:rPr>
              <w:t xml:space="preserve">1.5 Resumen</w:t>
              <w:tab/>
            </w:r>
          </w:hyperlink>
          <w:r w:rsidDel="00000000" w:rsidR="00000000" w:rsidRPr="00000000">
            <w:fldChar w:fldCharType="begin"/>
            <w:instrText xml:space="preserve"> PAGEREF _heading=h.yeyro6hlmw3a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8503.511811023624"/>
            </w:tabs>
            <w:spacing w:after="0" w:before="60" w:line="240" w:lineRule="auto"/>
            <w:jc w:val="left"/>
            <w:rPr>
              <w:b w:val="1"/>
              <w:bCs w:val="1"/>
              <w:color w:val="000000"/>
              <w:u w:val="none"/>
            </w:rPr>
          </w:pPr>
          <w:hyperlink w:anchor="_heading=h.wu66vwpz4mb">
            <w:r w:rsidDel="00000000" w:rsidR="00000000" w:rsidRPr="00000000">
              <w:rPr>
                <w:b w:val="1"/>
                <w:bCs w:val="1"/>
                <w:color w:val="000000"/>
                <w:u w:val="none"/>
                <w:rtl w:val="0"/>
              </w:rPr>
              <w:t xml:space="preserve">2. Descripción General</w:t>
              <w:tab/>
            </w:r>
          </w:hyperlink>
          <w:r w:rsidDel="00000000" w:rsidR="00000000" w:rsidRPr="00000000">
            <w:fldChar w:fldCharType="begin"/>
            <w:instrText xml:space="preserve"> PAGEREF _heading=h.wu66vwpz4mb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8503.511811023624"/>
            </w:tabs>
            <w:spacing w:after="0" w:before="60" w:line="240" w:lineRule="auto"/>
            <w:ind w:left="360" w:firstLine="0"/>
            <w:jc w:val="left"/>
            <w:rPr>
              <w:color w:val="000000"/>
              <w:u w:val="none"/>
            </w:rPr>
          </w:pPr>
          <w:hyperlink w:anchor="_heading=h.utfpk0gprnym">
            <w:r w:rsidDel="00000000" w:rsidR="00000000" w:rsidRPr="00000000">
              <w:rPr>
                <w:color w:val="000000"/>
                <w:u w:val="none"/>
                <w:rtl w:val="0"/>
              </w:rPr>
              <w:t xml:space="preserve">2.1 Diagrama de Casos de Usos</w:t>
              <w:tab/>
            </w:r>
          </w:hyperlink>
          <w:r w:rsidDel="00000000" w:rsidR="00000000" w:rsidRPr="00000000">
            <w:fldChar w:fldCharType="begin"/>
            <w:instrText xml:space="preserve"> PAGEREF _heading=h.utfpk0gprnym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8503.511811023624"/>
            </w:tabs>
            <w:spacing w:after="0" w:before="60" w:line="240" w:lineRule="auto"/>
            <w:ind w:left="360" w:firstLine="0"/>
            <w:jc w:val="left"/>
            <w:rPr>
              <w:color w:val="000000"/>
              <w:u w:val="none"/>
            </w:rPr>
          </w:pPr>
          <w:hyperlink w:anchor="_heading=h.pxv02xbc6up4">
            <w:r w:rsidDel="00000000" w:rsidR="00000000" w:rsidRPr="00000000">
              <w:rPr>
                <w:color w:val="000000"/>
                <w:u w:val="none"/>
                <w:rtl w:val="0"/>
              </w:rPr>
              <w:t xml:space="preserve">2.2 Descripción</w:t>
              <w:tab/>
            </w:r>
          </w:hyperlink>
          <w:r w:rsidDel="00000000" w:rsidR="00000000" w:rsidRPr="00000000">
            <w:fldChar w:fldCharType="begin"/>
            <w:instrText xml:space="preserve"> PAGEREF _heading=h.pxv02xbc6up4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8503.511811023624"/>
            </w:tabs>
            <w:spacing w:after="0" w:before="60" w:line="240" w:lineRule="auto"/>
            <w:ind w:left="360" w:firstLine="0"/>
            <w:jc w:val="left"/>
            <w:rPr>
              <w:color w:val="000000"/>
              <w:u w:val="none"/>
            </w:rPr>
          </w:pPr>
          <w:hyperlink w:anchor="_heading=h.qpzodrhehqph">
            <w:r w:rsidDel="00000000" w:rsidR="00000000" w:rsidRPr="00000000">
              <w:rPr>
                <w:color w:val="000000"/>
                <w:u w:val="none"/>
                <w:rtl w:val="0"/>
              </w:rPr>
              <w:t xml:space="preserve">2.3 Actores</w:t>
              <w:tab/>
            </w:r>
          </w:hyperlink>
          <w:r w:rsidDel="00000000" w:rsidR="00000000" w:rsidRPr="00000000">
            <w:fldChar w:fldCharType="begin"/>
            <w:instrText xml:space="preserve"> PAGEREF _heading=h.qpzodrhehqph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8503.511811023624"/>
            </w:tabs>
            <w:spacing w:after="0" w:before="60" w:line="240" w:lineRule="auto"/>
            <w:ind w:left="360" w:firstLine="0"/>
            <w:jc w:val="left"/>
            <w:rPr>
              <w:color w:val="000000"/>
              <w:u w:val="none"/>
            </w:rPr>
          </w:pPr>
          <w:hyperlink w:anchor="_heading=h.7gq19fk6ursh">
            <w:r w:rsidDel="00000000" w:rsidR="00000000" w:rsidRPr="00000000">
              <w:rPr>
                <w:color w:val="000000"/>
                <w:u w:val="none"/>
                <w:rtl w:val="0"/>
              </w:rPr>
              <w:t xml:space="preserve">2.4 Precondiciones</w:t>
              <w:tab/>
            </w:r>
          </w:hyperlink>
          <w:r w:rsidDel="00000000" w:rsidR="00000000" w:rsidRPr="00000000">
            <w:fldChar w:fldCharType="begin"/>
            <w:instrText xml:space="preserve"> PAGEREF _heading=h.7gq19fk6ursh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503.511811023624"/>
            </w:tabs>
            <w:spacing w:after="0" w:before="60" w:line="240" w:lineRule="auto"/>
            <w:ind w:left="360" w:firstLine="0"/>
            <w:jc w:val="left"/>
            <w:rPr>
              <w:color w:val="000000"/>
              <w:u w:val="none"/>
            </w:rPr>
          </w:pPr>
          <w:hyperlink w:anchor="_heading=h.x2mrwvvjrqdi">
            <w:r w:rsidDel="00000000" w:rsidR="00000000" w:rsidRPr="00000000">
              <w:rPr>
                <w:color w:val="000000"/>
                <w:u w:val="none"/>
                <w:rtl w:val="0"/>
              </w:rPr>
              <w:t xml:space="preserve">2.5 Pos Condiciones</w:t>
              <w:tab/>
            </w:r>
          </w:hyperlink>
          <w:r w:rsidDel="00000000" w:rsidR="00000000" w:rsidRPr="00000000">
            <w:fldChar w:fldCharType="begin"/>
            <w:instrText xml:space="preserve"> PAGEREF _heading=h.x2mrwvvjrqdi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8503.511811023624"/>
            </w:tabs>
            <w:spacing w:after="0" w:before="60" w:line="240" w:lineRule="auto"/>
            <w:ind w:left="360" w:firstLine="0"/>
            <w:jc w:val="left"/>
            <w:rPr>
              <w:color w:val="000000"/>
              <w:u w:val="none"/>
            </w:rPr>
          </w:pPr>
          <w:hyperlink w:anchor="_heading=h.3y4kp09cyis8">
            <w:r w:rsidDel="00000000" w:rsidR="00000000" w:rsidRPr="00000000">
              <w:rPr>
                <w:color w:val="000000"/>
                <w:u w:val="none"/>
                <w:rtl w:val="0"/>
              </w:rPr>
              <w:t xml:space="preserve">2.6 Flujo Básico</w:t>
              <w:tab/>
            </w:r>
          </w:hyperlink>
          <w:r w:rsidDel="00000000" w:rsidR="00000000" w:rsidRPr="00000000">
            <w:fldChar w:fldCharType="begin"/>
            <w:instrText xml:space="preserve"> PAGEREF _heading=h.3y4kp09cyis8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8503.511811023624"/>
            </w:tabs>
            <w:spacing w:after="0" w:before="60" w:line="240" w:lineRule="auto"/>
            <w:ind w:left="360" w:firstLine="0"/>
            <w:jc w:val="left"/>
            <w:rPr>
              <w:color w:val="000000"/>
              <w:u w:val="none"/>
            </w:rPr>
          </w:pPr>
          <w:hyperlink w:anchor="_heading=h.9izqq73ah7j">
            <w:r w:rsidDel="00000000" w:rsidR="00000000" w:rsidRPr="00000000">
              <w:rPr>
                <w:color w:val="000000"/>
                <w:u w:val="none"/>
                <w:rtl w:val="0"/>
              </w:rPr>
              <w:t xml:space="preserve">2.7 Excepciones</w:t>
              <w:tab/>
            </w:r>
          </w:hyperlink>
          <w:r w:rsidDel="00000000" w:rsidR="00000000" w:rsidRPr="00000000">
            <w:fldChar w:fldCharType="begin"/>
            <w:instrText xml:space="preserve"> PAGEREF _heading=h.9izqq73ah7j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8503.511811023624"/>
            </w:tabs>
            <w:spacing w:after="0" w:before="60" w:line="240" w:lineRule="auto"/>
            <w:ind w:left="360" w:firstLine="0"/>
            <w:jc w:val="left"/>
            <w:rPr>
              <w:color w:val="000000"/>
              <w:u w:val="none"/>
            </w:rPr>
          </w:pPr>
          <w:hyperlink w:anchor="_heading=h.o6wezyrj4y0n">
            <w:r w:rsidDel="00000000" w:rsidR="00000000" w:rsidRPr="00000000">
              <w:rPr>
                <w:color w:val="000000"/>
                <w:u w:val="none"/>
                <w:rtl w:val="0"/>
              </w:rPr>
              <w:t xml:space="preserve">2.8 Prototipos visuales</w:t>
              <w:tab/>
            </w:r>
          </w:hyperlink>
          <w:r w:rsidDel="00000000" w:rsidR="00000000" w:rsidRPr="00000000">
            <w:fldChar w:fldCharType="begin"/>
            <w:instrText xml:space="preserve"> PAGEREF _heading=h.o6wezyrj4y0n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8503.511811023624"/>
            </w:tabs>
            <w:spacing w:after="0" w:before="60" w:line="240" w:lineRule="auto"/>
            <w:ind w:left="360" w:firstLine="0"/>
            <w:jc w:val="left"/>
            <w:rPr>
              <w:color w:val="000000"/>
              <w:u w:val="none"/>
            </w:rPr>
          </w:pPr>
          <w:hyperlink w:anchor="_heading=h.ys2oi5bemksn">
            <w:r w:rsidDel="00000000" w:rsidR="00000000" w:rsidRPr="00000000">
              <w:rPr>
                <w:color w:val="000000"/>
                <w:u w:val="none"/>
                <w:rtl w:val="0"/>
              </w:rPr>
              <w:t xml:space="preserve">2.9 Requerimientos no funcionales</w:t>
            </w:r>
          </w:hyperlink>
          <w:hyperlink w:anchor="_heading=h.ys2oi5bemksn">
            <w:r w:rsidDel="00000000" w:rsidR="00000000" w:rsidRPr="00000000">
              <w:rPr>
                <w:color w:val="000000"/>
                <w:u w:val="none"/>
                <w:rtl w:val="0"/>
              </w:rPr>
              <w:tab/>
            </w:r>
          </w:hyperlink>
          <w:r w:rsidDel="00000000" w:rsidR="00000000" w:rsidRPr="00000000">
            <w:fldChar w:fldCharType="begin"/>
            <w:instrText xml:space="preserve"> PAGEREF _heading=h.ys2oi5bemksn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pStyle w:val="Heading2"/>
        <w:keepNext w:val="1"/>
        <w:pageBreakBefore w:val="1"/>
        <w:numPr>
          <w:ilvl w:val="0"/>
          <w:numId w:val="8"/>
        </w:numPr>
        <w:spacing w:after="360" w:before="360" w:lineRule="auto"/>
        <w:ind w:left="1578" w:hanging="360"/>
        <w:jc w:val="center"/>
        <w:rPr/>
      </w:pPr>
      <w:bookmarkStart w:colFirst="0" w:colLast="0" w:name="_heading=h.7x3ttm1r759" w:id="4"/>
      <w:bookmarkEnd w:id="4"/>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4A">
      <w:pPr>
        <w:pStyle w:val="Heading3"/>
        <w:keepNext w:val="1"/>
        <w:numPr>
          <w:ilvl w:val="1"/>
          <w:numId w:val="6"/>
        </w:numPr>
        <w:spacing w:after="240" w:before="240" w:lineRule="auto"/>
        <w:ind w:left="576"/>
        <w:rPr/>
      </w:pPr>
      <w:bookmarkStart w:colFirst="0" w:colLast="0" w:name="_heading=h.agrkrypw6itk" w:id="5"/>
      <w:bookmarkEnd w:id="5"/>
      <w:r w:rsidDel="00000000" w:rsidR="00000000" w:rsidRPr="00000000">
        <w:rPr>
          <w:vertAlign w:val="baseline"/>
          <w:rtl w:val="0"/>
        </w:rPr>
        <w:t xml:space="preserve">Propósito</w:t>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pPr>
      <w:r w:rsidDel="00000000" w:rsidR="00000000" w:rsidRPr="00000000">
        <w:rPr>
          <w:rtl w:val="0"/>
        </w:rPr>
        <w:t xml:space="preserve">El propósito de este documento es definir y especificar el alcance, el comportamiento funcional y las restricciones del caso de uso </w:t>
      </w:r>
      <w:r w:rsidDel="00000000" w:rsidR="00000000" w:rsidRPr="00000000">
        <w:rPr>
          <w:b w:val="1"/>
          <w:bCs w:val="1"/>
          <w:rtl w:val="0"/>
        </w:rPr>
        <w:t xml:space="preserve">CU012 - Consultar alertas de convocatorias</w:t>
      </w:r>
      <w:r w:rsidDel="00000000" w:rsidR="00000000" w:rsidRPr="00000000">
        <w:rPr>
          <w:rtl w:val="0"/>
        </w:rPr>
        <w:t xml:space="preserve"> dentro del sistema SGPI. Este caso de uso busca automatizar el monitoreo de las oportunidades de financiamiento publicadas por el VRIP, eliminando la revisión manual y garantizando que la Secretaria de Investigación cuente con herramientas visuales para priorizar la difusión de las mismas. </w:t>
      </w:r>
    </w:p>
    <w:p w:rsidR="00000000" w:rsidDel="00000000" w:rsidP="00000000" w:rsidRDefault="00000000" w:rsidRPr="00000000" w14:paraId="0000004C">
      <w:pPr>
        <w:pStyle w:val="Heading3"/>
        <w:keepNext w:val="1"/>
        <w:numPr>
          <w:ilvl w:val="1"/>
          <w:numId w:val="6"/>
        </w:numPr>
        <w:spacing w:after="240" w:before="240" w:lineRule="auto"/>
        <w:ind w:left="576"/>
        <w:rPr/>
      </w:pPr>
      <w:bookmarkStart w:colFirst="0" w:colLast="0" w:name="_heading=h.nb1odtjtu5yg" w:id="6"/>
      <w:bookmarkEnd w:id="6"/>
      <w:r w:rsidDel="00000000" w:rsidR="00000000" w:rsidRPr="00000000">
        <w:rPr>
          <w:vertAlign w:val="baseline"/>
          <w:rtl w:val="0"/>
        </w:rPr>
        <w:t xml:space="preserve">Alcance</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pPr>
      <w:bookmarkStart w:colFirst="0" w:colLast="0" w:name="_heading=h.ptcc3wtdfkhn" w:id="7"/>
      <w:bookmarkEnd w:id="7"/>
      <w:r w:rsidDel="00000000" w:rsidR="00000000" w:rsidRPr="00000000">
        <w:rPr>
          <w:rtl w:val="0"/>
        </w:rPr>
        <w:t xml:space="preserve">Este caso de uso abarca desde la visualización del tablero centralizado de convocatorias sincronizadas hasta la gestión de documentos de evidencia de difusión. Incluye la lógica de semaforización basada en fechas de cierre y la trazabilidad de cambios en los cronogramas oficiales del VRIP. Está directamente vinculado a los requerimientos de negocio RQ01, RQ02 y RQ03. </w:t>
      </w:r>
    </w:p>
    <w:p w:rsidR="00000000" w:rsidDel="00000000" w:rsidP="00000000" w:rsidRDefault="00000000" w:rsidRPr="00000000" w14:paraId="0000004E">
      <w:pPr>
        <w:pStyle w:val="Heading3"/>
        <w:keepNext w:val="1"/>
        <w:numPr>
          <w:ilvl w:val="1"/>
          <w:numId w:val="6"/>
        </w:numPr>
        <w:spacing w:after="240" w:before="240" w:lineRule="auto"/>
        <w:ind w:left="576"/>
        <w:rPr/>
      </w:pPr>
      <w:bookmarkStart w:colFirst="0" w:colLast="0" w:name="_heading=h.rjmdzw18z72" w:id="8"/>
      <w:bookmarkEnd w:id="8"/>
      <w:r w:rsidDel="00000000" w:rsidR="00000000" w:rsidRPr="00000000">
        <w:rPr>
          <w:vertAlign w:val="baseline"/>
          <w:rtl w:val="0"/>
        </w:rPr>
        <w:t xml:space="preserve">Definiciones, siglas y abreviaciones</w:t>
      </w:r>
    </w:p>
    <w:p w:rsidR="00000000" w:rsidDel="00000000" w:rsidP="00000000" w:rsidRDefault="00000000" w:rsidRPr="00000000" w14:paraId="0000004F">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pPr>
      <w:bookmarkStart w:colFirst="0" w:colLast="0" w:name="_heading=h.mh98s1bgpzwc" w:id="9"/>
      <w:bookmarkEnd w:id="9"/>
      <w:r w:rsidDel="00000000" w:rsidR="00000000" w:rsidRPr="00000000">
        <w:rPr>
          <w:rtl w:val="0"/>
        </w:rPr>
        <w:t xml:space="preserve">VRIP: Vicerrectorado de Investigación y Posgrado de la UNMSM.</w:t>
      </w:r>
    </w:p>
    <w:p w:rsidR="00000000" w:rsidDel="00000000" w:rsidP="00000000" w:rsidRDefault="00000000" w:rsidRPr="00000000" w14:paraId="00000050">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pPr>
      <w:bookmarkStart w:colFirst="0" w:colLast="0" w:name="_heading=h.ncbxcwlzhakk" w:id="10"/>
      <w:bookmarkEnd w:id="10"/>
      <w:r w:rsidDel="00000000" w:rsidR="00000000" w:rsidRPr="00000000">
        <w:rPr>
          <w:rtl w:val="0"/>
        </w:rPr>
        <w:t xml:space="preserve">SGPI: Sistema de Gestión de Proyectos de Investigación.</w:t>
      </w:r>
    </w:p>
    <w:p w:rsidR="00000000" w:rsidDel="00000000" w:rsidP="00000000" w:rsidRDefault="00000000" w:rsidRPr="00000000" w14:paraId="00000051">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pPr>
      <w:bookmarkStart w:colFirst="0" w:colLast="0" w:name="_heading=h.dtd7g9lduwbt" w:id="11"/>
      <w:bookmarkEnd w:id="11"/>
      <w:r w:rsidDel="00000000" w:rsidR="00000000" w:rsidRPr="00000000">
        <w:rPr>
          <w:rtl w:val="0"/>
        </w:rPr>
        <w:t xml:space="preserve">Semaforización: Indicador visual (Rojo, Amarillo, Verde) que determina la urgencia de una acción según el tiempo restante.</w:t>
      </w:r>
    </w:p>
    <w:p w:rsidR="00000000" w:rsidDel="00000000" w:rsidP="00000000" w:rsidRDefault="00000000" w:rsidRPr="00000000" w14:paraId="00000052">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pPr>
      <w:bookmarkStart w:colFirst="0" w:colLast="0" w:name="_heading=h.oknn5hfyg2mo" w:id="12"/>
      <w:bookmarkEnd w:id="12"/>
      <w:r w:rsidDel="00000000" w:rsidR="00000000" w:rsidRPr="00000000">
        <w:rPr>
          <w:rtl w:val="0"/>
        </w:rPr>
        <w:t xml:space="preserve">Evidencia de Difusión: Archivos digitales que prueban que la convocatoria fue comunicada a la facultad (capturas de correo, circulares, etc.).</w:t>
      </w:r>
    </w:p>
    <w:p w:rsidR="00000000" w:rsidDel="00000000" w:rsidP="00000000" w:rsidRDefault="00000000" w:rsidRPr="00000000" w14:paraId="00000053">
      <w:pPr>
        <w:pStyle w:val="Heading3"/>
        <w:keepNext w:val="1"/>
        <w:numPr>
          <w:ilvl w:val="1"/>
          <w:numId w:val="6"/>
        </w:numPr>
        <w:spacing w:after="240" w:before="240" w:lineRule="auto"/>
        <w:ind w:left="576"/>
        <w:rPr/>
      </w:pPr>
      <w:bookmarkStart w:colFirst="0" w:colLast="0" w:name="_heading=h.yl58z8g8clje" w:id="13"/>
      <w:bookmarkEnd w:id="13"/>
      <w:r w:rsidDel="00000000" w:rsidR="00000000" w:rsidRPr="00000000">
        <w:rPr>
          <w:vertAlign w:val="baseline"/>
          <w:rtl w:val="0"/>
        </w:rPr>
        <w:t xml:space="preserve">Referencias</w:t>
      </w:r>
    </w:p>
    <w:p w:rsidR="00000000" w:rsidDel="00000000" w:rsidP="00000000" w:rsidRDefault="00000000" w:rsidRPr="00000000" w14:paraId="00000054">
      <w:pPr>
        <w:keepNext w:val="1"/>
        <w:numPr>
          <w:ilvl w:val="0"/>
          <w:numId w:val="2"/>
        </w:numPr>
        <w:spacing w:after="0" w:afterAutospacing="0" w:before="240" w:lineRule="auto"/>
        <w:ind w:left="720" w:hanging="360"/>
        <w:rPr>
          <w:u w:val="none"/>
        </w:rPr>
      </w:pPr>
      <w:r w:rsidDel="00000000" w:rsidR="00000000" w:rsidRPr="00000000">
        <w:rPr>
          <w:rtl w:val="0"/>
        </w:rPr>
        <w:t xml:space="preserve">Matriz de Elicitación de Requisitos SGPI_FISI.</w:t>
      </w:r>
    </w:p>
    <w:p w:rsidR="00000000" w:rsidDel="00000000" w:rsidP="00000000" w:rsidRDefault="00000000" w:rsidRPr="00000000" w14:paraId="00000055">
      <w:pPr>
        <w:keepNext w:val="1"/>
        <w:numPr>
          <w:ilvl w:val="0"/>
          <w:numId w:val="2"/>
        </w:numPr>
        <w:spacing w:after="240" w:before="0" w:beforeAutospacing="0" w:lineRule="auto"/>
        <w:ind w:left="720" w:hanging="360"/>
        <w:rPr>
          <w:u w:val="none"/>
        </w:rPr>
      </w:pPr>
      <w:r w:rsidDel="00000000" w:rsidR="00000000" w:rsidRPr="00000000">
        <w:rPr>
          <w:rtl w:val="0"/>
        </w:rPr>
        <w:t xml:space="preserve">Reglamento General de Investigación de la UNMSM.</w:t>
      </w:r>
    </w:p>
    <w:p w:rsidR="00000000" w:rsidDel="00000000" w:rsidP="00000000" w:rsidRDefault="00000000" w:rsidRPr="00000000" w14:paraId="00000056">
      <w:pPr>
        <w:pStyle w:val="Heading3"/>
        <w:keepNext w:val="1"/>
        <w:numPr>
          <w:ilvl w:val="1"/>
          <w:numId w:val="6"/>
        </w:numPr>
        <w:spacing w:after="240" w:before="240" w:lineRule="auto"/>
        <w:ind w:left="576"/>
        <w:rPr/>
      </w:pPr>
      <w:bookmarkStart w:colFirst="0" w:colLast="0" w:name="_heading=h.yeyro6hlmw3a" w:id="14"/>
      <w:bookmarkEnd w:id="14"/>
      <w:r w:rsidDel="00000000" w:rsidR="00000000" w:rsidRPr="00000000">
        <w:rPr>
          <w:vertAlign w:val="baseline"/>
          <w:rtl w:val="0"/>
        </w:rPr>
        <w:t xml:space="preserve">Resumen</w:t>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vertAlign w:val="baseline"/>
        </w:rPr>
      </w:pPr>
      <w:bookmarkStart w:colFirst="0" w:colLast="0" w:name="_heading=h.spd0rvcftu1f" w:id="15"/>
      <w:bookmarkEnd w:id="15"/>
      <w:r w:rsidDel="00000000" w:rsidR="00000000" w:rsidRPr="00000000">
        <w:rPr>
          <w:rtl w:val="0"/>
        </w:rPr>
        <w:t xml:space="preserve">El sistema presenta a la Secretaria un panel con todas las convocatorias vigentes. El sistema evalúa automáticamente los días restantes para el cierre y muestra alertas. La Secretaria puede profundizar en el detalle de cada convocatoria para ver cambios en el cronograma y cargar archivos que evidencien las gestiones de difusión realizadas por el instituto. </w:t>
      </w:r>
      <w:r w:rsidDel="00000000" w:rsidR="00000000" w:rsidRPr="00000000">
        <w:rPr>
          <w:rtl w:val="0"/>
        </w:rPr>
      </w:r>
    </w:p>
    <w:p w:rsidR="00000000" w:rsidDel="00000000" w:rsidP="00000000" w:rsidRDefault="00000000" w:rsidRPr="00000000" w14:paraId="00000058">
      <w:pPr>
        <w:pStyle w:val="Heading2"/>
        <w:keepNext w:val="1"/>
        <w:pageBreakBefore w:val="1"/>
        <w:numPr>
          <w:ilvl w:val="0"/>
          <w:numId w:val="8"/>
        </w:numPr>
        <w:spacing w:after="360" w:before="360" w:lineRule="auto"/>
        <w:ind w:left="1578" w:hanging="360"/>
        <w:jc w:val="center"/>
        <w:rPr/>
      </w:pPr>
      <w:bookmarkStart w:colFirst="0" w:colLast="0" w:name="_heading=h.wu66vwpz4mb" w:id="16"/>
      <w:bookmarkEnd w:id="16"/>
      <w:r w:rsidDel="00000000" w:rsidR="00000000" w:rsidRPr="00000000">
        <w:rPr>
          <w:vertAlign w:val="baseline"/>
          <w:rtl w:val="0"/>
        </w:rPr>
        <w:t xml:space="preserve">Descripción General</w:t>
      </w:r>
    </w:p>
    <w:p w:rsidR="00000000" w:rsidDel="00000000" w:rsidP="00000000" w:rsidRDefault="00000000" w:rsidRPr="00000000" w14:paraId="00000059">
      <w:pPr>
        <w:pStyle w:val="Heading3"/>
        <w:keepNext w:val="1"/>
        <w:numPr>
          <w:ilvl w:val="1"/>
          <w:numId w:val="8"/>
        </w:numPr>
        <w:spacing w:after="240" w:before="240" w:lineRule="auto"/>
        <w:ind w:left="426" w:hanging="568"/>
        <w:rPr/>
      </w:pPr>
      <w:bookmarkStart w:colFirst="0" w:colLast="0" w:name="_heading=h.utfpk0gprnym" w:id="17"/>
      <w:bookmarkEnd w:id="17"/>
      <w:r w:rsidDel="00000000" w:rsidR="00000000" w:rsidRPr="00000000">
        <w:rPr>
          <w:vertAlign w:val="baseline"/>
          <w:rtl w:val="0"/>
        </w:rPr>
        <w:t xml:space="preserve">Diagrama de Casos de Usos</w:t>
      </w:r>
    </w:p>
    <w:p w:rsidR="00000000" w:rsidDel="00000000" w:rsidP="00000000" w:rsidRDefault="00000000" w:rsidRPr="00000000" w14:paraId="0000005A">
      <w:pPr>
        <w:jc w:val="center"/>
        <w:rPr>
          <w:b w:val="0"/>
          <w:bCs w:val="0"/>
          <w:sz w:val="18"/>
          <w:szCs w:val="18"/>
          <w:vertAlign w:val="baseline"/>
        </w:rPr>
      </w:pPr>
      <w:r w:rsidDel="00000000" w:rsidR="00000000" w:rsidRPr="00000000">
        <w:rPr/>
        <w:drawing>
          <wp:inline distB="114300" distT="114300" distL="114300" distR="114300">
            <wp:extent cx="5399730" cy="10922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9973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keepNext w:val="1"/>
        <w:numPr>
          <w:ilvl w:val="1"/>
          <w:numId w:val="8"/>
        </w:numPr>
        <w:spacing w:after="240" w:before="240" w:lineRule="auto"/>
        <w:ind w:left="426" w:hanging="568"/>
        <w:rPr/>
      </w:pPr>
      <w:bookmarkStart w:colFirst="0" w:colLast="0" w:name="_heading=h.pxv02xbc6up4" w:id="18"/>
      <w:bookmarkEnd w:id="18"/>
      <w:r w:rsidDel="00000000" w:rsidR="00000000" w:rsidRPr="00000000">
        <w:rPr>
          <w:vertAlign w:val="baseline"/>
          <w:rtl w:val="0"/>
        </w:rPr>
        <w:t xml:space="preserve">Descripción</w:t>
      </w:r>
    </w:p>
    <w:p w:rsidR="00000000" w:rsidDel="00000000" w:rsidP="00000000" w:rsidRDefault="00000000" w:rsidRPr="00000000" w14:paraId="0000005C">
      <w:pPr>
        <w:rPr>
          <w:vertAlign w:val="baseline"/>
        </w:rPr>
      </w:pPr>
      <w:bookmarkStart w:colFirst="0" w:colLast="0" w:name="_heading=h.pdx6wzenmq5q" w:id="19"/>
      <w:bookmarkEnd w:id="19"/>
      <w:r w:rsidDel="00000000" w:rsidR="00000000" w:rsidRPr="00000000">
        <w:rPr>
          <w:rtl w:val="0"/>
        </w:rPr>
        <w:t xml:space="preserve">Esta funcionalidad permite centralizar el flujo de información proveniente del portal del VRIP. El sistema no solo actúa como un visor, sino como un gestor de alertas proactivo que notifica cambios y permite almacenar la documentación administrativa asociada a la fase de difusión de proyectos. </w:t>
      </w:r>
      <w:r w:rsidDel="00000000" w:rsidR="00000000" w:rsidRPr="00000000">
        <w:rPr>
          <w:rtl w:val="0"/>
        </w:rPr>
      </w:r>
    </w:p>
    <w:p w:rsidR="00000000" w:rsidDel="00000000" w:rsidP="00000000" w:rsidRDefault="00000000" w:rsidRPr="00000000" w14:paraId="0000005D">
      <w:pPr>
        <w:pStyle w:val="Heading3"/>
        <w:keepNext w:val="1"/>
        <w:numPr>
          <w:ilvl w:val="1"/>
          <w:numId w:val="8"/>
        </w:numPr>
        <w:spacing w:after="240" w:before="240" w:lineRule="auto"/>
        <w:ind w:left="426" w:hanging="568"/>
        <w:rPr/>
      </w:pPr>
      <w:bookmarkStart w:colFirst="0" w:colLast="0" w:name="_heading=h.qpzodrhehqph" w:id="20"/>
      <w:bookmarkEnd w:id="20"/>
      <w:r w:rsidDel="00000000" w:rsidR="00000000" w:rsidRPr="00000000">
        <w:rPr>
          <w:vertAlign w:val="baseline"/>
          <w:rtl w:val="0"/>
        </w:rPr>
        <w:t xml:space="preserve">Actores</w:t>
      </w:r>
    </w:p>
    <w:p w:rsidR="00000000" w:rsidDel="00000000" w:rsidP="00000000" w:rsidRDefault="00000000" w:rsidRPr="00000000" w14:paraId="0000005E">
      <w:pPr>
        <w:numPr>
          <w:ilvl w:val="0"/>
          <w:numId w:val="7"/>
        </w:numPr>
        <w:ind w:left="720" w:hanging="360"/>
        <w:rPr>
          <w:vertAlign w:val="baseline"/>
        </w:rPr>
      </w:pPr>
      <w:r w:rsidDel="00000000" w:rsidR="00000000" w:rsidRPr="00000000">
        <w:rPr>
          <w:b w:val="1"/>
          <w:bCs w:val="1"/>
          <w:rtl w:val="0"/>
        </w:rPr>
        <w:t xml:space="preserve">Secretaria de Investigación:</w:t>
      </w:r>
      <w:r w:rsidDel="00000000" w:rsidR="00000000" w:rsidRPr="00000000">
        <w:rPr>
          <w:rtl w:val="0"/>
        </w:rPr>
        <w:t xml:space="preserve"> Actor principal que interactúa con el panel para monitorear y registrar evidencias. </w:t>
      </w:r>
      <w:r w:rsidDel="00000000" w:rsidR="00000000" w:rsidRPr="00000000">
        <w:rPr>
          <w:vertAlign w:val="baseline"/>
          <w:rtl w:val="0"/>
        </w:rPr>
        <w:t xml:space="preserve"> </w:t>
      </w:r>
    </w:p>
    <w:p w:rsidR="00000000" w:rsidDel="00000000" w:rsidP="00000000" w:rsidRDefault="00000000" w:rsidRPr="00000000" w14:paraId="0000005F">
      <w:pPr>
        <w:pStyle w:val="Heading3"/>
        <w:keepNext w:val="1"/>
        <w:numPr>
          <w:ilvl w:val="1"/>
          <w:numId w:val="8"/>
        </w:numPr>
        <w:spacing w:after="240" w:before="240" w:lineRule="auto"/>
        <w:ind w:left="426" w:hanging="568"/>
        <w:rPr/>
      </w:pPr>
      <w:bookmarkStart w:colFirst="0" w:colLast="0" w:name="_heading=h.7gq19fk6ursh" w:id="21"/>
      <w:bookmarkEnd w:id="21"/>
      <w:r w:rsidDel="00000000" w:rsidR="00000000" w:rsidRPr="00000000">
        <w:rPr>
          <w:vertAlign w:val="baseline"/>
          <w:rtl w:val="0"/>
        </w:rPr>
        <w:t xml:space="preserve">Precondiciones</w:t>
      </w:r>
    </w:p>
    <w:p w:rsidR="00000000" w:rsidDel="00000000" w:rsidP="00000000" w:rsidRDefault="00000000" w:rsidRPr="00000000" w14:paraId="00000060">
      <w:pPr>
        <w:numPr>
          <w:ilvl w:val="0"/>
          <w:numId w:val="10"/>
        </w:numPr>
        <w:spacing w:after="0" w:afterAutospacing="0"/>
        <w:ind w:left="720" w:hanging="360"/>
        <w:rPr>
          <w:u w:val="none"/>
        </w:rPr>
      </w:pPr>
      <w:bookmarkStart w:colFirst="0" w:colLast="0" w:name="_heading=h.8djhknj73qwk" w:id="22"/>
      <w:bookmarkEnd w:id="22"/>
      <w:r w:rsidDel="00000000" w:rsidR="00000000" w:rsidRPr="00000000">
        <w:rPr>
          <w:color w:val="000000"/>
          <w:vertAlign w:val="baseline"/>
          <w:rtl w:val="0"/>
        </w:rPr>
        <w:t xml:space="preserve"> </w:t>
      </w:r>
      <w:r w:rsidDel="00000000" w:rsidR="00000000" w:rsidRPr="00000000">
        <w:rPr>
          <w:rtl w:val="0"/>
        </w:rPr>
        <w:t xml:space="preserve">El usuario debe haber iniciado sesión exitosamente con el rol de Secretaria.</w:t>
      </w:r>
    </w:p>
    <w:p w:rsidR="00000000" w:rsidDel="00000000" w:rsidP="00000000" w:rsidRDefault="00000000" w:rsidRPr="00000000" w14:paraId="00000061">
      <w:pPr>
        <w:numPr>
          <w:ilvl w:val="0"/>
          <w:numId w:val="10"/>
        </w:numPr>
        <w:spacing w:before="0" w:beforeAutospacing="0"/>
        <w:ind w:left="720" w:hanging="360"/>
        <w:rPr>
          <w:u w:val="none"/>
        </w:rPr>
      </w:pPr>
      <w:bookmarkStart w:colFirst="0" w:colLast="0" w:name="_heading=h.9onwgaxv0t5y" w:id="23"/>
      <w:bookmarkEnd w:id="23"/>
      <w:r w:rsidDel="00000000" w:rsidR="00000000" w:rsidRPr="00000000">
        <w:rPr>
          <w:rtl w:val="0"/>
        </w:rPr>
        <w:t xml:space="preserve">El servicio de sincronización automática (scraping) debe haber ejecutado al menos una carga de datos desde el portal VRIP en las últimas 24 horas.</w:t>
      </w:r>
    </w:p>
    <w:p w:rsidR="00000000" w:rsidDel="00000000" w:rsidP="00000000" w:rsidRDefault="00000000" w:rsidRPr="00000000" w14:paraId="00000062">
      <w:pPr>
        <w:pStyle w:val="Heading3"/>
        <w:keepNext w:val="1"/>
        <w:numPr>
          <w:ilvl w:val="1"/>
          <w:numId w:val="8"/>
        </w:numPr>
        <w:spacing w:after="240" w:before="240" w:lineRule="auto"/>
        <w:ind w:left="426" w:hanging="568"/>
        <w:rPr/>
      </w:pPr>
      <w:bookmarkStart w:colFirst="0" w:colLast="0" w:name="_heading=h.x2mrwvvjrqdi" w:id="24"/>
      <w:bookmarkEnd w:id="24"/>
      <w:r w:rsidDel="00000000" w:rsidR="00000000" w:rsidRPr="00000000">
        <w:rPr>
          <w:vertAlign w:val="baseline"/>
          <w:rtl w:val="0"/>
        </w:rPr>
        <w:t xml:space="preserve">Pos Condiciones</w:t>
      </w:r>
    </w:p>
    <w:p w:rsidR="00000000" w:rsidDel="00000000" w:rsidP="00000000" w:rsidRDefault="00000000" w:rsidRPr="00000000" w14:paraId="00000063">
      <w:pPr>
        <w:numPr>
          <w:ilvl w:val="0"/>
          <w:numId w:val="3"/>
        </w:numPr>
        <w:spacing w:after="0" w:afterAutospacing="0"/>
        <w:ind w:left="720" w:hanging="360"/>
        <w:rPr>
          <w:highlight w:val="white"/>
          <w:u w:val="none"/>
        </w:rPr>
      </w:pPr>
      <w:r w:rsidDel="00000000" w:rsidR="00000000" w:rsidRPr="00000000">
        <w:rPr>
          <w:highlight w:val="white"/>
          <w:rtl w:val="0"/>
        </w:rPr>
        <w:t xml:space="preserve">El sistema actualiza el registro de la convocatoria con los nuevos archivos adjuntos.</w:t>
      </w:r>
    </w:p>
    <w:p w:rsidR="00000000" w:rsidDel="00000000" w:rsidP="00000000" w:rsidRDefault="00000000" w:rsidRPr="00000000" w14:paraId="00000064">
      <w:pPr>
        <w:numPr>
          <w:ilvl w:val="0"/>
          <w:numId w:val="3"/>
        </w:numPr>
        <w:spacing w:after="0" w:afterAutospacing="0" w:before="0" w:beforeAutospacing="0"/>
        <w:ind w:left="720" w:hanging="360"/>
        <w:rPr>
          <w:highlight w:val="white"/>
          <w:u w:val="none"/>
        </w:rPr>
      </w:pPr>
      <w:r w:rsidDel="00000000" w:rsidR="00000000" w:rsidRPr="00000000">
        <w:rPr>
          <w:highlight w:val="white"/>
          <w:rtl w:val="0"/>
        </w:rPr>
        <w:t xml:space="preserve">Se genera un registro en el log de auditoría sobre la consulta y la carga de documentos.</w:t>
      </w:r>
    </w:p>
    <w:p w:rsidR="00000000" w:rsidDel="00000000" w:rsidP="00000000" w:rsidRDefault="00000000" w:rsidRPr="00000000" w14:paraId="00000065">
      <w:pPr>
        <w:numPr>
          <w:ilvl w:val="0"/>
          <w:numId w:val="3"/>
        </w:numPr>
        <w:spacing w:before="0" w:beforeAutospacing="0"/>
        <w:ind w:left="720" w:hanging="360"/>
        <w:rPr>
          <w:highlight w:val="white"/>
          <w:u w:val="none"/>
        </w:rPr>
      </w:pPr>
      <w:r w:rsidDel="00000000" w:rsidR="00000000" w:rsidRPr="00000000">
        <w:rPr>
          <w:highlight w:val="white"/>
          <w:rtl w:val="0"/>
        </w:rPr>
        <w:t xml:space="preserve">El indicador visual de la convocatoria refleja el estado de "Difundido" si se cargó la evidencia correspondiente.</w:t>
      </w:r>
      <w:r w:rsidDel="00000000" w:rsidR="00000000" w:rsidRPr="00000000">
        <w:rPr>
          <w:rtl w:val="0"/>
        </w:rPr>
      </w:r>
    </w:p>
    <w:p w:rsidR="00000000" w:rsidDel="00000000" w:rsidP="00000000" w:rsidRDefault="00000000" w:rsidRPr="00000000" w14:paraId="00000066">
      <w:pPr>
        <w:pStyle w:val="Heading3"/>
        <w:keepNext w:val="1"/>
        <w:numPr>
          <w:ilvl w:val="1"/>
          <w:numId w:val="8"/>
        </w:numPr>
        <w:spacing w:after="240" w:before="240" w:lineRule="auto"/>
        <w:ind w:left="426" w:hanging="568"/>
        <w:rPr/>
      </w:pPr>
      <w:bookmarkStart w:colFirst="0" w:colLast="0" w:name="_heading=h.3y4kp09cyis8" w:id="25"/>
      <w:bookmarkEnd w:id="25"/>
      <w:r w:rsidDel="00000000" w:rsidR="00000000" w:rsidRPr="00000000">
        <w:rPr>
          <w:vertAlign w:val="baseline"/>
          <w:rtl w:val="0"/>
        </w:rPr>
        <w:t xml:space="preserve">Flujo Básico</w:t>
      </w:r>
    </w:p>
    <w:p w:rsidR="00000000" w:rsidDel="00000000" w:rsidP="00000000" w:rsidRDefault="00000000" w:rsidRPr="00000000" w14:paraId="00000067">
      <w:pPr>
        <w:numPr>
          <w:ilvl w:val="0"/>
          <w:numId w:val="4"/>
        </w:numPr>
        <w:spacing w:after="0" w:afterAutospacing="0"/>
        <w:ind w:left="720" w:hanging="360"/>
        <w:rPr/>
      </w:pPr>
      <w:bookmarkStart w:colFirst="0" w:colLast="0" w:name="_heading=h.bsyezbvh6cfq" w:id="26"/>
      <w:bookmarkEnd w:id="26"/>
      <w:r w:rsidDel="00000000" w:rsidR="00000000" w:rsidRPr="00000000">
        <w:rPr>
          <w:rtl w:val="0"/>
        </w:rPr>
        <w:t xml:space="preserve">El usuario selecciona la opción "Alertas de Convocatorias" en el módulo de Difusión.</w:t>
      </w:r>
    </w:p>
    <w:p w:rsidR="00000000" w:rsidDel="00000000" w:rsidP="00000000" w:rsidRDefault="00000000" w:rsidRPr="00000000" w14:paraId="00000068">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sistema recupera la lista de convocatorias activas de la base de datos.</w:t>
      </w:r>
    </w:p>
    <w:p w:rsidR="00000000" w:rsidDel="00000000" w:rsidP="00000000" w:rsidRDefault="00000000" w:rsidRPr="00000000" w14:paraId="00000069">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sistema calcula la diferencia de días entre la fecha actual y la fecha de cierre para cada ítem.</w:t>
      </w:r>
    </w:p>
    <w:p w:rsidR="00000000" w:rsidDel="00000000" w:rsidP="00000000" w:rsidRDefault="00000000" w:rsidRPr="00000000" w14:paraId="0000006A">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sistema renderiza el panel centralizado mostrando: Nombre del programa, Entidad, Estado, Fecha de Cierre e Indicador Visual (Semaforización).</w:t>
      </w:r>
    </w:p>
    <w:p w:rsidR="00000000" w:rsidDel="00000000" w:rsidP="00000000" w:rsidRDefault="00000000" w:rsidRPr="00000000" w14:paraId="0000006B">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usuario aplica un filtro por "Estado: Activa" y ordena por "Fecha de Cierre".</w:t>
      </w:r>
    </w:p>
    <w:p w:rsidR="00000000" w:rsidDel="00000000" w:rsidP="00000000" w:rsidRDefault="00000000" w:rsidRPr="00000000" w14:paraId="0000006C">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sistema refresca la lista según los criterios seleccionados.</w:t>
      </w:r>
    </w:p>
    <w:p w:rsidR="00000000" w:rsidDel="00000000" w:rsidP="00000000" w:rsidRDefault="00000000" w:rsidRPr="00000000" w14:paraId="0000006D">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usuario selecciona una convocatoria específica para ver los detalles.</w:t>
      </w:r>
    </w:p>
    <w:p w:rsidR="00000000" w:rsidDel="00000000" w:rsidP="00000000" w:rsidRDefault="00000000" w:rsidRPr="00000000" w14:paraId="0000006E">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sistema muestra el detalle completo, resaltando si ha habido cambios en el cronograma desde la última sincronización.</w:t>
      </w:r>
    </w:p>
    <w:p w:rsidR="00000000" w:rsidDel="00000000" w:rsidP="00000000" w:rsidRDefault="00000000" w:rsidRPr="00000000" w14:paraId="0000006F">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usuario presiona el botón "Cargar Evidencia de Difusión".</w:t>
      </w:r>
    </w:p>
    <w:p w:rsidR="00000000" w:rsidDel="00000000" w:rsidP="00000000" w:rsidRDefault="00000000" w:rsidRPr="00000000" w14:paraId="00000070">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sistema solicita el archivo y una breve descripción de la gestión.</w:t>
      </w:r>
    </w:p>
    <w:p w:rsidR="00000000" w:rsidDel="00000000" w:rsidP="00000000" w:rsidRDefault="00000000" w:rsidRPr="00000000" w14:paraId="00000071">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usuario selecciona el archivo y confirma la operación.</w:t>
      </w:r>
    </w:p>
    <w:p w:rsidR="00000000" w:rsidDel="00000000" w:rsidP="00000000" w:rsidRDefault="00000000" w:rsidRPr="00000000" w14:paraId="00000072">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sistema valida el archivo, lo almacena y vincula al registro de la convocatoria [Excepción EX2].</w:t>
      </w:r>
    </w:p>
    <w:p w:rsidR="00000000" w:rsidDel="00000000" w:rsidP="00000000" w:rsidRDefault="00000000" w:rsidRPr="00000000" w14:paraId="00000073">
      <w:pPr>
        <w:numPr>
          <w:ilvl w:val="0"/>
          <w:numId w:val="4"/>
        </w:numPr>
        <w:spacing w:after="0" w:afterAutospacing="0" w:before="0" w:beforeAutospacing="0"/>
        <w:ind w:left="720" w:hanging="360"/>
        <w:rPr/>
      </w:pPr>
      <w:bookmarkStart w:colFirst="0" w:colLast="0" w:name="_heading=h.bsyezbvh6cfq" w:id="26"/>
      <w:bookmarkEnd w:id="26"/>
      <w:r w:rsidDel="00000000" w:rsidR="00000000" w:rsidRPr="00000000">
        <w:rPr>
          <w:rtl w:val="0"/>
        </w:rPr>
        <w:t xml:space="preserve">El sistema muestra el mensaje: "Evidencia registrada correctamente y estado actualizado".</w:t>
      </w:r>
    </w:p>
    <w:p w:rsidR="00000000" w:rsidDel="00000000" w:rsidP="00000000" w:rsidRDefault="00000000" w:rsidRPr="00000000" w14:paraId="00000074">
      <w:pPr>
        <w:numPr>
          <w:ilvl w:val="0"/>
          <w:numId w:val="4"/>
        </w:numPr>
        <w:spacing w:before="0" w:beforeAutospacing="0"/>
        <w:ind w:left="720" w:hanging="360"/>
        <w:rPr/>
      </w:pPr>
      <w:bookmarkStart w:colFirst="0" w:colLast="0" w:name="_heading=h.bsyezbvh6cfq" w:id="26"/>
      <w:bookmarkEnd w:id="26"/>
      <w:r w:rsidDel="00000000" w:rsidR="00000000" w:rsidRPr="00000000">
        <w:rPr>
          <w:rtl w:val="0"/>
        </w:rPr>
        <w:t xml:space="preserve">El caso de uso termina.</w:t>
      </w:r>
      <w:r w:rsidDel="00000000" w:rsidR="00000000" w:rsidRPr="00000000">
        <w:rPr>
          <w:rtl w:val="0"/>
        </w:rPr>
      </w:r>
    </w:p>
    <w:p w:rsidR="00000000" w:rsidDel="00000000" w:rsidP="00000000" w:rsidRDefault="00000000" w:rsidRPr="00000000" w14:paraId="00000075">
      <w:pPr>
        <w:pStyle w:val="Heading3"/>
        <w:keepNext w:val="1"/>
        <w:numPr>
          <w:ilvl w:val="1"/>
          <w:numId w:val="8"/>
        </w:numPr>
        <w:spacing w:after="240" w:before="240" w:lineRule="auto"/>
        <w:ind w:left="426" w:hanging="568"/>
        <w:rPr/>
      </w:pPr>
      <w:bookmarkStart w:colFirst="0" w:colLast="0" w:name="_heading=h.9izqq73ah7j" w:id="27"/>
      <w:bookmarkEnd w:id="27"/>
      <w:r w:rsidDel="00000000" w:rsidR="00000000" w:rsidRPr="00000000">
        <w:rPr>
          <w:vertAlign w:val="baseline"/>
          <w:rtl w:val="0"/>
        </w:rPr>
        <w:t xml:space="preserve">Excepciones</w:t>
      </w:r>
    </w:p>
    <w:p w:rsidR="00000000" w:rsidDel="00000000" w:rsidP="00000000" w:rsidRDefault="00000000" w:rsidRPr="00000000" w14:paraId="00000076">
      <w:pPr>
        <w:rPr>
          <w:b w:val="1"/>
          <w:bCs w:val="1"/>
        </w:rPr>
      </w:pPr>
      <w:bookmarkStart w:colFirst="0" w:colLast="0" w:name="_heading=h.se66vj2h0106" w:id="28"/>
      <w:bookmarkEnd w:id="28"/>
      <w:r w:rsidDel="00000000" w:rsidR="00000000" w:rsidRPr="00000000">
        <w:rPr>
          <w:b w:val="1"/>
          <w:bCs w:val="1"/>
          <w:rtl w:val="0"/>
        </w:rPr>
        <w:t xml:space="preserve">[EX1]</w:t>
      </w:r>
      <w:r w:rsidDel="00000000" w:rsidR="00000000" w:rsidRPr="00000000">
        <w:rPr>
          <w:b w:val="1"/>
          <w:bCs w:val="1"/>
          <w:rtl w:val="0"/>
        </w:rPr>
        <w:t xml:space="preserve">: No se detectan convocatorias activas</w:t>
      </w:r>
    </w:p>
    <w:p w:rsidR="00000000" w:rsidDel="00000000" w:rsidP="00000000" w:rsidRDefault="00000000" w:rsidRPr="00000000" w14:paraId="00000077">
      <w:pPr>
        <w:numPr>
          <w:ilvl w:val="0"/>
          <w:numId w:val="1"/>
        </w:numPr>
        <w:spacing w:after="240" w:before="240" w:lineRule="auto"/>
        <w:ind w:left="720" w:hanging="360"/>
        <w:jc w:val="left"/>
        <w:rPr>
          <w:u w:val="none"/>
        </w:rPr>
      </w:pPr>
      <w:bookmarkStart w:colFirst="0" w:colLast="0" w:name="_heading=h.se66vj2h0106" w:id="28"/>
      <w:bookmarkEnd w:id="28"/>
      <w:r w:rsidDel="00000000" w:rsidR="00000000" w:rsidRPr="00000000">
        <w:rPr>
          <w:rtl w:val="0"/>
        </w:rPr>
        <w:t xml:space="preserve">Si al realizar la consulta en el paso 2 no existen registros en estado "Activa", el sistema muestra un panel vacío con el mensaje: "No hay convocatorias vigentes en este momento. Verifique la última sincronización".</w:t>
      </w:r>
    </w:p>
    <w:p w:rsidR="00000000" w:rsidDel="00000000" w:rsidP="00000000" w:rsidRDefault="00000000" w:rsidRPr="00000000" w14:paraId="00000078">
      <w:pPr>
        <w:rPr>
          <w:b w:val="1"/>
          <w:bCs w:val="1"/>
        </w:rPr>
      </w:pPr>
      <w:bookmarkStart w:colFirst="0" w:colLast="0" w:name="_heading=h.se66vj2h0106" w:id="28"/>
      <w:bookmarkEnd w:id="28"/>
      <w:r w:rsidDel="00000000" w:rsidR="00000000" w:rsidRPr="00000000">
        <w:rPr>
          <w:b w:val="1"/>
          <w:bCs w:val="1"/>
          <w:rtl w:val="0"/>
        </w:rPr>
        <w:t xml:space="preserve">[EX2]: Error en formato o tamaño de evidencia</w:t>
      </w:r>
    </w:p>
    <w:p w:rsidR="00000000" w:rsidDel="00000000" w:rsidP="00000000" w:rsidRDefault="00000000" w:rsidRPr="00000000" w14:paraId="00000079">
      <w:pPr>
        <w:numPr>
          <w:ilvl w:val="0"/>
          <w:numId w:val="9"/>
        </w:numPr>
        <w:spacing w:after="240" w:before="240" w:lineRule="auto"/>
        <w:ind w:left="720" w:hanging="360"/>
        <w:jc w:val="left"/>
        <w:rPr>
          <w:u w:val="none"/>
        </w:rPr>
      </w:pPr>
      <w:bookmarkStart w:colFirst="0" w:colLast="0" w:name="_heading=h.se66vj2h0106" w:id="28"/>
      <w:bookmarkEnd w:id="28"/>
      <w:r w:rsidDel="00000000" w:rsidR="00000000" w:rsidRPr="00000000">
        <w:rPr>
          <w:rtl w:val="0"/>
        </w:rPr>
        <w:t xml:space="preserve">Si en el paso 12 el usuario intenta cargar un archivo que no es PDF/Imagen o que supera los 10MB, el sistema bloquea la carga y muestra: "Error: El archivo debe ser PDF o Imagen y no superar los 10MB". El flujo retorna al paso 9.</w:t>
      </w:r>
      <w:r w:rsidDel="00000000" w:rsidR="00000000" w:rsidRPr="00000000">
        <w:rPr>
          <w:rtl w:val="0"/>
        </w:rPr>
      </w:r>
    </w:p>
    <w:p w:rsidR="00000000" w:rsidDel="00000000" w:rsidP="00000000" w:rsidRDefault="00000000" w:rsidRPr="00000000" w14:paraId="0000007A">
      <w:pPr>
        <w:pStyle w:val="Heading3"/>
        <w:keepNext w:val="1"/>
        <w:numPr>
          <w:ilvl w:val="1"/>
          <w:numId w:val="8"/>
        </w:numPr>
        <w:spacing w:after="240" w:before="240" w:lineRule="auto"/>
        <w:ind w:left="426" w:hanging="568"/>
        <w:rPr/>
      </w:pPr>
      <w:bookmarkStart w:colFirst="0" w:colLast="0" w:name="_heading=h.o6wezyrj4y0n" w:id="29"/>
      <w:bookmarkEnd w:id="29"/>
      <w:r w:rsidDel="00000000" w:rsidR="00000000" w:rsidRPr="00000000">
        <w:rPr>
          <w:vertAlign w:val="baseline"/>
          <w:rtl w:val="0"/>
        </w:rPr>
        <w:t xml:space="preserve">Prototipos visuales</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399730" cy="24511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b w:val="1"/>
          <w:bCs w:val="1"/>
          <w:rtl w:val="0"/>
        </w:rPr>
        <w:t xml:space="preserve">Figura 1. Panel centralizado de convocatorias - Semaforización y estado inicial</w:t>
      </w:r>
      <w:r w:rsidDel="00000000" w:rsidR="00000000" w:rsidRPr="00000000">
        <w:rPr>
          <w:rtl w:val="0"/>
        </w:rPr>
        <w:t xml:space="preserve"> </w:t>
      </w:r>
    </w:p>
    <w:p w:rsidR="00000000" w:rsidDel="00000000" w:rsidP="00000000" w:rsidRDefault="00000000" w:rsidRPr="00000000" w14:paraId="0000007D">
      <w:pPr>
        <w:ind w:left="0" w:firstLine="0"/>
        <w:rPr/>
      </w:pPr>
      <w:r w:rsidDel="00000000" w:rsidR="00000000" w:rsidRPr="00000000">
        <w:rPr>
          <w:rtl w:val="0"/>
        </w:rPr>
        <w:t xml:space="preserve">La captura muestra la vista principal del módulo al ingresar a la opción "Alertas de Convocatorias". Se evidencia cómo el sistema calcula automáticamente los días restantes para el cierre de cada ítem y aplica un indicador visual de urgencia (rojo, amarillo o verde) permitiendo a la Secretaria identificar rápidamente la prioridad de difusión. </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399730" cy="2451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b w:val="1"/>
          <w:bCs w:val="1"/>
          <w:rtl w:val="0"/>
        </w:rPr>
        <w:t xml:space="preserve">Figura 2. Aplicación de filtros de búsqueda - Organización por urgencia</w:t>
      </w:r>
      <w:r w:rsidDel="00000000" w:rsidR="00000000" w:rsidRPr="00000000">
        <w:rPr>
          <w:rtl w:val="0"/>
        </w:rPr>
        <w:t xml:space="preserve"> </w:t>
      </w:r>
    </w:p>
    <w:p w:rsidR="00000000" w:rsidDel="00000000" w:rsidP="00000000" w:rsidRDefault="00000000" w:rsidRPr="00000000" w14:paraId="00000080">
      <w:pPr>
        <w:ind w:left="0" w:firstLine="0"/>
        <w:rPr/>
      </w:pPr>
      <w:r w:rsidDel="00000000" w:rsidR="00000000" w:rsidRPr="00000000">
        <w:rPr>
          <w:rtl w:val="0"/>
        </w:rPr>
        <w:t xml:space="preserve">En esta pantalla se visualiza la respuesta del sistema tras aplicar los filtros de "Estado" y criterios de ordenamiento. El panel refresca la lista dinámicamente, aislando únicamente las convocatorias activas y priorizando en la parte superior aquellas con cierre inminente. </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5399730" cy="24638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b w:val="1"/>
          <w:bCs w:val="1"/>
          <w:rtl w:val="0"/>
        </w:rPr>
        <w:t xml:space="preserve">Figura 3. Detalle de la convocatoria - Detección de cambios en el cronograma</w:t>
      </w:r>
      <w:r w:rsidDel="00000000" w:rsidR="00000000" w:rsidRPr="00000000">
        <w:rPr>
          <w:rtl w:val="0"/>
        </w:rPr>
        <w:t xml:space="preserve"> </w:t>
      </w:r>
    </w:p>
    <w:p w:rsidR="00000000" w:rsidDel="00000000" w:rsidP="00000000" w:rsidRDefault="00000000" w:rsidRPr="00000000" w14:paraId="00000083">
      <w:pPr>
        <w:ind w:left="0" w:firstLine="0"/>
        <w:rPr/>
      </w:pPr>
      <w:r w:rsidDel="00000000" w:rsidR="00000000" w:rsidRPr="00000000">
        <w:rPr>
          <w:rtl w:val="0"/>
        </w:rPr>
        <w:t xml:space="preserve">La captura evidencia la vista de detalle tras seleccionar un ítem específico. El sistema muestra la información completa y resalta visualmente (en recuadro de advertencia) las modificaciones detectadas en las fechas oficiales del VRIP respecto a la última sincronización, alertando a la Secretaria sobre extensiones o adelantos en el cierre. </w:t>
      </w:r>
    </w:p>
    <w:p w:rsidR="00000000" w:rsidDel="00000000" w:rsidP="00000000" w:rsidRDefault="00000000" w:rsidRPr="00000000" w14:paraId="00000084">
      <w:pPr>
        <w:ind w:left="0" w:firstLine="0"/>
        <w:rPr/>
      </w:pPr>
      <w:r w:rsidDel="00000000" w:rsidR="00000000" w:rsidRPr="00000000">
        <w:rPr/>
        <w:drawing>
          <wp:inline distB="114300" distT="114300" distL="114300" distR="114300">
            <wp:extent cx="5399730" cy="24511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b w:val="1"/>
          <w:bCs w:val="1"/>
          <w:rtl w:val="0"/>
        </w:rPr>
        <w:t xml:space="preserve">Figura 4. Interfaz de carga de evidencia - Ingreso de documentación</w:t>
      </w:r>
      <w:r w:rsidDel="00000000" w:rsidR="00000000" w:rsidRPr="00000000">
        <w:rPr>
          <w:rtl w:val="0"/>
        </w:rPr>
        <w:t xml:space="preserve"> </w:t>
      </w:r>
    </w:p>
    <w:p w:rsidR="00000000" w:rsidDel="00000000" w:rsidP="00000000" w:rsidRDefault="00000000" w:rsidRPr="00000000" w14:paraId="00000086">
      <w:pPr>
        <w:ind w:left="0" w:firstLine="0"/>
        <w:rPr/>
      </w:pPr>
      <w:r w:rsidDel="00000000" w:rsidR="00000000" w:rsidRPr="00000000">
        <w:rPr>
          <w:rtl w:val="0"/>
        </w:rPr>
        <w:t xml:space="preserve">Se muestra la ventana modal que el sistema despliega al presionar "Cargar Evidencia". En este paso, se le solicita a la usuaria adjuntar el archivo comprobatorio (restringido a PDF/Imagen y tamaño máximo) e ingresar una descripción textual de la gestión realizada para la trazabilidad del proceso. </w:t>
      </w:r>
    </w:p>
    <w:p w:rsidR="00000000" w:rsidDel="00000000" w:rsidP="00000000" w:rsidRDefault="00000000" w:rsidRPr="00000000" w14:paraId="00000087">
      <w:pPr>
        <w:ind w:left="0" w:firstLine="0"/>
        <w:rPr/>
      </w:pPr>
      <w:r w:rsidDel="00000000" w:rsidR="00000000" w:rsidRPr="00000000">
        <w:rPr/>
        <w:drawing>
          <wp:inline distB="114300" distT="114300" distL="114300" distR="114300">
            <wp:extent cx="5399730" cy="24511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b w:val="1"/>
          <w:bCs w:val="1"/>
          <w:rtl w:val="0"/>
        </w:rPr>
        <w:t xml:space="preserve">Figura 5. Confirmación de registro - Actualización de estado y trazabilidad documental</w:t>
      </w:r>
      <w:r w:rsidDel="00000000" w:rsidR="00000000" w:rsidRPr="00000000">
        <w:rPr>
          <w:rtl w:val="0"/>
        </w:rPr>
        <w:t xml:space="preserve"> La captura demuestra la finalización exitosa del flujo del caso de uso. El sistema despliega una notificación flotante (</w:t>
      </w:r>
      <w:r w:rsidDel="00000000" w:rsidR="00000000" w:rsidRPr="00000000">
        <w:rPr>
          <w:i w:val="1"/>
          <w:iCs w:val="1"/>
          <w:rtl w:val="0"/>
        </w:rPr>
        <w:t xml:space="preserve">toast</w:t>
      </w:r>
      <w:r w:rsidDel="00000000" w:rsidR="00000000" w:rsidRPr="00000000">
        <w:rPr>
          <w:rtl w:val="0"/>
        </w:rPr>
        <w:t xml:space="preserve">) de confirmación, actualiza de forma automática el estado de la convocatoria a "Difusión Completada" y deja un registro visible del documento cargado, incluyendo el usuario responsable y la marca de tiempo. </w:t>
      </w:r>
    </w:p>
    <w:p w:rsidR="00000000" w:rsidDel="00000000" w:rsidP="00000000" w:rsidRDefault="00000000" w:rsidRPr="00000000" w14:paraId="00000089">
      <w:pPr>
        <w:pStyle w:val="Heading3"/>
        <w:keepNext w:val="1"/>
        <w:numPr>
          <w:ilvl w:val="1"/>
          <w:numId w:val="8"/>
        </w:numPr>
        <w:spacing w:after="240" w:before="240" w:lineRule="auto"/>
        <w:ind w:left="426" w:hanging="568"/>
        <w:rPr/>
      </w:pPr>
      <w:bookmarkStart w:colFirst="0" w:colLast="0" w:name="_heading=h.ys2oi5bemksn" w:id="30"/>
      <w:bookmarkEnd w:id="30"/>
      <w:r w:rsidDel="00000000" w:rsidR="00000000" w:rsidRPr="00000000">
        <w:rPr>
          <w:vertAlign w:val="baseline"/>
          <w:rtl w:val="0"/>
        </w:rPr>
        <w:t xml:space="preserve">Requerimientos no funcionales</w:t>
      </w:r>
    </w:p>
    <w:p w:rsidR="00000000" w:rsidDel="00000000" w:rsidP="00000000" w:rsidRDefault="00000000" w:rsidRPr="00000000" w14:paraId="0000008A">
      <w:pPr>
        <w:keepNext w:val="1"/>
        <w:numPr>
          <w:ilvl w:val="0"/>
          <w:numId w:val="11"/>
        </w:numPr>
        <w:spacing w:after="0" w:afterAutospacing="0" w:before="240" w:lineRule="auto"/>
        <w:ind w:left="720" w:hanging="360"/>
        <w:rPr>
          <w:u w:val="none"/>
        </w:rPr>
      </w:pPr>
      <w:r w:rsidDel="00000000" w:rsidR="00000000" w:rsidRPr="00000000">
        <w:rPr>
          <w:b w:val="1"/>
          <w:bCs w:val="1"/>
          <w:rtl w:val="0"/>
        </w:rPr>
        <w:t xml:space="preserve">Seguridad: </w:t>
      </w:r>
      <w:r w:rsidDel="00000000" w:rsidR="00000000" w:rsidRPr="00000000">
        <w:rPr>
          <w:rtl w:val="0"/>
        </w:rPr>
        <w:t xml:space="preserve">Solo los usuarios con rol de Secretaria o Administrador pueden cargar archivos de evidencia.</w:t>
      </w:r>
    </w:p>
    <w:p w:rsidR="00000000" w:rsidDel="00000000" w:rsidP="00000000" w:rsidRDefault="00000000" w:rsidRPr="00000000" w14:paraId="0000008B">
      <w:pPr>
        <w:keepNext w:val="1"/>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Rendimiento:</w:t>
      </w:r>
      <w:r w:rsidDel="00000000" w:rsidR="00000000" w:rsidRPr="00000000">
        <w:rPr>
          <w:rtl w:val="0"/>
        </w:rPr>
        <w:t xml:space="preserve"> El cálculo de la semaforización para 50 convocatorias concurrentes no debe exceder los 2 segundos de carga inicial.</w:t>
      </w:r>
    </w:p>
    <w:p w:rsidR="00000000" w:rsidDel="00000000" w:rsidP="00000000" w:rsidRDefault="00000000" w:rsidRPr="00000000" w14:paraId="0000008C">
      <w:pPr>
        <w:keepNext w:val="1"/>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Usabilidad: </w:t>
      </w:r>
      <w:r w:rsidDel="00000000" w:rsidR="00000000" w:rsidRPr="00000000">
        <w:rPr>
          <w:rtl w:val="0"/>
        </w:rPr>
        <w:t xml:space="preserve">Los colores del semáforo deben seguir estándares de accesibilidad (identificables por iconos además del color para usuarios con daltonismo).</w:t>
      </w:r>
    </w:p>
    <w:p w:rsidR="00000000" w:rsidDel="00000000" w:rsidP="00000000" w:rsidRDefault="00000000" w:rsidRPr="00000000" w14:paraId="0000008D">
      <w:pPr>
        <w:keepNext w:val="1"/>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Disponibilidad:</w:t>
      </w:r>
      <w:r w:rsidDel="00000000" w:rsidR="00000000" w:rsidRPr="00000000">
        <w:rPr>
          <w:rtl w:val="0"/>
        </w:rPr>
        <w:t xml:space="preserve"> El panel de alertas debe estar disponible incluso si la fuente externa (VRIP) está caída, utilizando los últimos datos cacheados.</w:t>
      </w:r>
    </w:p>
    <w:p w:rsidR="00000000" w:rsidDel="00000000" w:rsidP="00000000" w:rsidRDefault="00000000" w:rsidRPr="00000000" w14:paraId="0000008E">
      <w:pPr>
        <w:keepNext w:val="1"/>
        <w:numPr>
          <w:ilvl w:val="0"/>
          <w:numId w:val="11"/>
        </w:numPr>
        <w:spacing w:after="240" w:before="0" w:beforeAutospacing="0" w:lineRule="auto"/>
        <w:ind w:left="720" w:hanging="360"/>
        <w:rPr>
          <w:u w:val="none"/>
        </w:rPr>
      </w:pPr>
      <w:r w:rsidDel="00000000" w:rsidR="00000000" w:rsidRPr="00000000">
        <w:rPr>
          <w:b w:val="1"/>
          <w:bCs w:val="1"/>
          <w:rtl w:val="0"/>
        </w:rPr>
        <w:t xml:space="preserve">Mantenibilidad</w:t>
      </w:r>
      <w:r w:rsidDel="00000000" w:rsidR="00000000" w:rsidRPr="00000000">
        <w:rPr>
          <w:rtl w:val="0"/>
        </w:rPr>
        <w:t xml:space="preserve">: Los umbrales de días para los colores del semáforo (ej. Rojo &lt; 3 días) deben ser configurables desde el módulo administrativo sin tocar código.</w:t>
      </w:r>
      <w:r w:rsidDel="00000000" w:rsidR="00000000" w:rsidRPr="00000000">
        <w:rPr>
          <w:rtl w:val="0"/>
        </w:rPr>
      </w:r>
    </w:p>
    <w:sectPr>
      <w:footerReference r:id="rId13" w:type="default"/>
      <w:footerReference r:id="rId14"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footer" Target="foot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2iX6qzBf6grqkzAYOOD/BziqQ==">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