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margin" w:horzAnchor="margin" w:tblpX="-375" w:tblpY="465"/>
        <w:tblW w:w="1005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55"/>
        <w:gridCol w:w="540"/>
        <w:gridCol w:w="3570"/>
        <w:gridCol w:w="4185"/>
        <w:tblGridChange w:id="0">
          <w:tblGrid>
            <w:gridCol w:w="1755"/>
            <w:gridCol w:w="540"/>
            <w:gridCol w:w="3570"/>
            <w:gridCol w:w="4185"/>
          </w:tblGrid>
        </w:tblGridChange>
      </w:tblGrid>
      <w:tr>
        <w:trPr>
          <w:cantSplit w:val="0"/>
          <w:trHeight w:val="396.85039370078744" w:hRule="atLeast"/>
          <w:tblHeader w:val="0"/>
        </w:trPr>
        <w:tc>
          <w:tcPr>
            <w:shd w:fill="a4c2f4" w:val="clear"/>
            <w:tcMar>
              <w:left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CU-04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4c2f4" w:val="clear"/>
            <w:tcMar>
              <w:left w:w="180.0" w:type="dxa"/>
              <w:right w:w="180.0" w:type="dxa"/>
            </w:tcMar>
          </w:tcPr>
          <w:p w:rsidR="00000000" w:rsidDel="00000000" w:rsidP="00000000" w:rsidRDefault="00000000" w:rsidRPr="00000000" w14:paraId="00000003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Registrar Entregables y Actualizar Estado del Proyecto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</w:tr>
      <w:tr>
        <w:trPr>
          <w:cantSplit w:val="0"/>
          <w:trHeight w:val="396.85039370078744" w:hRule="atLeast"/>
          <w:tblHeader w:val="0"/>
        </w:trPr>
        <w:tc>
          <w:tcPr>
            <w:shd w:fill="fff2cc" w:val="clear"/>
            <w:tcMar>
              <w:left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tcMar>
              <w:left w:w="180.0" w:type="dxa"/>
              <w:right w:w="180.0" w:type="dxa"/>
            </w:tcMar>
          </w:tcPr>
          <w:p w:rsidR="00000000" w:rsidDel="00000000" w:rsidP="00000000" w:rsidRDefault="00000000" w:rsidRPr="00000000" w14:paraId="00000007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Permite al personal administrativo registrar la recepción del informe académico (a los 12 meses) y los productos entregables (a los 36 meses). Con ello, el sistema evalúa y calcula automáticamente si el proyecto pasa a estado "En Deuda", "Finalizado" o se mantiene "Aprobado".</w:t>
            </w:r>
          </w:p>
        </w:tc>
      </w:tr>
      <w:tr>
        <w:trPr>
          <w:cantSplit w:val="0"/>
          <w:trHeight w:val="396.85039370078744" w:hRule="atLeast"/>
          <w:tblHeader w:val="0"/>
        </w:trPr>
        <w:tc>
          <w:tcPr>
            <w:shd w:fill="fff2cc" w:val="clear"/>
            <w:tcMar>
              <w:left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Actores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tcMar>
              <w:left w:w="180.0" w:type="dxa"/>
              <w:right w:w="180.0" w:type="dxa"/>
            </w:tcMar>
          </w:tcPr>
          <w:p w:rsidR="00000000" w:rsidDel="00000000" w:rsidP="00000000" w:rsidRDefault="00000000" w:rsidRPr="00000000" w14:paraId="0000000B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Personal Administrativo de la Unidad de Investigación (Vicedecanato / Unidad de Investigación).</w:t>
            </w:r>
          </w:p>
        </w:tc>
      </w:tr>
      <w:tr>
        <w:trPr>
          <w:cantSplit w:val="0"/>
          <w:trHeight w:val="396.85039370078744" w:hRule="atLeast"/>
          <w:tblHeader w:val="0"/>
        </w:trPr>
        <w:tc>
          <w:tcPr>
            <w:shd w:fill="fff2cc" w:val="clear"/>
            <w:tcMar>
              <w:left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Pre condiciones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tcMar>
              <w:left w:w="180.0" w:type="dxa"/>
              <w:right w:w="180.0" w:type="dxa"/>
            </w:tcMar>
          </w:tcPr>
          <w:p w:rsidR="00000000" w:rsidDel="00000000" w:rsidP="00000000" w:rsidRDefault="00000000" w:rsidRPr="00000000" w14:paraId="0000000F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 proyecto debe estar previamente registrado en el sistema con un Código, Resolución, y fecha de Inicio.</w:t>
            </w:r>
          </w:p>
          <w:p w:rsidR="00000000" w:rsidDel="00000000" w:rsidP="00000000" w:rsidRDefault="00000000" w:rsidRPr="00000000" w14:paraId="00000010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 proyecto debe encontrarse en estado "Aprobado" o "En Deuda" (no "Finalizado" ni "No Aprobado").</w:t>
            </w:r>
          </w:p>
        </w:tc>
      </w:tr>
      <w:tr>
        <w:trPr>
          <w:cantSplit w:val="0"/>
          <w:trHeight w:val="850.3937007874016" w:hRule="atLeast"/>
          <w:tblHeader w:val="0"/>
        </w:trPr>
        <w:tc>
          <w:tcPr>
            <w:tcBorders>
              <w:bottom w:color="1f1f1f" w:space="0" w:sz="8" w:val="single"/>
            </w:tcBorders>
            <w:shd w:fill="fff2cc" w:val="clear"/>
            <w:tcMar>
              <w:left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Post condiciones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bottom w:color="1f1f1f" w:space="0" w:sz="8" w:val="single"/>
            </w:tcBorders>
            <w:shd w:fill="ffffff" w:val="clear"/>
            <w:tcMar>
              <w:left w:w="180.0" w:type="dxa"/>
              <w:right w:w="180.0" w:type="dxa"/>
            </w:tcMar>
          </w:tcPr>
          <w:p w:rsidR="00000000" w:rsidDel="00000000" w:rsidP="00000000" w:rsidRDefault="00000000" w:rsidRPr="00000000" w14:paraId="00000014">
            <w:pPr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Se actualiza el  estado del  Informe Académico a entregado.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 estado del proyecto se actualiza y la información queda disponible para los reportes trimestrales de carga no lectiva.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vMerge w:val="restart"/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fff2cc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Secuencia Normal</w:t>
            </w:r>
          </w:p>
          <w:p w:rsidR="00000000" w:rsidDel="00000000" w:rsidP="00000000" w:rsidRDefault="00000000" w:rsidRPr="00000000" w14:paraId="00000019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d9ead3" w:val="clear"/>
            <w:tcMar>
              <w:top w:w="240.0" w:type="dxa"/>
              <w:left w:w="0.0" w:type="dxa"/>
              <w:bottom w:w="240.0" w:type="dxa"/>
              <w:right w:w="180.0" w:type="dxa"/>
            </w:tcMar>
          </w:tcPr>
          <w:p w:rsidR="00000000" w:rsidDel="00000000" w:rsidP="00000000" w:rsidRDefault="00000000" w:rsidRPr="00000000" w14:paraId="0000001A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#</w:t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d9ead3" w:val="clear"/>
            <w:tcMar>
              <w:top w:w="240.0" w:type="dxa"/>
              <w:left w:w="0.0" w:type="dxa"/>
              <w:bottom w:w="240.0" w:type="dxa"/>
              <w:right w:w="180.0" w:type="dxa"/>
            </w:tcMar>
          </w:tcPr>
          <w:p w:rsidR="00000000" w:rsidDel="00000000" w:rsidP="00000000" w:rsidRDefault="00000000" w:rsidRPr="00000000" w14:paraId="0000001B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d9ead3" w:val="clear"/>
            <w:tcMar>
              <w:top w:w="240.0" w:type="dxa"/>
              <w:left w:w="0.0" w:type="dxa"/>
              <w:bottom w:w="240.0" w:type="dxa"/>
              <w:right w:w="0.0" w:type="dxa"/>
            </w:tcMar>
          </w:tcPr>
          <w:p w:rsidR="00000000" w:rsidDel="00000000" w:rsidP="00000000" w:rsidRDefault="00000000" w:rsidRPr="00000000" w14:paraId="0000001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vMerge w:val="continue"/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fff2cc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Busca el proyecto de investigación        por Código o Resolución y presiona la opción para registrar un entregable.</w:t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El sistema filtra los proyectos, muestra los resultados coincidentes y habilita el formulario de registro.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vMerge w:val="continue"/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fff2cc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</w:t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Selecciona el tipo de recepción ("Informe Académico" o "Producto Entregable") e ingresa la fecha de recepción.</w:t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El sistema valida la coherencia de los datos ingresados y habilita el botón de confirmación.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vMerge w:val="continue"/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fff2cc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</w:t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Confirma el registro del entregable en el sistema.</w:t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Guarda la información, evalúa el ciclo de vida 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rtl w:val="0"/>
              </w:rPr>
              <w:t xml:space="preserve">s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 3 años del proyecto previa, cambiar el 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rtl w:val="0"/>
              </w:rPr>
              <w:t xml:space="preserve">s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Estado del proyecto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vMerge w:val="continue"/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fff2cc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numPr>
                <w:ilvl w:val="0"/>
                <w:numId w:val="3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3.1 Si el documento es el Informe Académico y se entrega dentro de los 12 meses el sistema deberá cambiar el estado del Informe Académico a entregado  y mantener el estado del proyecto como "Aprobado”.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vMerge w:val="continue"/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fff2cc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numPr>
                <w:ilvl w:val="0"/>
                <w:numId w:val="3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3.2 Si el documento comprende los Productos Entregables y se entrega hasta los 36 meses, el sistema deberá remover cualquier marca de deuda previa, cambiar el Estado del proyecto a "Finalizado".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vMerge w:val="continue"/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fff2cc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numPr>
                <w:ilvl w:val="0"/>
                <w:numId w:val="3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3.3 Si se ejecuta la revisión y no se ha entregado el Informe a los 12 meses o los Productos a los 36 meses, el sistema deberá actualizar la existencia de deuda  a verdadero y cambiar el estado del proyecto a "En Deuda".</w:t>
            </w:r>
          </w:p>
          <w:p w:rsidR="00000000" w:rsidDel="00000000" w:rsidP="00000000" w:rsidRDefault="00000000" w:rsidRPr="00000000" w14:paraId="00000035">
            <w:p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vMerge w:val="continue"/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fff2cc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</w:t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Revisa el nuevo estado reflejado en la interfaz.</w:t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 sistema visualiza el estado actualizado ("Finalizado", "En Deuda" o "Aprobado") en la ficha del proyecto.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fff2cc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d9ead3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#</w:t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d9ead3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Acción (actor)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d9ead3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Reacción (sistema)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6.85039370078744" w:hRule="atLeast"/>
          <w:tblHeader w:val="0"/>
        </w:trPr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fff2cc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</w:t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 actor intenta registrar un entregable para un proyecto con Estado = "Finalizado" o "No Aprobado".</w:t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 sistema deberá bloquear el registro, mostrar el mensaje "El proyecto ya se encuentra inactivo y no admite nuevos entregables".</w:t>
            </w:r>
          </w:p>
        </w:tc>
      </w:tr>
      <w:tr>
        <w:trPr>
          <w:cantSplit w:val="0"/>
          <w:trHeight w:val="396.85039370078744" w:hRule="atLeast"/>
          <w:tblHeader w:val="0"/>
        </w:trPr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fff2cc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q</w:t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 actor ingresa una fecha de entrega ilógica (por ejemplo, anterior a la Fecha_Inicio del proyecto).</w:t>
            </w:r>
          </w:p>
        </w:tc>
        <w:tc>
          <w:tcPr>
            <w:tcBorders>
              <w:top w:color="1f1f1f" w:space="0" w:sz="8" w:val="single"/>
              <w:left w:color="1f1f1f" w:space="0" w:sz="8" w:val="single"/>
              <w:bottom w:color="1f1f1f" w:space="0" w:sz="8" w:val="single"/>
              <w:right w:color="1f1f1f" w:space="0" w:sz="8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 sistema deberá detener el proceso y requerir corrección.</w:t>
            </w:r>
          </w:p>
        </w:tc>
      </w:tr>
      <w:tr>
        <w:trPr>
          <w:cantSplit w:val="0"/>
          <w:trHeight w:val="793.7007874015749" w:hRule="atLeast"/>
          <w:tblHeader w:val="0"/>
        </w:trPr>
        <w:tc>
          <w:tcPr>
            <w:tcBorders>
              <w:top w:color="1f1f1f" w:space="0" w:sz="8" w:val="single"/>
            </w:tcBorders>
            <w:shd w:fill="fff2cc" w:val="clear"/>
            <w:tcMar>
              <w:left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Rendimiento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1f1f1f" w:space="0" w:sz="8" w:val="single"/>
            </w:tcBorders>
            <w:shd w:fill="ffffff" w:val="clear"/>
            <w:tcMar>
              <w:left w:w="180.0" w:type="dxa"/>
              <w:right w:w="180.0" w:type="dxa"/>
            </w:tcMar>
          </w:tcPr>
          <w:p w:rsidR="00000000" w:rsidDel="00000000" w:rsidP="00000000" w:rsidRDefault="00000000" w:rsidRPr="00000000" w14:paraId="00000047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 sistema deberá realizar las acciones descritas en los pasos 1 al 4 en un máximo de 3 segundos después de que el actor presione el botón de guardar.</w:t>
            </w:r>
          </w:p>
        </w:tc>
      </w:tr>
      <w:tr>
        <w:trPr>
          <w:cantSplit w:val="0"/>
          <w:trHeight w:val="850.3937007874016" w:hRule="atLeast"/>
          <w:tblHeader w:val="0"/>
        </w:trPr>
        <w:tc>
          <w:tcPr>
            <w:shd w:fill="fff2cc" w:val="clear"/>
            <w:tcMar>
              <w:left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Frecuencia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tcMar>
              <w:left w:w="180.0" w:type="dxa"/>
              <w:right w:w="180.0" w:type="dxa"/>
            </w:tcMar>
          </w:tcPr>
          <w:p w:rsidR="00000000" w:rsidDel="00000000" w:rsidP="00000000" w:rsidRDefault="00000000" w:rsidRPr="00000000" w14:paraId="0000004B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Este caso de uso se espera que se lleve a cabo una media de cientos de veces al año, acentuándose cerca de los cortes trimestrales/cuatrimestrales (abril, agosto y noviembre).</w:t>
            </w:r>
          </w:p>
        </w:tc>
      </w:tr>
      <w:tr>
        <w:trPr>
          <w:cantSplit w:val="0"/>
          <w:trHeight w:val="850.3937007874016" w:hRule="atLeast"/>
          <w:tblHeader w:val="0"/>
        </w:trPr>
        <w:tc>
          <w:tcPr>
            <w:shd w:fill="fff2cc" w:val="clear"/>
            <w:tcMar>
              <w:left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Importancia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tcMar>
              <w:left w:w="180.0" w:type="dxa"/>
              <w:right w:w="180.0" w:type="dxa"/>
            </w:tcMar>
          </w:tcPr>
          <w:p w:rsidR="00000000" w:rsidDel="00000000" w:rsidP="00000000" w:rsidRDefault="00000000" w:rsidRPr="00000000" w14:paraId="0000004F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Vital (de esta actualización depende que los docentes puedan sustentar sus horas no lectivas y no ser penalizados en reportes posteriores).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shd w:fill="fff2cc" w:val="clear"/>
            <w:tcMar>
              <w:left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Urgencia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tcMar>
              <w:left w:w="180.0" w:type="dxa"/>
              <w:right w:w="180.0" w:type="dxa"/>
            </w:tcMar>
          </w:tcPr>
          <w:p w:rsidR="00000000" w:rsidDel="00000000" w:rsidP="00000000" w:rsidRDefault="00000000" w:rsidRPr="00000000" w14:paraId="00000053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Inmediatamente</w:t>
            </w:r>
          </w:p>
        </w:tc>
      </w:tr>
      <w:tr>
        <w:trPr>
          <w:cantSplit w:val="0"/>
          <w:trHeight w:val="1814.1732283464569" w:hRule="atLeast"/>
          <w:tblHeader w:val="0"/>
        </w:trPr>
        <w:tc>
          <w:tcPr>
            <w:shd w:fill="fff2cc" w:val="clear"/>
            <w:tcMar>
              <w:left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Comentarios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tcMar>
              <w:left w:w="180.0" w:type="dxa"/>
              <w:right w:w="180.0" w:type="dxa"/>
            </w:tcMar>
          </w:tcPr>
          <w:p w:rsidR="00000000" w:rsidDel="00000000" w:rsidP="00000000" w:rsidRDefault="00000000" w:rsidRPr="00000000" w14:paraId="00000057">
            <w:pP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Aunque este caso de uso contempla el registro manual,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se sugiere implementar un proceso en segundo plano (Job/Cron) diario en la base de datos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. Este cron evaluaría automáticamente si el día de hoy ya transcurrieron 12 o 36 meses desde la fecha de inicio de cada proyecto "Aprobado"; de ser así, debería activar la regla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rtl w:val="0"/>
              </w:rPr>
              <w:t xml:space="preserve">3.3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y cambiar el proyecto a "En Deuda" sin necesidad de que el personal administrativo ingrese al sistema a hacerlo manualmente.</w:t>
            </w:r>
          </w:p>
        </w:tc>
      </w:tr>
    </w:tbl>
    <w:p w:rsidR="00000000" w:rsidDel="00000000" w:rsidP="00000000" w:rsidRDefault="00000000" w:rsidRPr="00000000" w14:paraId="0000005A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cPr>
      <w:shd w:fill="191919" w:val="clear"/>
    </w:tc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