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>
          <w:sz w:val="8"/>
          <w:szCs w:val="8"/>
        </w:rPr>
      </w:pPr>
      <w:bookmarkStart w:colFirst="0" w:colLast="0" w:name="_heading=h.eyo63us70z9a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10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70"/>
        <w:gridCol w:w="450"/>
        <w:gridCol w:w="4444"/>
        <w:gridCol w:w="4444"/>
        <w:tblGridChange w:id="0">
          <w:tblGrid>
            <w:gridCol w:w="1770"/>
            <w:gridCol w:w="450"/>
            <w:gridCol w:w="4444"/>
            <w:gridCol w:w="4444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CU-08 </w:t>
            </w:r>
          </w:p>
        </w:tc>
        <w:tc>
          <w:tcPr>
            <w:gridSpan w:val="3"/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Generar Resumen de Carga No Lectiva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genera un documento consolidado que reúne los proyectos activos y publicaciones de un docente para sustentar las horas dedicadas a investigación.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 del Vicedecanato / Instituto de Investigación.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condiciones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haber iniciado sesión. Deben existir registros de proyectos y/o publicaciones vinculados al docente.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genera y visualiza (o descarga) el documento consolidado de carga no lectiva del docente.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ingresa al perfil del docente y selecciona "Generar Resumen de Carga No Lectiva".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solicita el rango de fechas o periodo académico a evaluar.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ingresa los parámetros de tiempo y confirma.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consolida la información cruzando los datos de proyectos y publicaciones del docente dentro del periodo especificado.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  <w:t xml:space="preserve"> Si el docente tiene proyectos categorizados como "En Deuda" el sistema deberá resaltar dichas alertas en el reporte, realizar el caso de uso Marcar Alertas de Deuda.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solicita exportar el reporte.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formatea la información y descarga un archivo en formato PDF/Excel. 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ingresa parámetros que generan una consulta muy pesada, provocando demoras en la respuesta de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activa un indicador de carga asíncrono y notifica al usuario posteriormente cuando el reporte esté listo para ser descargado.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realizar la acción descrita en el paso 2 en un máximo de 5 segundos.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Este caso de uso se espera que se lleve a cabo una media de 50 veces al mes (alta concentración durante los cierres de evaluación).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Vital (es uno de los objetivos principales del sistema).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Urgencia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Inmediatamente. 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 lugar de cruzar los datos desde el backend, se implementará una Vista SQL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CREATE VIEW</w:t>
            </w:r>
            <w:r w:rsidDel="00000000" w:rsidR="00000000" w:rsidRPr="00000000">
              <w:rPr>
                <w:rtl w:val="0"/>
              </w:rPr>
              <w:t xml:space="preserve">) en PostgreSQL que pre-calcule los JOINs entre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PUBLICACION</w:t>
            </w:r>
            <w:r w:rsidDel="00000000" w:rsidR="00000000" w:rsidRPr="00000000">
              <w:rPr>
                <w:rtl w:val="0"/>
              </w:rPr>
              <w:t xml:space="preserve"> y la respectiva tabla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AUTORIA_PUBLICACION</w:t>
            </w:r>
            <w:r w:rsidDel="00000000" w:rsidR="00000000" w:rsidRPr="00000000">
              <w:rPr>
                <w:rtl w:val="0"/>
              </w:rPr>
              <w:t xml:space="preserve">, agilizando notablemente el paso 2. </w:t>
            </w:r>
          </w:p>
        </w:tc>
      </w:tr>
    </w:tbl>
    <w:p w:rsidR="00000000" w:rsidDel="00000000" w:rsidP="00000000" w:rsidRDefault="00000000" w:rsidRPr="00000000" w14:paraId="00000047">
      <w:pPr>
        <w:pStyle w:val="Title"/>
        <w:rPr/>
      </w:pPr>
      <w:bookmarkStart w:colFirst="0" w:colLast="0" w:name="_heading=h.9oousl7xwzm9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566.9291338582677" w:right="566.9291338582677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NPLZFcbrhG6A1XW0QlWEDedBaw==">CgMxLjAyDmguZXlvNjN1czcwejlhMg5oLjlvb3VzbDd4d3ptOTgAciExOTEtNjF2TUlralAzTFQ1RWxPb1VvWGN5VHQ1alhWN0I=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